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tiff" ContentType="image/tiff"/>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A240B">
      <w:pPr>
        <w:ind w:firstLine="720"/>
        <w:rPr>
          <w:rFonts w:hint="eastAsia" w:ascii="仿宋_GB2312" w:hAnsi="仿宋_GB2312" w:eastAsia="仿宋_GB2312" w:cs="仿宋_GB2312"/>
          <w:sz w:val="36"/>
          <w:szCs w:val="36"/>
        </w:rPr>
      </w:pPr>
    </w:p>
    <w:p w14:paraId="5BA59EEC">
      <w:pPr>
        <w:ind w:firstLine="720"/>
        <w:rPr>
          <w:rFonts w:hint="eastAsia" w:ascii="仿宋_GB2312" w:hAnsi="仿宋_GB2312" w:eastAsia="仿宋_GB2312" w:cs="仿宋_GB2312"/>
          <w:sz w:val="36"/>
          <w:szCs w:val="36"/>
        </w:rPr>
      </w:pPr>
    </w:p>
    <w:p w14:paraId="7BCEB745">
      <w:pPr>
        <w:jc w:val="center"/>
        <w:rPr>
          <w:rFonts w:ascii="Times New Roman" w:hAnsi="Times New Roman" w:cs="Times New Roman"/>
          <w:b/>
          <w:sz w:val="72"/>
        </w:rPr>
      </w:pPr>
      <w:r>
        <w:rPr>
          <w:rFonts w:ascii="Times New Roman"/>
          <w:b/>
          <w:sz w:val="60"/>
          <w:szCs w:val="60"/>
        </w:rPr>
        <w:t>建设</w:t>
      </w:r>
      <w:r>
        <w:rPr>
          <w:rFonts w:ascii="Times New Roman"/>
          <w:b/>
          <w:color w:val="auto"/>
          <w:sz w:val="60"/>
          <w:szCs w:val="60"/>
        </w:rPr>
        <w:t>项目</w:t>
      </w:r>
      <w:r>
        <w:rPr>
          <w:rFonts w:hint="eastAsia" w:ascii="Times New Roman"/>
          <w:b/>
          <w:color w:val="auto"/>
          <w:sz w:val="60"/>
          <w:szCs w:val="60"/>
          <w:lang w:val="en-US" w:eastAsia="zh-CN"/>
        </w:rPr>
        <w:t>生态</w:t>
      </w:r>
      <w:r>
        <w:rPr>
          <w:rFonts w:ascii="Times New Roman"/>
          <w:b/>
          <w:color w:val="auto"/>
          <w:sz w:val="60"/>
          <w:szCs w:val="60"/>
        </w:rPr>
        <w:t>环境</w:t>
      </w:r>
      <w:r>
        <w:rPr>
          <w:rFonts w:ascii="Times New Roman"/>
          <w:b/>
          <w:sz w:val="60"/>
          <w:szCs w:val="60"/>
        </w:rPr>
        <w:t>影响报告表</w:t>
      </w:r>
    </w:p>
    <w:p w14:paraId="4459D5B7">
      <w:pPr>
        <w:jc w:val="center"/>
        <w:rPr>
          <w:rFonts w:ascii="Times New Roman" w:hAnsi="Times New Roman" w:eastAsia="宋体" w:cs="Times New Roman"/>
          <w:sz w:val="32"/>
        </w:rPr>
      </w:pPr>
      <w:r>
        <w:rPr>
          <w:rFonts w:ascii="Times New Roman" w:hAnsi="Times New Roman" w:eastAsia="宋体" w:cs="Times New Roman"/>
          <w:sz w:val="32"/>
        </w:rPr>
        <w:t>（</w:t>
      </w:r>
      <w:r>
        <w:rPr>
          <w:rFonts w:hint="eastAsia" w:ascii="Times New Roman" w:hAnsi="Times New Roman" w:eastAsia="宋体" w:cs="Times New Roman"/>
          <w:sz w:val="32"/>
        </w:rPr>
        <w:t>污染影响类</w:t>
      </w:r>
      <w:r>
        <w:rPr>
          <w:rFonts w:ascii="Times New Roman" w:hAnsi="Times New Roman" w:eastAsia="宋体" w:cs="Times New Roman"/>
          <w:sz w:val="32"/>
        </w:rPr>
        <w:t>）</w:t>
      </w:r>
    </w:p>
    <w:p w14:paraId="4568ACDD">
      <w:pPr>
        <w:ind w:firstLine="640"/>
        <w:jc w:val="center"/>
        <w:rPr>
          <w:rFonts w:ascii="Times New Roman" w:hAnsi="Times New Roman" w:eastAsia="宋体" w:cs="Times New Roman"/>
          <w:color w:val="FF0000"/>
          <w:sz w:val="32"/>
        </w:rPr>
      </w:pPr>
    </w:p>
    <w:p w14:paraId="5BBC7CE4">
      <w:pPr>
        <w:ind w:firstLine="640"/>
        <w:rPr>
          <w:rFonts w:ascii="Times New Roman" w:hAnsi="Times New Roman" w:eastAsia="宋体" w:cs="Times New Roman"/>
          <w:color w:val="FF0000"/>
          <w:sz w:val="32"/>
        </w:rPr>
      </w:pPr>
    </w:p>
    <w:p w14:paraId="6910122A">
      <w:pPr>
        <w:ind w:firstLine="640"/>
        <w:rPr>
          <w:rFonts w:ascii="Times New Roman" w:hAnsi="Times New Roman" w:eastAsia="宋体" w:cs="Times New Roman"/>
          <w:color w:val="FF0000"/>
          <w:sz w:val="32"/>
        </w:rPr>
      </w:pPr>
    </w:p>
    <w:p w14:paraId="2895BF35">
      <w:pPr>
        <w:ind w:firstLine="640"/>
        <w:rPr>
          <w:rFonts w:ascii="Times New Roman" w:hAnsi="Times New Roman" w:eastAsia="宋体" w:cs="Times New Roman"/>
          <w:color w:val="FF0000"/>
          <w:sz w:val="32"/>
        </w:rPr>
      </w:pPr>
    </w:p>
    <w:p w14:paraId="13D527F4">
      <w:pPr>
        <w:ind w:firstLine="640"/>
        <w:rPr>
          <w:rFonts w:ascii="Times New Roman" w:hAnsi="Times New Roman" w:eastAsia="宋体" w:cs="Times New Roman"/>
          <w:color w:val="FF0000"/>
          <w:sz w:val="32"/>
          <w:szCs w:val="32"/>
        </w:rPr>
      </w:pPr>
      <w:r>
        <w:rPr>
          <w:rFonts w:ascii="Times New Roman" w:hAnsi="Times New Roman" w:eastAsia="宋体" w:cs="Times New Roman"/>
          <w:color w:val="FF0000"/>
          <w:sz w:val="32"/>
          <w:szCs w:val="32"/>
        </w:rPr>
        <w:t xml:space="preserve"> </w:t>
      </w:r>
    </w:p>
    <w:p w14:paraId="736A6AFE">
      <w:pPr>
        <w:spacing w:line="360" w:lineRule="auto"/>
        <w:ind w:firstLine="1405" w:firstLineChars="500"/>
        <w:jc w:val="left"/>
        <w:rPr>
          <w:rFonts w:ascii="Times New Roman" w:hAnsi="Times New Roman" w:eastAsia="宋体" w:cs="Times New Roman"/>
          <w:b/>
          <w:bCs/>
          <w:sz w:val="28"/>
          <w:szCs w:val="28"/>
        </w:rPr>
      </w:pPr>
    </w:p>
    <w:p w14:paraId="54978AAF">
      <w:pPr>
        <w:spacing w:line="360" w:lineRule="auto"/>
        <w:ind w:firstLine="1124" w:firstLineChars="400"/>
        <w:rPr>
          <w:rFonts w:hint="eastAsia" w:ascii="Times New Roman" w:hAnsi="Times New Roman" w:eastAsia="宋体" w:cs="Times New Roman"/>
          <w:b/>
          <w:bCs/>
          <w:sz w:val="28"/>
          <w:szCs w:val="28"/>
          <w:u w:val="single"/>
          <w:lang w:val="en-US" w:eastAsia="zh-CN"/>
        </w:rPr>
      </w:pPr>
      <w:r>
        <w:rPr>
          <w:rFonts w:ascii="Times New Roman" w:hAnsi="Times New Roman" w:eastAsia="宋体" w:cs="Times New Roman"/>
          <w:b/>
          <w:bCs/>
          <w:sz w:val="28"/>
          <w:szCs w:val="28"/>
        </w:rPr>
        <w:t>项目名称：</w:t>
      </w:r>
      <w:r>
        <w:rPr>
          <w:rFonts w:hint="eastAsia" w:ascii="Times New Roman" w:hAnsi="Times New Roman" w:eastAsia="宋体" w:cs="Times New Roman"/>
          <w:b/>
          <w:bCs/>
          <w:sz w:val="28"/>
          <w:szCs w:val="28"/>
          <w:u w:val="single"/>
        </w:rPr>
        <w:t>甘肃聚联新型材料有限公司凹凸棒石</w:t>
      </w:r>
      <w:r>
        <w:rPr>
          <w:rFonts w:hint="eastAsia" w:ascii="Times New Roman" w:hAnsi="Times New Roman" w:eastAsia="宋体" w:cs="Times New Roman"/>
          <w:b/>
          <w:bCs/>
          <w:sz w:val="28"/>
          <w:szCs w:val="28"/>
          <w:u w:val="single"/>
          <w:lang w:val="en-US" w:eastAsia="zh-CN"/>
        </w:rPr>
        <w:t xml:space="preserve"> </w:t>
      </w:r>
    </w:p>
    <w:p w14:paraId="54B03184">
      <w:pPr>
        <w:spacing w:line="360" w:lineRule="auto"/>
        <w:jc w:val="center"/>
        <w:rPr>
          <w:rFonts w:ascii="Times New Roman" w:hAnsi="Times New Roman" w:eastAsia="宋体" w:cs="Times New Roman"/>
          <w:b/>
          <w:bCs/>
          <w:sz w:val="28"/>
          <w:szCs w:val="28"/>
          <w:u w:val="single"/>
        </w:rPr>
      </w:pPr>
      <w:r>
        <w:rPr>
          <w:rFonts w:hint="eastAsia" w:ascii="Times New Roman" w:hAnsi="Times New Roman" w:eastAsia="宋体" w:cs="Times New Roman"/>
          <w:b/>
          <w:bCs/>
          <w:sz w:val="28"/>
          <w:szCs w:val="28"/>
        </w:rPr>
        <w:t xml:space="preserve">            </w:t>
      </w:r>
      <w:r>
        <w:rPr>
          <w:rFonts w:hint="eastAsia" w:ascii="Times New Roman" w:hAnsi="Times New Roman" w:eastAsia="宋体" w:cs="Times New Roman"/>
          <w:b/>
          <w:bCs/>
          <w:sz w:val="28"/>
          <w:szCs w:val="28"/>
          <w:u w:val="single"/>
        </w:rPr>
        <w:t xml:space="preserve"> 基新型低碳功能性建筑材料综合开发项目</w:t>
      </w:r>
      <w:r>
        <w:rPr>
          <w:rFonts w:hint="eastAsia" w:ascii="Times New Roman" w:hAnsi="Times New Roman" w:eastAsia="宋体" w:cs="Times New Roman"/>
          <w:b/>
          <w:bCs/>
          <w:sz w:val="28"/>
          <w:szCs w:val="28"/>
          <w:u w:val="single"/>
          <w:lang w:eastAsia="zh-CN"/>
        </w:rPr>
        <w:t>（</w:t>
      </w:r>
      <w:r>
        <w:rPr>
          <w:rFonts w:hint="eastAsia" w:ascii="Times New Roman" w:hAnsi="Times New Roman" w:eastAsia="宋体" w:cs="Times New Roman"/>
          <w:b/>
          <w:bCs/>
          <w:sz w:val="28"/>
          <w:szCs w:val="28"/>
          <w:u w:val="single"/>
          <w:lang w:val="en-US" w:eastAsia="zh-CN"/>
        </w:rPr>
        <w:t>一期工程</w:t>
      </w:r>
      <w:r>
        <w:rPr>
          <w:rFonts w:hint="eastAsia" w:ascii="Times New Roman" w:hAnsi="Times New Roman" w:eastAsia="宋体" w:cs="Times New Roman"/>
          <w:b/>
          <w:bCs/>
          <w:sz w:val="28"/>
          <w:szCs w:val="28"/>
          <w:u w:val="single"/>
          <w:lang w:eastAsia="zh-CN"/>
        </w:rPr>
        <w:t>）</w:t>
      </w:r>
      <w:r>
        <w:rPr>
          <w:rFonts w:hint="eastAsia" w:ascii="Times New Roman" w:hAnsi="Times New Roman" w:eastAsia="宋体" w:cs="Times New Roman"/>
          <w:b/>
          <w:bCs/>
          <w:sz w:val="28"/>
          <w:szCs w:val="28"/>
          <w:u w:val="single"/>
        </w:rPr>
        <w:t xml:space="preserve"> </w:t>
      </w:r>
    </w:p>
    <w:p w14:paraId="06687BE9">
      <w:pPr>
        <w:spacing w:line="360" w:lineRule="auto"/>
        <w:ind w:firstLine="843" w:firstLineChars="300"/>
        <w:rPr>
          <w:rFonts w:ascii="Times New Roman" w:hAnsi="Times New Roman" w:eastAsia="宋体" w:cs="Times New Roman"/>
          <w:b/>
          <w:bCs/>
          <w:sz w:val="28"/>
          <w:szCs w:val="28"/>
          <w:u w:val="single"/>
        </w:rPr>
      </w:pPr>
      <w:r>
        <w:rPr>
          <w:rFonts w:ascii="Times New Roman" w:hAnsi="Times New Roman" w:eastAsia="宋体" w:cs="Times New Roman"/>
          <w:b/>
          <w:bCs/>
          <w:sz w:val="28"/>
          <w:szCs w:val="28"/>
        </w:rPr>
        <w:t>建设单位（盖章）</w:t>
      </w:r>
      <w:r>
        <w:rPr>
          <w:rFonts w:hint="eastAsia" w:ascii="Times New Roman" w:hAnsi="Times New Roman" w:eastAsia="宋体" w:cs="Times New Roman"/>
          <w:b/>
          <w:bCs/>
          <w:sz w:val="28"/>
          <w:szCs w:val="28"/>
        </w:rPr>
        <w:t>：</w:t>
      </w:r>
      <w:r>
        <w:rPr>
          <w:rFonts w:hint="eastAsia" w:ascii="Times New Roman" w:hAnsi="Times New Roman" w:eastAsia="宋体" w:cs="Times New Roman"/>
          <w:b/>
          <w:bCs/>
          <w:sz w:val="28"/>
          <w:szCs w:val="28"/>
          <w:u w:val="single"/>
        </w:rPr>
        <w:t xml:space="preserve">   甘肃聚联新型材料有限公司  </w:t>
      </w:r>
    </w:p>
    <w:p w14:paraId="71663CC9">
      <w:pPr>
        <w:spacing w:line="360" w:lineRule="auto"/>
        <w:ind w:firstLine="1124" w:firstLineChars="400"/>
        <w:rPr>
          <w:rFonts w:ascii="Times New Roman" w:hAnsi="Times New Roman" w:eastAsia="宋体" w:cs="Times New Roman"/>
          <w:b/>
          <w:bCs/>
          <w:color w:val="0000FF"/>
          <w:sz w:val="28"/>
          <w:szCs w:val="28"/>
          <w:u w:val="single"/>
        </w:rPr>
      </w:pPr>
      <w:r>
        <w:rPr>
          <w:rFonts w:hint="eastAsia" w:ascii="Times New Roman" w:hAnsi="Times New Roman" w:eastAsia="宋体" w:cs="Times New Roman"/>
          <w:b/>
          <w:bCs/>
          <w:sz w:val="28"/>
          <w:szCs w:val="28"/>
        </w:rPr>
        <w:t xml:space="preserve">编制日期： </w:t>
      </w:r>
      <w:r>
        <w:rPr>
          <w:rFonts w:hint="eastAsia" w:ascii="Times New Roman" w:hAnsi="Times New Roman" w:eastAsia="宋体" w:cs="Times New Roman"/>
          <w:b/>
          <w:bCs/>
          <w:color w:val="FF0000"/>
          <w:sz w:val="28"/>
          <w:szCs w:val="28"/>
        </w:rPr>
        <w:t xml:space="preserve">  </w:t>
      </w:r>
      <w:r>
        <w:rPr>
          <w:rFonts w:hint="eastAsia" w:ascii="Times New Roman" w:hAnsi="Times New Roman" w:eastAsia="宋体" w:cs="Times New Roman"/>
          <w:b/>
          <w:bCs/>
          <w:color w:val="0000FF"/>
          <w:sz w:val="28"/>
          <w:szCs w:val="28"/>
          <w:lang w:val="en-US" w:eastAsia="zh-CN"/>
        </w:rPr>
        <w:t xml:space="preserve">  </w:t>
      </w:r>
      <w:r>
        <w:rPr>
          <w:rFonts w:hint="eastAsia" w:ascii="Times New Roman" w:hAnsi="Times New Roman" w:eastAsia="宋体" w:cs="Times New Roman"/>
          <w:b/>
          <w:bCs/>
          <w:color w:val="0000FF"/>
          <w:sz w:val="28"/>
          <w:szCs w:val="28"/>
          <w:u w:val="single"/>
        </w:rPr>
        <w:t xml:space="preserve">      </w:t>
      </w:r>
      <w:r>
        <w:rPr>
          <w:rFonts w:hint="eastAsia" w:ascii="Times New Roman" w:hAnsi="Times New Roman" w:eastAsia="宋体" w:cs="Times New Roman"/>
          <w:b/>
          <w:bCs/>
          <w:color w:val="0000FF"/>
          <w:sz w:val="28"/>
          <w:szCs w:val="28"/>
          <w:u w:val="single"/>
          <w:lang w:val="en-US" w:eastAsia="zh-CN"/>
        </w:rPr>
        <w:t xml:space="preserve"> </w:t>
      </w:r>
      <w:r>
        <w:rPr>
          <w:rFonts w:hint="eastAsia" w:ascii="Times New Roman" w:hAnsi="Times New Roman" w:eastAsia="宋体" w:cs="Times New Roman"/>
          <w:b/>
          <w:bCs/>
          <w:color w:val="0000FF"/>
          <w:sz w:val="28"/>
          <w:szCs w:val="28"/>
          <w:u w:val="single"/>
        </w:rPr>
        <w:t xml:space="preserve">2026 年 </w:t>
      </w:r>
      <w:r>
        <w:rPr>
          <w:rFonts w:hint="eastAsia" w:ascii="Times New Roman" w:hAnsi="Times New Roman" w:eastAsia="宋体" w:cs="Times New Roman"/>
          <w:b/>
          <w:bCs/>
          <w:color w:val="0000FF"/>
          <w:sz w:val="28"/>
          <w:szCs w:val="28"/>
          <w:u w:val="single"/>
          <w:lang w:val="en-US" w:eastAsia="zh-CN"/>
        </w:rPr>
        <w:t>8</w:t>
      </w:r>
      <w:r>
        <w:rPr>
          <w:rFonts w:hint="eastAsia" w:ascii="Times New Roman" w:hAnsi="Times New Roman" w:eastAsia="宋体" w:cs="Times New Roman"/>
          <w:b/>
          <w:bCs/>
          <w:color w:val="0000FF"/>
          <w:sz w:val="28"/>
          <w:szCs w:val="28"/>
          <w:u w:val="single"/>
        </w:rPr>
        <w:t xml:space="preserve"> 月       </w:t>
      </w:r>
    </w:p>
    <w:p w14:paraId="7A36CC20">
      <w:pPr>
        <w:adjustRightInd w:val="0"/>
        <w:snapToGrid w:val="0"/>
        <w:spacing w:line="360" w:lineRule="auto"/>
        <w:ind w:firstLine="720"/>
        <w:rPr>
          <w:rFonts w:ascii="仿宋_GB2312" w:eastAsia="仿宋_GB2312" w:cs="仿宋_GB2312"/>
          <w:color w:val="FF0000"/>
          <w:sz w:val="36"/>
          <w:szCs w:val="36"/>
          <w:u w:val="single"/>
        </w:rPr>
      </w:pPr>
      <w:bookmarkStart w:id="0" w:name="_Hlk57884087"/>
    </w:p>
    <w:bookmarkEnd w:id="0"/>
    <w:p w14:paraId="2341D10D">
      <w:pPr>
        <w:adjustRightInd w:val="0"/>
        <w:snapToGrid w:val="0"/>
        <w:spacing w:line="288" w:lineRule="auto"/>
        <w:ind w:firstLine="720"/>
        <w:rPr>
          <w:rFonts w:ascii="楷体_GB2312" w:hAnsi="Times New Roman" w:eastAsia="楷体_GB2312" w:cs="楷体_GB2312"/>
          <w:color w:val="FF0000"/>
          <w:sz w:val="36"/>
          <w:szCs w:val="36"/>
          <w:lang w:bidi="ar"/>
        </w:rPr>
      </w:pPr>
    </w:p>
    <w:p w14:paraId="2EFDA914">
      <w:pPr>
        <w:adjustRightInd w:val="0"/>
        <w:snapToGrid w:val="0"/>
        <w:spacing w:line="288" w:lineRule="auto"/>
        <w:ind w:firstLine="720"/>
        <w:rPr>
          <w:rFonts w:ascii="楷体_GB2312" w:hAnsi="Times New Roman" w:eastAsia="楷体_GB2312" w:cs="楷体_GB2312"/>
          <w:color w:val="FF0000"/>
          <w:sz w:val="36"/>
          <w:szCs w:val="36"/>
          <w:lang w:bidi="ar"/>
        </w:rPr>
      </w:pPr>
    </w:p>
    <w:p w14:paraId="544C376F">
      <w:pPr>
        <w:adjustRightInd w:val="0"/>
        <w:snapToGrid w:val="0"/>
        <w:spacing w:line="288" w:lineRule="auto"/>
        <w:ind w:firstLine="720"/>
        <w:rPr>
          <w:rFonts w:ascii="楷体_GB2312" w:hAnsi="Times New Roman" w:eastAsia="楷体_GB2312" w:cs="楷体_GB2312"/>
          <w:color w:val="FF0000"/>
          <w:sz w:val="36"/>
          <w:szCs w:val="36"/>
          <w:lang w:bidi="ar"/>
        </w:rPr>
      </w:pPr>
    </w:p>
    <w:p w14:paraId="0AF78EFE">
      <w:pPr>
        <w:adjustRightInd w:val="0"/>
        <w:snapToGrid w:val="0"/>
        <w:spacing w:line="288" w:lineRule="auto"/>
        <w:ind w:firstLine="720"/>
        <w:rPr>
          <w:rFonts w:ascii="楷体_GB2312" w:hAnsi="Times New Roman" w:eastAsia="楷体_GB2312" w:cs="楷体_GB2312"/>
          <w:color w:val="FF0000"/>
          <w:sz w:val="36"/>
          <w:szCs w:val="36"/>
          <w:lang w:bidi="ar"/>
        </w:rPr>
      </w:pPr>
    </w:p>
    <w:p w14:paraId="56356ECE">
      <w:pPr>
        <w:adjustRightInd w:val="0"/>
        <w:snapToGrid w:val="0"/>
        <w:spacing w:line="288" w:lineRule="auto"/>
        <w:ind w:firstLine="720"/>
        <w:rPr>
          <w:rFonts w:ascii="楷体_GB2312" w:hAnsi="Times New Roman" w:eastAsia="楷体_GB2312" w:cs="楷体_GB2312"/>
          <w:color w:val="FF0000"/>
          <w:sz w:val="36"/>
          <w:szCs w:val="36"/>
          <w:lang w:bidi="ar"/>
        </w:rPr>
      </w:pPr>
    </w:p>
    <w:p w14:paraId="5AE8A814">
      <w:pPr>
        <w:adjustRightInd w:val="0"/>
        <w:snapToGrid w:val="0"/>
        <w:spacing w:line="288" w:lineRule="auto"/>
        <w:ind w:firstLine="720"/>
        <w:jc w:val="center"/>
        <w:rPr>
          <w:rFonts w:ascii="黑体" w:hAnsi="宋体" w:eastAsia="黑体" w:cs="黑体"/>
          <w:snapToGrid w:val="0"/>
          <w:sz w:val="30"/>
          <w:szCs w:val="30"/>
        </w:rPr>
      </w:pPr>
      <w:r>
        <w:rPr>
          <w:rFonts w:hint="eastAsia" w:ascii="楷体_GB2312" w:hAnsi="Times New Roman" w:eastAsia="楷体_GB2312" w:cs="楷体_GB2312"/>
          <w:sz w:val="36"/>
          <w:szCs w:val="36"/>
          <w:lang w:bidi="ar"/>
        </w:rPr>
        <w:t>中华人民共和国生态环境部制</w:t>
      </w:r>
    </w:p>
    <w:p w14:paraId="2A84FFE7">
      <w:pPr>
        <w:pStyle w:val="25"/>
        <w:spacing w:beforeAutospacing="0" w:afterAutospacing="0"/>
        <w:ind w:firstLine="600"/>
        <w:jc w:val="center"/>
        <w:rPr>
          <w:rFonts w:hint="default" w:ascii="黑体" w:eastAsia="黑体" w:cs="黑体"/>
          <w:snapToGrid w:val="0"/>
          <w:sz w:val="30"/>
          <w:szCs w:val="30"/>
        </w:rPr>
      </w:pPr>
    </w:p>
    <w:p w14:paraId="578B3B22">
      <w:pPr>
        <w:pStyle w:val="25"/>
        <w:spacing w:beforeAutospacing="0" w:afterAutospacing="0"/>
        <w:ind w:firstLine="600"/>
        <w:jc w:val="center"/>
        <w:outlineLvl w:val="0"/>
        <w:rPr>
          <w:rFonts w:hint="default" w:ascii="黑体" w:eastAsia="黑体" w:cs="黑体"/>
          <w:snapToGrid w:val="0"/>
          <w:sz w:val="30"/>
          <w:szCs w:val="30"/>
        </w:rPr>
        <w:sectPr>
          <w:pgSz w:w="11906" w:h="16838"/>
          <w:pgMar w:top="1440" w:right="1797" w:bottom="1440" w:left="1797" w:header="851" w:footer="1417" w:gutter="0"/>
          <w:pgNumType w:start="1"/>
          <w:cols w:space="425" w:num="1"/>
          <w:docGrid w:type="lines" w:linePitch="312" w:charSpace="0"/>
        </w:sectPr>
      </w:pPr>
    </w:p>
    <w:p w14:paraId="0AD880E0">
      <w:pPr>
        <w:pStyle w:val="25"/>
        <w:spacing w:beforeAutospacing="0" w:afterAutospacing="0"/>
        <w:jc w:val="center"/>
        <w:outlineLvl w:val="0"/>
        <w:rPr>
          <w:rFonts w:ascii="黑体" w:eastAsia="黑体" w:cs="黑体"/>
          <w:snapToGrid w:val="0"/>
          <w:sz w:val="30"/>
          <w:szCs w:val="30"/>
        </w:rPr>
        <w:sectPr>
          <w:footerReference r:id="rId3" w:type="default"/>
          <w:pgSz w:w="11906" w:h="16838"/>
          <w:pgMar w:top="1440" w:right="1797" w:bottom="1440" w:left="1797" w:header="851" w:footer="1417" w:gutter="0"/>
          <w:pgNumType w:start="1"/>
          <w:cols w:space="425" w:num="1"/>
          <w:docGrid w:type="lines" w:linePitch="312" w:charSpace="0"/>
        </w:sectPr>
      </w:pPr>
    </w:p>
    <w:p w14:paraId="2979DA3B">
      <w:pPr>
        <w:pStyle w:val="25"/>
        <w:spacing w:beforeAutospacing="0" w:afterAutospacing="0"/>
        <w:jc w:val="center"/>
        <w:outlineLvl w:val="0"/>
        <w:rPr>
          <w:rFonts w:hint="default" w:ascii="黑体" w:eastAsia="黑体" w:cs="黑体"/>
          <w:sz w:val="30"/>
          <w:szCs w:val="30"/>
        </w:rPr>
      </w:pPr>
      <w:r>
        <w:rPr>
          <w:rFonts w:ascii="黑体" w:eastAsia="黑体" w:cs="黑体"/>
          <w:snapToGrid w:val="0"/>
          <w:sz w:val="30"/>
          <w:szCs w:val="30"/>
        </w:rPr>
        <w:t>一、建设项目基本情况</w:t>
      </w:r>
    </w:p>
    <w:tbl>
      <w:tblPr>
        <w:tblStyle w:val="28"/>
        <w:tblW w:w="843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1816"/>
        <w:gridCol w:w="2240"/>
        <w:gridCol w:w="1715"/>
        <w:gridCol w:w="2666"/>
      </w:tblGrid>
      <w:tr w14:paraId="59DBF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97" w:hRule="atLeast"/>
          <w:jc w:val="center"/>
        </w:trPr>
        <w:tc>
          <w:tcPr>
            <w:tcW w:w="1816" w:type="dxa"/>
            <w:tcBorders>
              <w:tl2br w:val="nil"/>
              <w:tr2bl w:val="nil"/>
            </w:tcBorders>
            <w:tcMar>
              <w:top w:w="16" w:type="dxa"/>
              <w:left w:w="16" w:type="dxa"/>
              <w:right w:w="16" w:type="dxa"/>
            </w:tcMar>
            <w:vAlign w:val="center"/>
          </w:tcPr>
          <w:p w14:paraId="42B5C0BB">
            <w:pPr>
              <w:adjustRightInd w:val="0"/>
              <w:snapToGrid w:val="0"/>
              <w:jc w:val="center"/>
              <w:rPr>
                <w:rFonts w:ascii="Times New Roman" w:hAnsi="Times New Roman" w:cs="Times New Roman"/>
                <w:sz w:val="24"/>
              </w:rPr>
            </w:pPr>
            <w:r>
              <w:rPr>
                <w:rFonts w:ascii="Times New Roman" w:hAnsi="Times New Roman" w:cs="Times New Roman"/>
                <w:sz w:val="24"/>
                <w:lang w:bidi="ar"/>
              </w:rPr>
              <w:t>建设项目名称</w:t>
            </w:r>
          </w:p>
        </w:tc>
        <w:tc>
          <w:tcPr>
            <w:tcW w:w="6621" w:type="dxa"/>
            <w:gridSpan w:val="3"/>
            <w:tcBorders>
              <w:tl2br w:val="nil"/>
              <w:tr2bl w:val="nil"/>
            </w:tcBorders>
            <w:vAlign w:val="center"/>
          </w:tcPr>
          <w:p w14:paraId="51AFA1B8">
            <w:pPr>
              <w:adjustRightInd w:val="0"/>
              <w:snapToGrid w:val="0"/>
              <w:jc w:val="center"/>
              <w:rPr>
                <w:rFonts w:hint="eastAsia" w:ascii="Times New Roman" w:hAnsi="Times New Roman" w:eastAsia="宋体" w:cs="Times New Roman"/>
                <w:kern w:val="0"/>
                <w:sz w:val="24"/>
                <w:lang w:eastAsia="zh-CN"/>
              </w:rPr>
            </w:pPr>
            <w:r>
              <w:rPr>
                <w:rFonts w:hint="eastAsia" w:ascii="Times New Roman" w:hAnsi="Times New Roman" w:eastAsia="宋体" w:cs="Times New Roman"/>
                <w:kern w:val="0"/>
                <w:sz w:val="24"/>
              </w:rPr>
              <w:t>甘肃聚联新型材料有限公司</w:t>
            </w:r>
            <w:r>
              <w:rPr>
                <w:rFonts w:ascii="Times New Roman" w:hAnsi="Times New Roman" w:eastAsia="宋体" w:cs="Times New Roman"/>
                <w:kern w:val="0"/>
                <w:sz w:val="24"/>
              </w:rPr>
              <w:t>凹凸棒石基新</w:t>
            </w:r>
            <w:r>
              <w:rPr>
                <w:rFonts w:hint="eastAsia" w:ascii="Times New Roman" w:hAnsi="Times New Roman" w:eastAsia="宋体" w:cs="Times New Roman"/>
                <w:kern w:val="0"/>
                <w:sz w:val="24"/>
              </w:rPr>
              <w:t>型低碳功能性建筑材料综合开发项目</w:t>
            </w:r>
            <w:r>
              <w:rPr>
                <w:rFonts w:hint="eastAsia" w:ascii="Times New Roman" w:hAnsi="Times New Roman" w:eastAsia="宋体" w:cs="Times New Roman"/>
                <w:kern w:val="0"/>
                <w:sz w:val="24"/>
                <w:lang w:eastAsia="zh-CN"/>
              </w:rPr>
              <w:t>（</w:t>
            </w:r>
            <w:r>
              <w:rPr>
                <w:rFonts w:hint="eastAsia" w:ascii="Times New Roman" w:hAnsi="Times New Roman" w:eastAsia="宋体" w:cs="Times New Roman"/>
                <w:kern w:val="0"/>
                <w:sz w:val="24"/>
                <w:lang w:val="en-US" w:eastAsia="zh-CN"/>
              </w:rPr>
              <w:t>一期工程</w:t>
            </w:r>
            <w:r>
              <w:rPr>
                <w:rFonts w:hint="eastAsia" w:ascii="Times New Roman" w:hAnsi="Times New Roman" w:eastAsia="宋体" w:cs="Times New Roman"/>
                <w:kern w:val="0"/>
                <w:sz w:val="24"/>
                <w:lang w:eastAsia="zh-CN"/>
              </w:rPr>
              <w:t>）</w:t>
            </w:r>
          </w:p>
        </w:tc>
      </w:tr>
      <w:tr w14:paraId="12144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65" w:hRule="atLeast"/>
          <w:jc w:val="center"/>
        </w:trPr>
        <w:tc>
          <w:tcPr>
            <w:tcW w:w="1816" w:type="dxa"/>
            <w:tcBorders>
              <w:tl2br w:val="nil"/>
              <w:tr2bl w:val="nil"/>
            </w:tcBorders>
            <w:tcMar>
              <w:top w:w="16" w:type="dxa"/>
              <w:left w:w="16" w:type="dxa"/>
              <w:right w:w="16" w:type="dxa"/>
            </w:tcMar>
            <w:vAlign w:val="center"/>
          </w:tcPr>
          <w:p w14:paraId="678EEE7D">
            <w:pPr>
              <w:adjustRightInd w:val="0"/>
              <w:snapToGrid w:val="0"/>
              <w:jc w:val="center"/>
              <w:rPr>
                <w:rFonts w:ascii="Times New Roman" w:hAnsi="Times New Roman" w:cs="Times New Roman"/>
                <w:sz w:val="24"/>
              </w:rPr>
            </w:pPr>
            <w:r>
              <w:rPr>
                <w:rFonts w:ascii="Times New Roman" w:hAnsi="Times New Roman" w:cs="Times New Roman"/>
                <w:sz w:val="24"/>
                <w:lang w:bidi="ar"/>
              </w:rPr>
              <w:t>项目代码</w:t>
            </w:r>
          </w:p>
        </w:tc>
        <w:tc>
          <w:tcPr>
            <w:tcW w:w="6621" w:type="dxa"/>
            <w:gridSpan w:val="3"/>
            <w:tcBorders>
              <w:tl2br w:val="nil"/>
              <w:tr2bl w:val="nil"/>
            </w:tcBorders>
            <w:vAlign w:val="center"/>
          </w:tcPr>
          <w:p w14:paraId="71602FBD">
            <w:pPr>
              <w:adjustRightInd w:val="0"/>
              <w:snapToGrid w:val="0"/>
              <w:jc w:val="center"/>
              <w:rPr>
                <w:rFonts w:ascii="Times New Roman" w:hAnsi="Times New Roman" w:cs="Times New Roman"/>
                <w:sz w:val="24"/>
              </w:rPr>
            </w:pPr>
            <w:r>
              <w:rPr>
                <w:rFonts w:ascii="Times New Roman" w:hAnsi="Times New Roman" w:cs="Times New Roman"/>
                <w:sz w:val="24"/>
                <w:lang w:val="en-US" w:eastAsia="zh-CN"/>
              </w:rPr>
              <w:t>2510-620723-04-01-898556</w:t>
            </w:r>
          </w:p>
        </w:tc>
      </w:tr>
      <w:tr w14:paraId="4AB28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78" w:hRule="atLeast"/>
          <w:jc w:val="center"/>
        </w:trPr>
        <w:tc>
          <w:tcPr>
            <w:tcW w:w="1816" w:type="dxa"/>
            <w:tcBorders>
              <w:tl2br w:val="nil"/>
              <w:tr2bl w:val="nil"/>
            </w:tcBorders>
            <w:tcMar>
              <w:top w:w="16" w:type="dxa"/>
              <w:left w:w="16" w:type="dxa"/>
              <w:right w:w="16" w:type="dxa"/>
            </w:tcMar>
            <w:vAlign w:val="center"/>
          </w:tcPr>
          <w:p w14:paraId="2F3F12F4">
            <w:pPr>
              <w:adjustRightInd w:val="0"/>
              <w:snapToGrid w:val="0"/>
              <w:jc w:val="center"/>
              <w:rPr>
                <w:rFonts w:ascii="Times New Roman" w:hAnsi="Times New Roman" w:cs="Times New Roman"/>
                <w:sz w:val="24"/>
              </w:rPr>
            </w:pPr>
            <w:r>
              <w:rPr>
                <w:rFonts w:ascii="Times New Roman" w:hAnsi="Times New Roman" w:cs="Times New Roman"/>
                <w:sz w:val="24"/>
                <w:lang w:bidi="ar"/>
              </w:rPr>
              <w:t>建设单位联系人</w:t>
            </w:r>
          </w:p>
        </w:tc>
        <w:tc>
          <w:tcPr>
            <w:tcW w:w="2240" w:type="dxa"/>
            <w:tcBorders>
              <w:tl2br w:val="nil"/>
              <w:tr2bl w:val="nil"/>
            </w:tcBorders>
            <w:vAlign w:val="center"/>
          </w:tcPr>
          <w:p w14:paraId="21C6E678">
            <w:pPr>
              <w:adjustRightInd w:val="0"/>
              <w:snapToGrid w:val="0"/>
              <w:jc w:val="center"/>
              <w:rPr>
                <w:rFonts w:ascii="Times New Roman" w:hAnsi="Times New Roman" w:eastAsia="宋体" w:cs="Times New Roman"/>
                <w:sz w:val="24"/>
              </w:rPr>
            </w:pPr>
            <w:r>
              <w:rPr>
                <w:rFonts w:ascii="Times New Roman" w:hAnsi="Times New Roman" w:eastAsia="宋体" w:cs="Times New Roman"/>
                <w:sz w:val="24"/>
              </w:rPr>
              <w:t>熊鹰</w:t>
            </w:r>
          </w:p>
        </w:tc>
        <w:tc>
          <w:tcPr>
            <w:tcW w:w="1715" w:type="dxa"/>
            <w:tcBorders>
              <w:tl2br w:val="nil"/>
              <w:tr2bl w:val="nil"/>
            </w:tcBorders>
            <w:vAlign w:val="center"/>
          </w:tcPr>
          <w:p w14:paraId="66845C8A">
            <w:pPr>
              <w:adjustRightInd w:val="0"/>
              <w:snapToGrid w:val="0"/>
              <w:jc w:val="center"/>
              <w:rPr>
                <w:rFonts w:ascii="Times New Roman" w:hAnsi="Times New Roman" w:cs="Times New Roman"/>
                <w:sz w:val="24"/>
              </w:rPr>
            </w:pPr>
            <w:r>
              <w:rPr>
                <w:rFonts w:ascii="Times New Roman" w:hAnsi="Times New Roman" w:cs="Times New Roman"/>
                <w:sz w:val="24"/>
                <w:lang w:bidi="ar"/>
              </w:rPr>
              <w:t>联系方式</w:t>
            </w:r>
          </w:p>
        </w:tc>
        <w:tc>
          <w:tcPr>
            <w:tcW w:w="2666" w:type="dxa"/>
            <w:tcBorders>
              <w:tl2br w:val="nil"/>
              <w:tr2bl w:val="nil"/>
            </w:tcBorders>
            <w:vAlign w:val="center"/>
          </w:tcPr>
          <w:p w14:paraId="7EDEF6E4">
            <w:pPr>
              <w:adjustRightInd w:val="0"/>
              <w:snapToGrid w:val="0"/>
              <w:jc w:val="center"/>
              <w:rPr>
                <w:rFonts w:ascii="Times New Roman" w:hAnsi="Times New Roman" w:cs="Times New Roman"/>
                <w:sz w:val="24"/>
              </w:rPr>
            </w:pPr>
            <w:r>
              <w:rPr>
                <w:rFonts w:ascii="Times New Roman" w:hAnsi="Times New Roman" w:cs="Times New Roman"/>
                <w:sz w:val="24"/>
              </w:rPr>
              <w:t>18793666688</w:t>
            </w:r>
          </w:p>
        </w:tc>
      </w:tr>
      <w:tr w14:paraId="2CE9E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53" w:hRule="atLeast"/>
          <w:jc w:val="center"/>
        </w:trPr>
        <w:tc>
          <w:tcPr>
            <w:tcW w:w="1816" w:type="dxa"/>
            <w:tcBorders>
              <w:tl2br w:val="nil"/>
              <w:tr2bl w:val="nil"/>
            </w:tcBorders>
            <w:tcMar>
              <w:top w:w="16" w:type="dxa"/>
              <w:left w:w="16" w:type="dxa"/>
              <w:right w:w="16" w:type="dxa"/>
            </w:tcMar>
            <w:vAlign w:val="center"/>
          </w:tcPr>
          <w:p w14:paraId="3D821230">
            <w:pPr>
              <w:adjustRightInd w:val="0"/>
              <w:snapToGrid w:val="0"/>
              <w:jc w:val="center"/>
              <w:rPr>
                <w:rFonts w:ascii="Times New Roman" w:hAnsi="Times New Roman" w:cs="Times New Roman"/>
                <w:color w:val="0000FF"/>
                <w:sz w:val="24"/>
              </w:rPr>
            </w:pPr>
            <w:r>
              <w:rPr>
                <w:rFonts w:ascii="Times New Roman" w:hAnsi="Times New Roman" w:cs="Times New Roman"/>
                <w:color w:val="0000FF"/>
                <w:sz w:val="24"/>
                <w:lang w:bidi="ar"/>
              </w:rPr>
              <w:t>建设地点</w:t>
            </w:r>
          </w:p>
        </w:tc>
        <w:tc>
          <w:tcPr>
            <w:tcW w:w="6621" w:type="dxa"/>
            <w:gridSpan w:val="3"/>
            <w:tcBorders>
              <w:tl2br w:val="nil"/>
              <w:tr2bl w:val="nil"/>
            </w:tcBorders>
            <w:vAlign w:val="center"/>
          </w:tcPr>
          <w:p w14:paraId="42009F3E">
            <w:pPr>
              <w:adjustRightInd w:val="0"/>
              <w:snapToGrid w:val="0"/>
              <w:jc w:val="center"/>
              <w:rPr>
                <w:rFonts w:hint="default" w:ascii="Times New Roman" w:hAnsi="Times New Roman" w:cs="Times New Roman"/>
                <w:color w:val="0000FF"/>
                <w:sz w:val="24"/>
                <w:lang w:val="en-US"/>
              </w:rPr>
            </w:pPr>
            <w:r>
              <w:rPr>
                <w:rFonts w:hint="default" w:ascii="Times New Roman" w:hAnsi="Times New Roman" w:cs="Times New Roman"/>
                <w:color w:val="0000FF"/>
                <w:sz w:val="24"/>
                <w:lang w:val="en-US"/>
              </w:rPr>
              <w:t>临泽工业园区(产业功能区)-凹凸棒石新材料产业园-初级加工区</w:t>
            </w:r>
          </w:p>
        </w:tc>
      </w:tr>
      <w:tr w14:paraId="24CDA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34" w:hRule="atLeast"/>
          <w:jc w:val="center"/>
        </w:trPr>
        <w:tc>
          <w:tcPr>
            <w:tcW w:w="1816" w:type="dxa"/>
            <w:tcBorders>
              <w:tl2br w:val="nil"/>
              <w:tr2bl w:val="nil"/>
            </w:tcBorders>
            <w:tcMar>
              <w:top w:w="16" w:type="dxa"/>
              <w:left w:w="16" w:type="dxa"/>
              <w:right w:w="16" w:type="dxa"/>
            </w:tcMar>
            <w:vAlign w:val="center"/>
          </w:tcPr>
          <w:p w14:paraId="240D3015">
            <w:pPr>
              <w:adjustRightInd w:val="0"/>
              <w:snapToGrid w:val="0"/>
              <w:jc w:val="center"/>
              <w:rPr>
                <w:rFonts w:ascii="Times New Roman" w:hAnsi="Times New Roman" w:cs="Times New Roman"/>
                <w:sz w:val="24"/>
              </w:rPr>
            </w:pPr>
            <w:r>
              <w:rPr>
                <w:rFonts w:ascii="Times New Roman" w:hAnsi="Times New Roman" w:cs="Times New Roman"/>
                <w:sz w:val="24"/>
                <w:lang w:bidi="ar"/>
              </w:rPr>
              <w:t>地理坐标</w:t>
            </w:r>
          </w:p>
        </w:tc>
        <w:tc>
          <w:tcPr>
            <w:tcW w:w="6621" w:type="dxa"/>
            <w:gridSpan w:val="3"/>
            <w:tcBorders>
              <w:tl2br w:val="nil"/>
              <w:tr2bl w:val="nil"/>
            </w:tcBorders>
            <w:vAlign w:val="center"/>
          </w:tcPr>
          <w:p w14:paraId="28FA48F5">
            <w:pPr>
              <w:jc w:val="center"/>
              <w:rPr>
                <w:rFonts w:ascii="Times New Roman" w:hAnsi="Times New Roman" w:cs="Times New Roman"/>
                <w:sz w:val="24"/>
              </w:rPr>
            </w:pPr>
            <w:r>
              <w:rPr>
                <w:rFonts w:ascii="Times New Roman" w:hAnsi="Times New Roman" w:cs="Times New Roman"/>
                <w:color w:val="auto"/>
                <w:sz w:val="24"/>
                <w:lang w:bidi="ar"/>
              </w:rPr>
              <w:t>（</w:t>
            </w:r>
            <w:r>
              <w:rPr>
                <w:rFonts w:hint="eastAsia" w:ascii="Times New Roman" w:hAnsi="Times New Roman" w:cs="Times New Roman"/>
                <w:color w:val="auto"/>
                <w:sz w:val="24"/>
                <w:u w:val="single"/>
                <w:lang w:bidi="ar"/>
              </w:rPr>
              <w:t>100</w:t>
            </w:r>
            <w:r>
              <w:rPr>
                <w:rFonts w:ascii="Times New Roman" w:hAnsi="Times New Roman" w:cs="Times New Roman"/>
                <w:color w:val="auto"/>
                <w:sz w:val="24"/>
                <w:lang w:bidi="ar"/>
              </w:rPr>
              <w:t>度</w:t>
            </w:r>
            <w:r>
              <w:rPr>
                <w:rFonts w:hint="eastAsia" w:ascii="Times New Roman" w:hAnsi="Times New Roman" w:cs="Times New Roman"/>
                <w:color w:val="auto"/>
                <w:sz w:val="24"/>
                <w:u w:val="single"/>
                <w:lang w:bidi="ar"/>
              </w:rPr>
              <w:t>18</w:t>
            </w:r>
            <w:r>
              <w:rPr>
                <w:rFonts w:ascii="Times New Roman" w:hAnsi="Times New Roman" w:cs="Times New Roman"/>
                <w:color w:val="auto"/>
                <w:sz w:val="24"/>
                <w:lang w:bidi="ar"/>
              </w:rPr>
              <w:t>分</w:t>
            </w:r>
            <w:r>
              <w:rPr>
                <w:rFonts w:hint="eastAsia" w:ascii="Times New Roman" w:hAnsi="Times New Roman" w:cs="Times New Roman"/>
                <w:color w:val="auto"/>
                <w:sz w:val="24"/>
                <w:u w:val="single"/>
                <w:lang w:val="en-US" w:eastAsia="zh-CN" w:bidi="ar"/>
              </w:rPr>
              <w:t>24.120</w:t>
            </w:r>
            <w:r>
              <w:rPr>
                <w:rFonts w:ascii="Times New Roman" w:hAnsi="Times New Roman" w:cs="Times New Roman"/>
                <w:color w:val="auto"/>
                <w:sz w:val="24"/>
                <w:lang w:bidi="ar"/>
              </w:rPr>
              <w:t>秒，</w:t>
            </w:r>
            <w:r>
              <w:rPr>
                <w:rFonts w:hint="eastAsia" w:ascii="Times New Roman" w:hAnsi="Times New Roman" w:cs="Times New Roman"/>
                <w:color w:val="auto"/>
                <w:sz w:val="24"/>
                <w:u w:val="single"/>
                <w:lang w:bidi="ar"/>
              </w:rPr>
              <w:t>39</w:t>
            </w:r>
            <w:r>
              <w:rPr>
                <w:rFonts w:ascii="Times New Roman" w:hAnsi="Times New Roman" w:cs="Times New Roman"/>
                <w:color w:val="auto"/>
                <w:sz w:val="24"/>
                <w:lang w:bidi="ar"/>
              </w:rPr>
              <w:t>度</w:t>
            </w:r>
            <w:r>
              <w:rPr>
                <w:rFonts w:hint="eastAsia" w:ascii="Times New Roman" w:hAnsi="Times New Roman" w:cs="Times New Roman"/>
                <w:color w:val="auto"/>
                <w:sz w:val="24"/>
                <w:u w:val="single"/>
                <w:lang w:bidi="ar"/>
              </w:rPr>
              <w:t>16</w:t>
            </w:r>
            <w:r>
              <w:rPr>
                <w:rFonts w:ascii="Times New Roman" w:hAnsi="Times New Roman" w:cs="Times New Roman"/>
                <w:color w:val="auto"/>
                <w:sz w:val="24"/>
                <w:lang w:bidi="ar"/>
              </w:rPr>
              <w:t>分</w:t>
            </w:r>
            <w:r>
              <w:rPr>
                <w:rFonts w:hint="eastAsia" w:ascii="Times New Roman" w:hAnsi="Times New Roman" w:cs="Times New Roman"/>
                <w:color w:val="auto"/>
                <w:sz w:val="24"/>
                <w:u w:val="single"/>
                <w:lang w:val="en-US" w:eastAsia="zh-CN" w:bidi="ar"/>
              </w:rPr>
              <w:t>0.840</w:t>
            </w:r>
            <w:r>
              <w:rPr>
                <w:rFonts w:ascii="Times New Roman" w:hAnsi="Times New Roman" w:cs="Times New Roman"/>
                <w:color w:val="auto"/>
                <w:sz w:val="24"/>
                <w:lang w:bidi="ar"/>
              </w:rPr>
              <w:t>秒）</w:t>
            </w:r>
          </w:p>
        </w:tc>
      </w:tr>
      <w:tr w14:paraId="49993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1816" w:type="dxa"/>
            <w:tcBorders>
              <w:tl2br w:val="nil"/>
              <w:tr2bl w:val="nil"/>
            </w:tcBorders>
            <w:tcMar>
              <w:top w:w="16" w:type="dxa"/>
              <w:left w:w="16" w:type="dxa"/>
              <w:right w:w="16" w:type="dxa"/>
            </w:tcMar>
            <w:vAlign w:val="center"/>
          </w:tcPr>
          <w:p w14:paraId="7FE90E4A">
            <w:pPr>
              <w:adjustRightInd w:val="0"/>
              <w:snapToGrid w:val="0"/>
              <w:jc w:val="center"/>
              <w:rPr>
                <w:rFonts w:ascii="Times New Roman" w:hAnsi="Times New Roman" w:cs="Times New Roman"/>
                <w:sz w:val="24"/>
              </w:rPr>
            </w:pPr>
            <w:r>
              <w:rPr>
                <w:rFonts w:hint="eastAsia" w:ascii="Times New Roman" w:hAnsi="Times New Roman" w:cs="Times New Roman"/>
                <w:sz w:val="24"/>
              </w:rPr>
              <w:t>国民经济</w:t>
            </w:r>
          </w:p>
          <w:p w14:paraId="2AD620B9">
            <w:pPr>
              <w:adjustRightInd w:val="0"/>
              <w:snapToGrid w:val="0"/>
              <w:jc w:val="center"/>
              <w:rPr>
                <w:rFonts w:ascii="Times New Roman" w:hAnsi="Times New Roman" w:cs="Times New Roman"/>
                <w:sz w:val="24"/>
              </w:rPr>
            </w:pPr>
            <w:r>
              <w:rPr>
                <w:rFonts w:hint="eastAsia" w:ascii="Times New Roman" w:hAnsi="Times New Roman" w:cs="Times New Roman"/>
                <w:sz w:val="24"/>
              </w:rPr>
              <w:t>行业类别</w:t>
            </w:r>
          </w:p>
        </w:tc>
        <w:tc>
          <w:tcPr>
            <w:tcW w:w="2240" w:type="dxa"/>
            <w:tcBorders>
              <w:tl2br w:val="nil"/>
              <w:tr2bl w:val="nil"/>
            </w:tcBorders>
            <w:vAlign w:val="center"/>
          </w:tcPr>
          <w:p w14:paraId="73B22C26">
            <w:pPr>
              <w:adjustRightInd w:val="0"/>
              <w:snapToGrid w:val="0"/>
              <w:jc w:val="center"/>
              <w:rPr>
                <w:rFonts w:ascii="Times New Roman" w:hAnsi="Times New Roman" w:cs="Times New Roman"/>
                <w:sz w:val="24"/>
              </w:rPr>
            </w:pPr>
            <w:r>
              <w:rPr>
                <w:rFonts w:hint="eastAsia" w:ascii="Times New Roman" w:hAnsi="Times New Roman" w:cs="Times New Roman"/>
                <w:sz w:val="24"/>
              </w:rPr>
              <w:t>C3099其他非金属矿物制品制造；</w:t>
            </w:r>
          </w:p>
        </w:tc>
        <w:tc>
          <w:tcPr>
            <w:tcW w:w="1715" w:type="dxa"/>
            <w:tcBorders>
              <w:tl2br w:val="nil"/>
              <w:tr2bl w:val="nil"/>
            </w:tcBorders>
            <w:vAlign w:val="center"/>
          </w:tcPr>
          <w:p w14:paraId="1554B0EF">
            <w:pPr>
              <w:adjustRightInd w:val="0"/>
              <w:snapToGrid w:val="0"/>
              <w:jc w:val="center"/>
              <w:rPr>
                <w:rFonts w:ascii="Times New Roman" w:hAnsi="Times New Roman" w:cs="Times New Roman"/>
                <w:sz w:val="24"/>
              </w:rPr>
            </w:pPr>
            <w:bookmarkStart w:id="1" w:name="_Hlk49843745"/>
            <w:r>
              <w:rPr>
                <w:rFonts w:ascii="Times New Roman" w:hAnsi="Times New Roman" w:cs="Times New Roman"/>
                <w:sz w:val="24"/>
                <w:lang w:bidi="ar"/>
              </w:rPr>
              <w:t>建设项目</w:t>
            </w:r>
          </w:p>
          <w:p w14:paraId="6D146F81">
            <w:pPr>
              <w:adjustRightInd w:val="0"/>
              <w:snapToGrid w:val="0"/>
              <w:jc w:val="center"/>
              <w:rPr>
                <w:rFonts w:ascii="Times New Roman" w:hAnsi="Times New Roman" w:cs="Times New Roman"/>
                <w:sz w:val="24"/>
              </w:rPr>
            </w:pPr>
            <w:r>
              <w:rPr>
                <w:rFonts w:ascii="Times New Roman" w:hAnsi="Times New Roman" w:cs="Times New Roman"/>
                <w:sz w:val="24"/>
                <w:lang w:bidi="ar"/>
              </w:rPr>
              <w:t>行业类别</w:t>
            </w:r>
            <w:bookmarkEnd w:id="1"/>
          </w:p>
        </w:tc>
        <w:tc>
          <w:tcPr>
            <w:tcW w:w="2666" w:type="dxa"/>
            <w:tcBorders>
              <w:tl2br w:val="nil"/>
              <w:tr2bl w:val="nil"/>
            </w:tcBorders>
            <w:vAlign w:val="center"/>
          </w:tcPr>
          <w:p w14:paraId="440687EC">
            <w:pPr>
              <w:adjustRightInd w:val="0"/>
              <w:snapToGrid w:val="0"/>
              <w:jc w:val="center"/>
              <w:rPr>
                <w:rFonts w:ascii="Times New Roman" w:hAnsi="Times New Roman" w:cs="Times New Roman"/>
                <w:sz w:val="24"/>
              </w:rPr>
            </w:pPr>
            <w:r>
              <w:rPr>
                <w:rFonts w:ascii="Times New Roman" w:hAnsi="Times New Roman" w:cs="Times New Roman"/>
                <w:sz w:val="24"/>
              </w:rPr>
              <w:t>二十七、非金属矿物制品业30---60、耐火材料制品制造308；石墨及其他非金属矿物制品制造309---“其他”</w:t>
            </w:r>
          </w:p>
        </w:tc>
      </w:tr>
      <w:tr w14:paraId="1BB2D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19" w:hRule="atLeast"/>
          <w:jc w:val="center"/>
        </w:trPr>
        <w:tc>
          <w:tcPr>
            <w:tcW w:w="1816" w:type="dxa"/>
            <w:tcBorders>
              <w:tl2br w:val="nil"/>
              <w:tr2bl w:val="nil"/>
            </w:tcBorders>
            <w:tcMar>
              <w:top w:w="16" w:type="dxa"/>
              <w:left w:w="16" w:type="dxa"/>
              <w:right w:w="16" w:type="dxa"/>
            </w:tcMar>
            <w:vAlign w:val="center"/>
          </w:tcPr>
          <w:p w14:paraId="16D85BDF">
            <w:pPr>
              <w:adjustRightInd w:val="0"/>
              <w:snapToGrid w:val="0"/>
              <w:jc w:val="center"/>
              <w:rPr>
                <w:rFonts w:ascii="Times New Roman" w:hAnsi="Times New Roman" w:cs="Times New Roman"/>
                <w:sz w:val="24"/>
              </w:rPr>
            </w:pPr>
            <w:r>
              <w:rPr>
                <w:rFonts w:ascii="Times New Roman" w:hAnsi="Times New Roman" w:cs="Times New Roman"/>
                <w:sz w:val="24"/>
                <w:lang w:bidi="ar"/>
              </w:rPr>
              <w:t>建设性质</w:t>
            </w:r>
          </w:p>
        </w:tc>
        <w:tc>
          <w:tcPr>
            <w:tcW w:w="2240" w:type="dxa"/>
            <w:tcBorders>
              <w:tl2br w:val="nil"/>
              <w:tr2bl w:val="nil"/>
            </w:tcBorders>
            <w:vAlign w:val="center"/>
          </w:tcPr>
          <w:p w14:paraId="054938BB">
            <w:pPr>
              <w:jc w:val="both"/>
              <w:rPr>
                <w:rFonts w:ascii="Times New Roman" w:hAnsi="Times New Roman" w:cs="Times New Roman"/>
                <w:sz w:val="24"/>
              </w:rPr>
            </w:pPr>
            <w:r>
              <w:rPr>
                <w:rFonts w:hint="eastAsia" w:ascii="Times New Roman" w:hAnsi="Times New Roman" w:cs="Times New Roman"/>
                <w:sz w:val="24"/>
                <w:lang w:bidi="ar"/>
              </w:rPr>
              <w:t>☑</w:t>
            </w:r>
            <w:r>
              <w:rPr>
                <w:rFonts w:ascii="Times New Roman" w:hAnsi="Times New Roman" w:cs="Times New Roman"/>
                <w:sz w:val="24"/>
                <w:lang w:bidi="ar"/>
              </w:rPr>
              <w:t>新建（迁建）</w:t>
            </w:r>
          </w:p>
          <w:p w14:paraId="651212AE">
            <w:pPr>
              <w:jc w:val="both"/>
              <w:rPr>
                <w:rFonts w:ascii="Times New Roman" w:hAnsi="Times New Roman" w:cs="Times New Roman"/>
                <w:sz w:val="24"/>
              </w:rPr>
            </w:pPr>
            <w:r>
              <w:rPr>
                <w:rFonts w:hint="eastAsia" w:ascii="Times New Roman" w:hAnsi="Times New Roman" w:cs="Times New Roman"/>
                <w:sz w:val="24"/>
                <w:lang w:bidi="ar"/>
              </w:rPr>
              <w:t>□</w:t>
            </w:r>
            <w:r>
              <w:rPr>
                <w:rFonts w:ascii="Times New Roman" w:hAnsi="Times New Roman" w:cs="Times New Roman"/>
                <w:sz w:val="24"/>
                <w:lang w:bidi="ar"/>
              </w:rPr>
              <w:t>改建</w:t>
            </w:r>
          </w:p>
          <w:p w14:paraId="0163989F">
            <w:pPr>
              <w:jc w:val="both"/>
              <w:rPr>
                <w:rFonts w:ascii="Times New Roman" w:hAnsi="Times New Roman" w:cs="Times New Roman"/>
                <w:sz w:val="24"/>
              </w:rPr>
            </w:pPr>
            <w:r>
              <w:rPr>
                <w:rFonts w:hint="eastAsia" w:ascii="Times New Roman" w:hAnsi="Times New Roman" w:cs="Times New Roman"/>
                <w:sz w:val="24"/>
                <w:lang w:bidi="ar"/>
              </w:rPr>
              <w:t>□</w:t>
            </w:r>
            <w:r>
              <w:rPr>
                <w:rFonts w:ascii="Times New Roman" w:hAnsi="Times New Roman" w:cs="Times New Roman"/>
                <w:sz w:val="24"/>
                <w:lang w:bidi="ar"/>
              </w:rPr>
              <w:t>扩建</w:t>
            </w:r>
          </w:p>
          <w:p w14:paraId="64E2C574">
            <w:pPr>
              <w:jc w:val="both"/>
              <w:rPr>
                <w:rFonts w:ascii="Times New Roman" w:hAnsi="Times New Roman" w:cs="Times New Roman"/>
                <w:sz w:val="24"/>
              </w:rPr>
            </w:pPr>
            <w:r>
              <w:rPr>
                <w:rFonts w:hint="eastAsia" w:ascii="Times New Roman" w:hAnsi="Times New Roman" w:cs="Times New Roman"/>
                <w:sz w:val="24"/>
                <w:lang w:bidi="ar"/>
              </w:rPr>
              <w:t>□</w:t>
            </w:r>
            <w:r>
              <w:rPr>
                <w:rFonts w:ascii="Times New Roman" w:hAnsi="Times New Roman" w:cs="Times New Roman"/>
                <w:sz w:val="24"/>
                <w:lang w:bidi="ar"/>
              </w:rPr>
              <w:t>技术改造</w:t>
            </w:r>
          </w:p>
        </w:tc>
        <w:tc>
          <w:tcPr>
            <w:tcW w:w="1715" w:type="dxa"/>
            <w:tcBorders>
              <w:tl2br w:val="nil"/>
              <w:tr2bl w:val="nil"/>
            </w:tcBorders>
            <w:vAlign w:val="center"/>
          </w:tcPr>
          <w:p w14:paraId="6ABDEE19">
            <w:pPr>
              <w:adjustRightInd w:val="0"/>
              <w:snapToGrid w:val="0"/>
              <w:jc w:val="center"/>
              <w:rPr>
                <w:rFonts w:ascii="Times New Roman" w:hAnsi="Times New Roman" w:cs="Times New Roman"/>
                <w:sz w:val="24"/>
              </w:rPr>
            </w:pPr>
            <w:r>
              <w:rPr>
                <w:rFonts w:ascii="Times New Roman" w:hAnsi="Times New Roman" w:cs="Times New Roman"/>
                <w:sz w:val="24"/>
                <w:lang w:bidi="ar"/>
              </w:rPr>
              <w:t>建设项目</w:t>
            </w:r>
          </w:p>
          <w:p w14:paraId="13641D29">
            <w:pPr>
              <w:adjustRightInd w:val="0"/>
              <w:snapToGrid w:val="0"/>
              <w:jc w:val="center"/>
              <w:rPr>
                <w:rFonts w:ascii="Times New Roman" w:hAnsi="Times New Roman" w:cs="Times New Roman"/>
                <w:sz w:val="24"/>
              </w:rPr>
            </w:pPr>
            <w:r>
              <w:rPr>
                <w:rFonts w:ascii="Times New Roman" w:hAnsi="Times New Roman" w:cs="Times New Roman"/>
                <w:sz w:val="24"/>
                <w:lang w:bidi="ar"/>
              </w:rPr>
              <w:t>申报情形</w:t>
            </w:r>
          </w:p>
        </w:tc>
        <w:tc>
          <w:tcPr>
            <w:tcW w:w="2666" w:type="dxa"/>
            <w:tcBorders>
              <w:tl2br w:val="nil"/>
              <w:tr2bl w:val="nil"/>
            </w:tcBorders>
            <w:vAlign w:val="center"/>
          </w:tcPr>
          <w:p w14:paraId="02BF6CD7">
            <w:pPr>
              <w:jc w:val="both"/>
              <w:rPr>
                <w:rFonts w:ascii="Times New Roman" w:hAnsi="Times New Roman" w:cs="Times New Roman"/>
                <w:sz w:val="24"/>
              </w:rPr>
            </w:pPr>
            <w:r>
              <w:rPr>
                <w:rFonts w:hint="eastAsia" w:ascii="Times New Roman" w:hAnsi="Times New Roman" w:cs="Times New Roman"/>
                <w:sz w:val="24"/>
                <w:lang w:bidi="ar"/>
              </w:rPr>
              <w:t>☑</w:t>
            </w:r>
            <w:r>
              <w:rPr>
                <w:rFonts w:ascii="Times New Roman" w:hAnsi="Times New Roman" w:cs="Times New Roman"/>
                <w:sz w:val="24"/>
                <w:lang w:bidi="ar"/>
              </w:rPr>
              <w:t>首次申报项目</w:t>
            </w:r>
          </w:p>
          <w:p w14:paraId="04BF1767">
            <w:pPr>
              <w:jc w:val="both"/>
              <w:rPr>
                <w:rFonts w:ascii="Times New Roman" w:hAnsi="Times New Roman" w:cs="Times New Roman"/>
                <w:sz w:val="24"/>
              </w:rPr>
            </w:pPr>
            <w:r>
              <w:rPr>
                <w:rFonts w:hint="eastAsia" w:ascii="Times New Roman" w:hAnsi="Times New Roman" w:cs="Times New Roman"/>
                <w:sz w:val="24"/>
                <w:lang w:bidi="ar"/>
              </w:rPr>
              <w:t>□</w:t>
            </w:r>
            <w:r>
              <w:rPr>
                <w:rFonts w:ascii="Times New Roman" w:hAnsi="Times New Roman" w:cs="Times New Roman"/>
                <w:sz w:val="24"/>
                <w:lang w:bidi="ar"/>
              </w:rPr>
              <w:t>不予批准后再次申报项目</w:t>
            </w:r>
          </w:p>
          <w:p w14:paraId="31F16CBD">
            <w:pPr>
              <w:jc w:val="both"/>
              <w:rPr>
                <w:rFonts w:ascii="Times New Roman" w:hAnsi="Times New Roman" w:cs="Times New Roman"/>
                <w:sz w:val="24"/>
              </w:rPr>
            </w:pPr>
            <w:r>
              <w:rPr>
                <w:rFonts w:hint="eastAsia" w:ascii="Times New Roman" w:hAnsi="Times New Roman" w:cs="Times New Roman"/>
                <w:sz w:val="24"/>
                <w:lang w:bidi="ar"/>
              </w:rPr>
              <w:t>□</w:t>
            </w:r>
            <w:r>
              <w:rPr>
                <w:rFonts w:ascii="Times New Roman" w:hAnsi="Times New Roman" w:cs="Times New Roman"/>
                <w:sz w:val="24"/>
                <w:lang w:bidi="ar"/>
              </w:rPr>
              <w:t>超五年重新审核项目</w:t>
            </w:r>
          </w:p>
          <w:p w14:paraId="15E5607A">
            <w:pPr>
              <w:jc w:val="both"/>
              <w:rPr>
                <w:rFonts w:ascii="Times New Roman" w:hAnsi="Times New Roman" w:cs="Times New Roman"/>
                <w:sz w:val="24"/>
              </w:rPr>
            </w:pPr>
            <w:r>
              <w:rPr>
                <w:rFonts w:hint="eastAsia" w:ascii="Times New Roman" w:hAnsi="Times New Roman" w:cs="Times New Roman"/>
                <w:sz w:val="24"/>
                <w:lang w:bidi="ar"/>
              </w:rPr>
              <w:t>□</w:t>
            </w:r>
            <w:r>
              <w:rPr>
                <w:rFonts w:ascii="Times New Roman" w:hAnsi="Times New Roman" w:cs="Times New Roman"/>
                <w:sz w:val="24"/>
                <w:lang w:bidi="ar"/>
              </w:rPr>
              <w:t>重大变动重新报批项目</w:t>
            </w:r>
          </w:p>
        </w:tc>
      </w:tr>
      <w:tr w14:paraId="42C7FE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1816" w:type="dxa"/>
            <w:tcBorders>
              <w:tl2br w:val="nil"/>
              <w:tr2bl w:val="nil"/>
            </w:tcBorders>
            <w:tcMar>
              <w:top w:w="16" w:type="dxa"/>
              <w:left w:w="16" w:type="dxa"/>
              <w:right w:w="16" w:type="dxa"/>
            </w:tcMar>
            <w:vAlign w:val="center"/>
          </w:tcPr>
          <w:p w14:paraId="376365D2">
            <w:pPr>
              <w:adjustRightInd w:val="0"/>
              <w:snapToGrid w:val="0"/>
              <w:jc w:val="center"/>
              <w:rPr>
                <w:rFonts w:ascii="Times New Roman" w:hAnsi="Times New Roman" w:cs="Times New Roman"/>
                <w:sz w:val="24"/>
              </w:rPr>
            </w:pPr>
            <w:r>
              <w:rPr>
                <w:rFonts w:ascii="Times New Roman" w:hAnsi="Times New Roman" w:cs="Times New Roman"/>
                <w:sz w:val="24"/>
                <w:lang w:bidi="ar"/>
              </w:rPr>
              <w:t>项目审批（核准/</w:t>
            </w:r>
          </w:p>
          <w:p w14:paraId="7B46039D">
            <w:pPr>
              <w:adjustRightInd w:val="0"/>
              <w:snapToGrid w:val="0"/>
              <w:jc w:val="center"/>
              <w:rPr>
                <w:rFonts w:ascii="Times New Roman" w:hAnsi="Times New Roman" w:cs="Times New Roman"/>
                <w:sz w:val="24"/>
              </w:rPr>
            </w:pPr>
            <w:r>
              <w:rPr>
                <w:rFonts w:ascii="Times New Roman" w:hAnsi="Times New Roman" w:cs="Times New Roman"/>
                <w:sz w:val="24"/>
                <w:lang w:bidi="ar"/>
              </w:rPr>
              <w:t>备案）部门（选填）</w:t>
            </w:r>
          </w:p>
        </w:tc>
        <w:tc>
          <w:tcPr>
            <w:tcW w:w="2240" w:type="dxa"/>
            <w:tcBorders>
              <w:tl2br w:val="nil"/>
              <w:tr2bl w:val="nil"/>
            </w:tcBorders>
            <w:vAlign w:val="center"/>
          </w:tcPr>
          <w:p w14:paraId="480589C8">
            <w:pPr>
              <w:adjustRightInd w:val="0"/>
              <w:snapToGrid w:val="0"/>
              <w:jc w:val="center"/>
              <w:rPr>
                <w:rFonts w:ascii="Times New Roman" w:hAnsi="Times New Roman" w:cs="Times New Roman"/>
                <w:sz w:val="24"/>
              </w:rPr>
            </w:pPr>
            <w:r>
              <w:rPr>
                <w:rFonts w:ascii="Times New Roman" w:hAnsi="Times New Roman" w:cs="Times New Roman"/>
                <w:sz w:val="24"/>
              </w:rPr>
              <w:t>张掖市临泽县发展和改革局</w:t>
            </w:r>
          </w:p>
        </w:tc>
        <w:tc>
          <w:tcPr>
            <w:tcW w:w="1715" w:type="dxa"/>
            <w:tcBorders>
              <w:tl2br w:val="nil"/>
              <w:tr2bl w:val="nil"/>
            </w:tcBorders>
            <w:vAlign w:val="center"/>
          </w:tcPr>
          <w:p w14:paraId="17839F4A">
            <w:pPr>
              <w:adjustRightInd w:val="0"/>
              <w:snapToGrid w:val="0"/>
              <w:jc w:val="center"/>
              <w:rPr>
                <w:rFonts w:ascii="Times New Roman" w:hAnsi="Times New Roman" w:cs="Times New Roman"/>
                <w:sz w:val="24"/>
              </w:rPr>
            </w:pPr>
            <w:r>
              <w:rPr>
                <w:rFonts w:hint="eastAsia" w:ascii="Times New Roman" w:hAnsi="Times New Roman" w:cs="Times New Roman"/>
                <w:sz w:val="24"/>
              </w:rPr>
              <w:t>项目审批（核准/</w:t>
            </w:r>
          </w:p>
          <w:p w14:paraId="2F82A75C">
            <w:pPr>
              <w:adjustRightInd w:val="0"/>
              <w:snapToGrid w:val="0"/>
              <w:jc w:val="center"/>
              <w:rPr>
                <w:rFonts w:ascii="Times New Roman" w:hAnsi="Times New Roman" w:cs="Times New Roman"/>
                <w:sz w:val="24"/>
              </w:rPr>
            </w:pPr>
            <w:r>
              <w:rPr>
                <w:rFonts w:hint="eastAsia" w:ascii="Times New Roman" w:hAnsi="Times New Roman" w:cs="Times New Roman"/>
                <w:sz w:val="24"/>
              </w:rPr>
              <w:t>备案）文号（选填）</w:t>
            </w:r>
          </w:p>
        </w:tc>
        <w:tc>
          <w:tcPr>
            <w:tcW w:w="2666" w:type="dxa"/>
            <w:tcBorders>
              <w:tl2br w:val="nil"/>
              <w:tr2bl w:val="nil"/>
            </w:tcBorders>
            <w:vAlign w:val="center"/>
          </w:tcPr>
          <w:p w14:paraId="425B4738">
            <w:pPr>
              <w:adjustRightInd w:val="0"/>
              <w:snapToGrid w:val="0"/>
              <w:jc w:val="center"/>
              <w:rPr>
                <w:rFonts w:ascii="Times New Roman" w:hAnsi="Times New Roman" w:cs="Times New Roman"/>
                <w:sz w:val="24"/>
              </w:rPr>
            </w:pPr>
            <w:r>
              <w:rPr>
                <w:rFonts w:hint="eastAsia" w:ascii="Times New Roman" w:hAnsi="Times New Roman" w:cs="Times New Roman"/>
                <w:sz w:val="24"/>
              </w:rPr>
              <w:t>临发改（备）字〔2025〕106号</w:t>
            </w:r>
          </w:p>
        </w:tc>
      </w:tr>
      <w:tr w14:paraId="31848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12" w:hRule="atLeast"/>
          <w:jc w:val="center"/>
        </w:trPr>
        <w:tc>
          <w:tcPr>
            <w:tcW w:w="1816" w:type="dxa"/>
            <w:tcBorders>
              <w:tl2br w:val="nil"/>
              <w:tr2bl w:val="nil"/>
            </w:tcBorders>
            <w:tcMar>
              <w:top w:w="16" w:type="dxa"/>
              <w:left w:w="16" w:type="dxa"/>
              <w:right w:w="16" w:type="dxa"/>
            </w:tcMar>
            <w:vAlign w:val="center"/>
          </w:tcPr>
          <w:p w14:paraId="0D6E94C3">
            <w:pPr>
              <w:adjustRightInd w:val="0"/>
              <w:snapToGrid w:val="0"/>
              <w:jc w:val="center"/>
              <w:rPr>
                <w:rFonts w:ascii="Times New Roman" w:hAnsi="Times New Roman" w:cs="Times New Roman"/>
                <w:color w:val="auto"/>
                <w:sz w:val="24"/>
              </w:rPr>
            </w:pPr>
            <w:r>
              <w:rPr>
                <w:rFonts w:ascii="Times New Roman" w:hAnsi="Times New Roman" w:cs="Times New Roman"/>
                <w:color w:val="auto"/>
                <w:sz w:val="24"/>
                <w:lang w:bidi="ar"/>
              </w:rPr>
              <w:t>总投资（万元）</w:t>
            </w:r>
          </w:p>
        </w:tc>
        <w:tc>
          <w:tcPr>
            <w:tcW w:w="2240" w:type="dxa"/>
            <w:tcBorders>
              <w:tl2br w:val="nil"/>
              <w:tr2bl w:val="nil"/>
            </w:tcBorders>
            <w:vAlign w:val="center"/>
          </w:tcPr>
          <w:p w14:paraId="664DA7D9">
            <w:pPr>
              <w:adjustRightInd w:val="0"/>
              <w:snapToGrid w:val="0"/>
              <w:jc w:val="center"/>
              <w:rPr>
                <w:rFonts w:ascii="Times New Roman" w:hAnsi="Times New Roman" w:cs="Times New Roman"/>
                <w:color w:val="auto"/>
                <w:sz w:val="24"/>
              </w:rPr>
            </w:pPr>
            <w:r>
              <w:rPr>
                <w:rFonts w:hint="eastAsia" w:ascii="Times New Roman" w:hAnsi="Times New Roman" w:cs="Times New Roman"/>
                <w:color w:val="auto"/>
                <w:sz w:val="24"/>
              </w:rPr>
              <w:t>2000</w:t>
            </w:r>
          </w:p>
        </w:tc>
        <w:tc>
          <w:tcPr>
            <w:tcW w:w="1715" w:type="dxa"/>
            <w:tcBorders>
              <w:tl2br w:val="nil"/>
              <w:tr2bl w:val="nil"/>
            </w:tcBorders>
            <w:tcMar>
              <w:top w:w="16" w:type="dxa"/>
              <w:left w:w="16" w:type="dxa"/>
              <w:right w:w="16" w:type="dxa"/>
            </w:tcMar>
            <w:vAlign w:val="center"/>
          </w:tcPr>
          <w:p w14:paraId="4C2D13B6">
            <w:pPr>
              <w:adjustRightInd w:val="0"/>
              <w:snapToGrid w:val="0"/>
              <w:jc w:val="center"/>
              <w:rPr>
                <w:rFonts w:ascii="Times New Roman" w:hAnsi="Times New Roman" w:cs="Times New Roman"/>
                <w:color w:val="auto"/>
                <w:sz w:val="24"/>
              </w:rPr>
            </w:pPr>
            <w:r>
              <w:rPr>
                <w:rFonts w:ascii="Times New Roman" w:hAnsi="Times New Roman" w:cs="Times New Roman"/>
                <w:color w:val="auto"/>
                <w:sz w:val="24"/>
                <w:lang w:bidi="ar"/>
              </w:rPr>
              <w:t>环保投资（万元）</w:t>
            </w:r>
          </w:p>
        </w:tc>
        <w:tc>
          <w:tcPr>
            <w:tcW w:w="2666" w:type="dxa"/>
            <w:tcBorders>
              <w:tl2br w:val="nil"/>
              <w:tr2bl w:val="nil"/>
            </w:tcBorders>
            <w:vAlign w:val="center"/>
          </w:tcPr>
          <w:p w14:paraId="785A0BD3">
            <w:pPr>
              <w:adjustRightInd w:val="0"/>
              <w:snapToGrid w:val="0"/>
              <w:jc w:val="center"/>
              <w:rPr>
                <w:rFonts w:hint="default" w:ascii="Times New Roman" w:hAnsi="Times New Roman" w:cs="Times New Roman" w:eastAsiaTheme="minorEastAsia"/>
                <w:color w:val="auto"/>
                <w:sz w:val="24"/>
                <w:lang w:val="en-US" w:eastAsia="zh-CN"/>
              </w:rPr>
            </w:pPr>
            <w:r>
              <w:rPr>
                <w:rFonts w:hint="eastAsia" w:ascii="Times New Roman" w:hAnsi="Times New Roman" w:cs="Times New Roman"/>
                <w:color w:val="auto"/>
                <w:sz w:val="24"/>
                <w:lang w:val="en-US" w:eastAsia="zh-CN"/>
              </w:rPr>
              <w:t>100</w:t>
            </w:r>
          </w:p>
        </w:tc>
      </w:tr>
      <w:tr w14:paraId="32736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97" w:hRule="atLeast"/>
          <w:jc w:val="center"/>
        </w:trPr>
        <w:tc>
          <w:tcPr>
            <w:tcW w:w="1816" w:type="dxa"/>
            <w:tcBorders>
              <w:tl2br w:val="nil"/>
              <w:tr2bl w:val="nil"/>
            </w:tcBorders>
            <w:tcMar>
              <w:top w:w="16" w:type="dxa"/>
              <w:left w:w="16" w:type="dxa"/>
              <w:right w:w="16" w:type="dxa"/>
            </w:tcMar>
            <w:vAlign w:val="center"/>
          </w:tcPr>
          <w:p w14:paraId="4552C735">
            <w:pPr>
              <w:adjustRightInd w:val="0"/>
              <w:snapToGrid w:val="0"/>
              <w:jc w:val="center"/>
              <w:rPr>
                <w:rFonts w:ascii="Times New Roman" w:hAnsi="Times New Roman" w:cs="Times New Roman"/>
                <w:color w:val="auto"/>
                <w:sz w:val="24"/>
              </w:rPr>
            </w:pPr>
            <w:r>
              <w:rPr>
                <w:rFonts w:ascii="Times New Roman" w:hAnsi="Times New Roman" w:cs="Times New Roman"/>
                <w:color w:val="auto"/>
                <w:sz w:val="24"/>
                <w:lang w:bidi="ar"/>
              </w:rPr>
              <w:t>环保投资占比（%）</w:t>
            </w:r>
          </w:p>
        </w:tc>
        <w:tc>
          <w:tcPr>
            <w:tcW w:w="2240" w:type="dxa"/>
            <w:tcBorders>
              <w:tl2br w:val="nil"/>
              <w:tr2bl w:val="nil"/>
            </w:tcBorders>
            <w:vAlign w:val="center"/>
          </w:tcPr>
          <w:p w14:paraId="13B10370">
            <w:pPr>
              <w:adjustRightInd w:val="0"/>
              <w:snapToGrid w:val="0"/>
              <w:jc w:val="center"/>
              <w:rPr>
                <w:rFonts w:hint="eastAsia" w:ascii="Times New Roman" w:hAnsi="Times New Roman" w:cs="Times New Roman" w:eastAsiaTheme="minorEastAsia"/>
                <w:color w:val="auto"/>
                <w:sz w:val="24"/>
                <w:lang w:eastAsia="zh-CN"/>
              </w:rPr>
            </w:pPr>
            <w:r>
              <w:rPr>
                <w:rFonts w:hint="eastAsia" w:ascii="Times New Roman" w:hAnsi="Times New Roman" w:cs="Times New Roman"/>
                <w:color w:val="auto"/>
                <w:sz w:val="24"/>
                <w:lang w:val="en-US" w:eastAsia="zh-CN"/>
              </w:rPr>
              <w:t>5</w:t>
            </w:r>
          </w:p>
        </w:tc>
        <w:tc>
          <w:tcPr>
            <w:tcW w:w="1715" w:type="dxa"/>
            <w:tcBorders>
              <w:tl2br w:val="nil"/>
              <w:tr2bl w:val="nil"/>
            </w:tcBorders>
            <w:tcMar>
              <w:top w:w="16" w:type="dxa"/>
              <w:left w:w="16" w:type="dxa"/>
              <w:right w:w="16" w:type="dxa"/>
            </w:tcMar>
            <w:vAlign w:val="center"/>
          </w:tcPr>
          <w:p w14:paraId="08DDA899">
            <w:pPr>
              <w:adjustRightInd w:val="0"/>
              <w:snapToGrid w:val="0"/>
              <w:jc w:val="center"/>
              <w:rPr>
                <w:rFonts w:ascii="Times New Roman" w:hAnsi="Times New Roman" w:cs="Times New Roman"/>
                <w:color w:val="FF0000"/>
                <w:sz w:val="24"/>
              </w:rPr>
            </w:pPr>
            <w:r>
              <w:rPr>
                <w:rFonts w:ascii="Times New Roman" w:hAnsi="Times New Roman" w:cs="Times New Roman"/>
                <w:color w:val="FF0000"/>
                <w:sz w:val="24"/>
                <w:lang w:bidi="ar"/>
              </w:rPr>
              <w:t>施工工期</w:t>
            </w:r>
          </w:p>
        </w:tc>
        <w:tc>
          <w:tcPr>
            <w:tcW w:w="2666" w:type="dxa"/>
            <w:tcBorders>
              <w:tl2br w:val="nil"/>
              <w:tr2bl w:val="nil"/>
            </w:tcBorders>
            <w:vAlign w:val="center"/>
          </w:tcPr>
          <w:p w14:paraId="3A999EF1">
            <w:pPr>
              <w:adjustRightInd w:val="0"/>
              <w:snapToGrid w:val="0"/>
              <w:jc w:val="center"/>
              <w:rPr>
                <w:rFonts w:ascii="Times New Roman" w:hAnsi="Times New Roman" w:cs="Times New Roman"/>
                <w:color w:val="FF0000"/>
                <w:sz w:val="24"/>
              </w:rPr>
            </w:pPr>
            <w:r>
              <w:rPr>
                <w:rFonts w:hint="eastAsia" w:ascii="Times New Roman" w:hAnsi="Times New Roman" w:cs="Times New Roman"/>
                <w:color w:val="FF0000"/>
                <w:sz w:val="24"/>
                <w:lang w:val="en-US" w:eastAsia="zh-CN"/>
              </w:rPr>
              <w:t>1</w:t>
            </w:r>
            <w:r>
              <w:rPr>
                <w:rFonts w:hint="eastAsia" w:ascii="Times New Roman" w:hAnsi="Times New Roman" w:cs="Times New Roman"/>
                <w:color w:val="FF0000"/>
                <w:sz w:val="24"/>
              </w:rPr>
              <w:t>个月</w:t>
            </w:r>
          </w:p>
        </w:tc>
      </w:tr>
      <w:tr w14:paraId="6CF27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97" w:hRule="atLeast"/>
          <w:jc w:val="center"/>
        </w:trPr>
        <w:tc>
          <w:tcPr>
            <w:tcW w:w="1816" w:type="dxa"/>
            <w:tcBorders>
              <w:tl2br w:val="nil"/>
              <w:tr2bl w:val="nil"/>
            </w:tcBorders>
            <w:tcMar>
              <w:top w:w="16" w:type="dxa"/>
              <w:left w:w="16" w:type="dxa"/>
              <w:right w:w="16" w:type="dxa"/>
            </w:tcMar>
            <w:vAlign w:val="center"/>
          </w:tcPr>
          <w:p w14:paraId="1059856A">
            <w:pPr>
              <w:adjustRightInd w:val="0"/>
              <w:snapToGrid w:val="0"/>
              <w:jc w:val="center"/>
              <w:rPr>
                <w:rFonts w:ascii="Times New Roman" w:hAnsi="Times New Roman" w:cs="Times New Roman"/>
                <w:color w:val="auto"/>
                <w:sz w:val="24"/>
              </w:rPr>
            </w:pPr>
            <w:r>
              <w:rPr>
                <w:rFonts w:ascii="Times New Roman" w:hAnsi="Times New Roman" w:cs="Times New Roman"/>
                <w:color w:val="auto"/>
                <w:sz w:val="24"/>
                <w:lang w:bidi="ar"/>
              </w:rPr>
              <w:t>是否开工建设</w:t>
            </w:r>
          </w:p>
        </w:tc>
        <w:tc>
          <w:tcPr>
            <w:tcW w:w="2240" w:type="dxa"/>
            <w:tcBorders>
              <w:tl2br w:val="nil"/>
              <w:tr2bl w:val="nil"/>
            </w:tcBorders>
            <w:vAlign w:val="center"/>
          </w:tcPr>
          <w:p w14:paraId="555FF585">
            <w:pPr>
              <w:adjustRightInd w:val="0"/>
              <w:snapToGrid w:val="0"/>
              <w:rPr>
                <w:rFonts w:ascii="Times New Roman" w:hAnsi="Times New Roman" w:cs="Times New Roman"/>
                <w:color w:val="auto"/>
                <w:sz w:val="24"/>
              </w:rPr>
            </w:pPr>
            <w:r>
              <w:rPr>
                <w:rFonts w:hint="eastAsia" w:ascii="Times New Roman" w:hAnsi="Times New Roman" w:cs="Times New Roman"/>
                <w:color w:val="auto"/>
                <w:sz w:val="24"/>
                <w:lang w:eastAsia="zh-CN" w:bidi="ar"/>
              </w:rPr>
              <w:t>□</w:t>
            </w:r>
            <w:r>
              <w:rPr>
                <w:rFonts w:ascii="Times New Roman" w:hAnsi="Times New Roman" w:cs="Times New Roman"/>
                <w:color w:val="auto"/>
                <w:sz w:val="24"/>
                <w:lang w:bidi="ar"/>
              </w:rPr>
              <w:t>否</w:t>
            </w:r>
          </w:p>
          <w:p w14:paraId="5D5ACA21">
            <w:pPr>
              <w:keepNext w:val="0"/>
              <w:keepLines w:val="0"/>
              <w:pageBreakBefore w:val="0"/>
              <w:widowControl w:val="0"/>
              <w:kinsoku/>
              <w:wordWrap w:val="0"/>
              <w:overflowPunct/>
              <w:topLinePunct/>
              <w:autoSpaceDE/>
              <w:autoSpaceDN/>
              <w:bidi w:val="0"/>
              <w:adjustRightInd w:val="0"/>
              <w:snapToGrid w:val="0"/>
              <w:textAlignment w:val="auto"/>
              <w:rPr>
                <w:rFonts w:ascii="Times New Roman" w:hAnsi="Times New Roman" w:cs="Times New Roman"/>
                <w:color w:val="auto"/>
                <w:sz w:val="24"/>
              </w:rPr>
            </w:pPr>
            <w:r>
              <w:rPr>
                <w:rFonts w:hint="eastAsia" w:ascii="Times New Roman" w:hAnsi="Times New Roman" w:cs="Times New Roman"/>
                <w:color w:val="FF0000"/>
                <w:sz w:val="24"/>
                <w:lang w:eastAsia="zh-CN" w:bidi="ar"/>
              </w:rPr>
              <w:t>☑</w:t>
            </w:r>
            <w:r>
              <w:rPr>
                <w:rFonts w:ascii="Times New Roman" w:hAnsi="Times New Roman" w:cs="Times New Roman"/>
                <w:color w:val="FF0000"/>
                <w:sz w:val="24"/>
                <w:lang w:bidi="ar"/>
              </w:rPr>
              <w:t>是：</w:t>
            </w:r>
            <w:r>
              <w:rPr>
                <w:rFonts w:hint="eastAsia" w:ascii="Times New Roman" w:hAnsi="Times New Roman" w:cs="Times New Roman"/>
                <w:color w:val="FF0000"/>
                <w:sz w:val="24"/>
                <w:u w:val="single"/>
                <w:lang w:val="en-US" w:eastAsia="zh-CN" w:bidi="ar"/>
              </w:rPr>
              <w:t>本项目为未批先建。张掖市生态环境局于2026年7月28日对</w:t>
            </w:r>
            <w:r>
              <w:rPr>
                <w:rFonts w:ascii="Times New Roman" w:hAnsi="Times New Roman" w:cs="Times New Roman"/>
                <w:color w:val="FF0000"/>
                <w:sz w:val="24"/>
                <w:u w:val="single"/>
                <w:lang w:bidi="ar"/>
              </w:rPr>
              <w:t>甘肃聚联新型材料有限公司</w:t>
            </w:r>
            <w:r>
              <w:rPr>
                <w:rFonts w:hint="eastAsia" w:ascii="Times New Roman" w:hAnsi="Times New Roman" w:cs="Times New Roman"/>
                <w:color w:val="FF0000"/>
                <w:sz w:val="24"/>
                <w:u w:val="single"/>
                <w:lang w:eastAsia="zh-CN" w:bidi="ar"/>
              </w:rPr>
              <w:t>（</w:t>
            </w:r>
            <w:r>
              <w:rPr>
                <w:rFonts w:hint="eastAsia" w:ascii="Times New Roman" w:hAnsi="Times New Roman" w:cs="Times New Roman"/>
                <w:color w:val="FF0000"/>
                <w:sz w:val="24"/>
                <w:u w:val="single"/>
                <w:lang w:val="en-US" w:eastAsia="zh-CN" w:bidi="ar"/>
              </w:rPr>
              <w:t>即本项目主体建设单位</w:t>
            </w:r>
            <w:r>
              <w:rPr>
                <w:rFonts w:hint="eastAsia" w:ascii="Times New Roman" w:hAnsi="Times New Roman" w:cs="Times New Roman"/>
                <w:color w:val="FF0000"/>
                <w:sz w:val="24"/>
                <w:u w:val="single"/>
                <w:lang w:eastAsia="zh-CN" w:bidi="ar"/>
              </w:rPr>
              <w:t>）</w:t>
            </w:r>
            <w:r>
              <w:rPr>
                <w:rFonts w:hint="eastAsia" w:ascii="Times New Roman" w:hAnsi="Times New Roman" w:cs="Times New Roman"/>
                <w:color w:val="FF0000"/>
                <w:sz w:val="24"/>
                <w:u w:val="single"/>
                <w:lang w:val="en-US" w:eastAsia="zh-CN" w:bidi="ar"/>
              </w:rPr>
              <w:t>进行了调查，发现</w:t>
            </w:r>
            <w:r>
              <w:rPr>
                <w:rFonts w:ascii="Times New Roman" w:hAnsi="Times New Roman" w:cs="Times New Roman"/>
                <w:color w:val="FF0000"/>
                <w:sz w:val="24"/>
                <w:u w:val="single"/>
                <w:lang w:bidi="ar"/>
              </w:rPr>
              <w:t>甘肃聚联新型材料有限公司</w:t>
            </w:r>
            <w:r>
              <w:rPr>
                <w:rFonts w:hint="eastAsia" w:ascii="Times New Roman" w:hAnsi="Times New Roman" w:cs="Times New Roman"/>
                <w:color w:val="FF0000"/>
                <w:sz w:val="24"/>
                <w:u w:val="single"/>
                <w:lang w:val="en-US" w:eastAsia="zh-CN" w:bidi="ar"/>
              </w:rPr>
              <w:t>1条耐候性沥青混凝土生产线和1条乳化沥青生产线未经生态环境保护主管部门审批擅自建成（即未批先建）。因初次违法且危害后果轻微并及时改正，张掖市生态环境局决定不予处罚。2026年8月12日，张掖市生态环境局出具了《张掖市生态环境局不予行政处罚决定书》（张环（临）不罚【2026】4号）。</w:t>
            </w:r>
          </w:p>
        </w:tc>
        <w:tc>
          <w:tcPr>
            <w:tcW w:w="1715" w:type="dxa"/>
            <w:tcBorders>
              <w:tl2br w:val="nil"/>
              <w:tr2bl w:val="nil"/>
            </w:tcBorders>
            <w:tcMar>
              <w:top w:w="16" w:type="dxa"/>
              <w:left w:w="16" w:type="dxa"/>
              <w:right w:w="16" w:type="dxa"/>
            </w:tcMar>
            <w:vAlign w:val="center"/>
          </w:tcPr>
          <w:p w14:paraId="7F093385">
            <w:pPr>
              <w:adjustRightInd w:val="0"/>
              <w:snapToGrid w:val="0"/>
              <w:jc w:val="center"/>
              <w:rPr>
                <w:rFonts w:ascii="Times New Roman" w:hAnsi="Times New Roman" w:cs="Times New Roman"/>
                <w:sz w:val="24"/>
              </w:rPr>
            </w:pPr>
            <w:r>
              <w:rPr>
                <w:rFonts w:ascii="Times New Roman" w:hAnsi="Times New Roman" w:cs="Times New Roman"/>
                <w:spacing w:val="-6"/>
                <w:sz w:val="24"/>
                <w:lang w:bidi="ar"/>
              </w:rPr>
              <w:t>用地面积（m</w:t>
            </w:r>
            <w:r>
              <w:rPr>
                <w:rFonts w:ascii="Times New Roman" w:hAnsi="Times New Roman" w:cs="Times New Roman"/>
                <w:spacing w:val="-6"/>
                <w:sz w:val="24"/>
                <w:vertAlign w:val="superscript"/>
                <w:lang w:bidi="ar"/>
              </w:rPr>
              <w:t>2</w:t>
            </w:r>
            <w:r>
              <w:rPr>
                <w:rFonts w:ascii="Times New Roman" w:hAnsi="Times New Roman" w:cs="Times New Roman"/>
                <w:spacing w:val="-6"/>
                <w:sz w:val="24"/>
                <w:lang w:bidi="ar"/>
              </w:rPr>
              <w:t>）</w:t>
            </w:r>
          </w:p>
        </w:tc>
        <w:tc>
          <w:tcPr>
            <w:tcW w:w="2666" w:type="dxa"/>
            <w:tcBorders>
              <w:tl2br w:val="nil"/>
              <w:tr2bl w:val="nil"/>
            </w:tcBorders>
            <w:vAlign w:val="center"/>
          </w:tcPr>
          <w:p w14:paraId="1F0A65DC">
            <w:pPr>
              <w:adjustRightInd w:val="0"/>
              <w:snapToGrid w:val="0"/>
              <w:jc w:val="center"/>
              <w:rPr>
                <w:rFonts w:ascii="Times New Roman" w:hAnsi="Times New Roman" w:cs="Times New Roman"/>
                <w:sz w:val="24"/>
              </w:rPr>
            </w:pPr>
            <w:r>
              <w:rPr>
                <w:rFonts w:hint="eastAsia" w:ascii="Times New Roman" w:hAnsi="Times New Roman" w:cs="Times New Roman"/>
                <w:sz w:val="24"/>
              </w:rPr>
              <w:t>16008m</w:t>
            </w:r>
            <w:r>
              <w:rPr>
                <w:rFonts w:hint="eastAsia" w:ascii="Times New Roman" w:hAnsi="Times New Roman" w:cs="Times New Roman"/>
                <w:sz w:val="24"/>
                <w:vertAlign w:val="superscript"/>
              </w:rPr>
              <w:t>2</w:t>
            </w:r>
          </w:p>
        </w:tc>
      </w:tr>
      <w:tr w14:paraId="21127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1816" w:type="dxa"/>
            <w:tcBorders>
              <w:tl2br w:val="nil"/>
              <w:tr2bl w:val="nil"/>
            </w:tcBorders>
            <w:tcMar>
              <w:left w:w="108" w:type="dxa"/>
              <w:right w:w="108" w:type="dxa"/>
            </w:tcMar>
            <w:vAlign w:val="center"/>
          </w:tcPr>
          <w:p w14:paraId="2D924FE5">
            <w:pPr>
              <w:autoSpaceDE w:val="0"/>
              <w:autoSpaceDN w:val="0"/>
              <w:adjustRightInd w:val="0"/>
              <w:snapToGrid w:val="0"/>
              <w:jc w:val="center"/>
              <w:rPr>
                <w:rFonts w:ascii="Times New Roman" w:hAnsi="Times New Roman" w:cs="Times New Roman"/>
                <w:color w:val="FF0000"/>
                <w:kern w:val="0"/>
                <w:sz w:val="24"/>
              </w:rPr>
            </w:pPr>
            <w:r>
              <w:rPr>
                <w:rFonts w:ascii="Times New Roman" w:hAnsi="Times New Roman" w:cs="Times New Roman"/>
                <w:kern w:val="0"/>
                <w:sz w:val="24"/>
                <w:lang w:bidi="ar"/>
              </w:rPr>
              <w:t>专项评价设置情况</w:t>
            </w:r>
          </w:p>
        </w:tc>
        <w:tc>
          <w:tcPr>
            <w:tcW w:w="6621" w:type="dxa"/>
            <w:gridSpan w:val="3"/>
            <w:tcBorders>
              <w:tl2br w:val="nil"/>
              <w:tr2bl w:val="nil"/>
            </w:tcBorders>
            <w:tcMar>
              <w:left w:w="108" w:type="dxa"/>
              <w:right w:w="108" w:type="dxa"/>
            </w:tcMar>
            <w:vAlign w:val="center"/>
          </w:tcPr>
          <w:p w14:paraId="610FC8C0">
            <w:pPr>
              <w:spacing w:line="360" w:lineRule="auto"/>
              <w:ind w:firstLine="480" w:firstLineChars="200"/>
              <w:rPr>
                <w:rFonts w:ascii="Times New Roman" w:hAnsi="Times New Roman" w:eastAsia="宋体" w:cs="Times New Roman"/>
                <w:snapToGrid w:val="0"/>
                <w:kern w:val="0"/>
                <w:sz w:val="24"/>
              </w:rPr>
            </w:pPr>
            <w:r>
              <w:rPr>
                <w:rFonts w:hint="eastAsia" w:ascii="Times New Roman" w:hAnsi="Times New Roman" w:eastAsia="宋体" w:cs="Times New Roman"/>
                <w:snapToGrid w:val="0"/>
                <w:kern w:val="0"/>
                <w:sz w:val="24"/>
              </w:rPr>
              <w:t>本项目</w:t>
            </w:r>
            <w:r>
              <w:rPr>
                <w:rFonts w:ascii="Times New Roman" w:hAnsi="Times New Roman" w:eastAsia="宋体" w:cs="Times New Roman"/>
                <w:snapToGrid w:val="0"/>
                <w:kern w:val="0"/>
                <w:sz w:val="24"/>
              </w:rPr>
              <w:t>不设置专项评价。</w:t>
            </w:r>
            <w:r>
              <w:rPr>
                <w:rFonts w:hint="eastAsia" w:ascii="Times New Roman" w:hAnsi="Times New Roman" w:eastAsia="宋体" w:cs="Times New Roman"/>
                <w:snapToGrid w:val="0"/>
                <w:kern w:val="0"/>
                <w:sz w:val="24"/>
              </w:rPr>
              <w:t>专项评价设置原则与本项目实际情况对照详见表1-1。</w:t>
            </w:r>
          </w:p>
          <w:p w14:paraId="35954F4F">
            <w:pPr>
              <w:spacing w:line="360" w:lineRule="auto"/>
              <w:jc w:val="center"/>
              <w:rPr>
                <w:rFonts w:ascii="Times New Roman" w:hAnsi="Times New Roman" w:eastAsia="宋体" w:cs="Times New Roman"/>
                <w:b/>
                <w:bCs/>
                <w:snapToGrid w:val="0"/>
                <w:kern w:val="0"/>
                <w:sz w:val="24"/>
              </w:rPr>
            </w:pPr>
            <w:r>
              <w:rPr>
                <w:rFonts w:hint="eastAsia" w:ascii="Times New Roman" w:hAnsi="Times New Roman" w:eastAsia="宋体" w:cs="Times New Roman"/>
                <w:b/>
                <w:bCs/>
                <w:snapToGrid w:val="0"/>
                <w:kern w:val="0"/>
                <w:sz w:val="24"/>
              </w:rPr>
              <w:t>表1-1 专项评价设置情况一览表</w:t>
            </w:r>
          </w:p>
          <w:tbl>
            <w:tblPr>
              <w:tblStyle w:val="28"/>
              <w:tblW w:w="49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2228"/>
              <w:gridCol w:w="2361"/>
              <w:gridCol w:w="873"/>
            </w:tblGrid>
            <w:tr w14:paraId="3C63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8" w:type="pct"/>
                  <w:tcBorders>
                    <w:tl2br w:val="nil"/>
                    <w:tr2bl w:val="nil"/>
                  </w:tcBorders>
                  <w:vAlign w:val="center"/>
                </w:tcPr>
                <w:p w14:paraId="3C105035">
                  <w:pPr>
                    <w:autoSpaceDE w:val="0"/>
                    <w:autoSpaceDN w:val="0"/>
                    <w:adjustRightInd w:val="0"/>
                    <w:snapToGrid w:val="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类别</w:t>
                  </w:r>
                </w:p>
              </w:tc>
              <w:tc>
                <w:tcPr>
                  <w:tcW w:w="1751" w:type="pct"/>
                  <w:tcBorders>
                    <w:tl2br w:val="nil"/>
                    <w:tr2bl w:val="nil"/>
                  </w:tcBorders>
                  <w:vAlign w:val="center"/>
                </w:tcPr>
                <w:p w14:paraId="58E1D82B">
                  <w:pPr>
                    <w:autoSpaceDE w:val="0"/>
                    <w:autoSpaceDN w:val="0"/>
                    <w:adjustRightInd w:val="0"/>
                    <w:snapToGrid w:val="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设置原则</w:t>
                  </w:r>
                </w:p>
              </w:tc>
              <w:tc>
                <w:tcPr>
                  <w:tcW w:w="1855" w:type="pct"/>
                  <w:tcBorders>
                    <w:tl2br w:val="nil"/>
                    <w:tr2bl w:val="nil"/>
                  </w:tcBorders>
                  <w:vAlign w:val="center"/>
                </w:tcPr>
                <w:p w14:paraId="6B2EDE6F">
                  <w:pPr>
                    <w:autoSpaceDE w:val="0"/>
                    <w:autoSpaceDN w:val="0"/>
                    <w:adjustRightInd w:val="0"/>
                    <w:snapToGrid w:val="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本项目实际情况</w:t>
                  </w:r>
                </w:p>
              </w:tc>
              <w:tc>
                <w:tcPr>
                  <w:tcW w:w="684" w:type="pct"/>
                  <w:tcBorders>
                    <w:tl2br w:val="nil"/>
                    <w:tr2bl w:val="nil"/>
                  </w:tcBorders>
                  <w:vAlign w:val="center"/>
                </w:tcPr>
                <w:p w14:paraId="001828FC">
                  <w:pPr>
                    <w:autoSpaceDE w:val="0"/>
                    <w:autoSpaceDN w:val="0"/>
                    <w:adjustRightInd w:val="0"/>
                    <w:snapToGrid w:val="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设置</w:t>
                  </w:r>
                </w:p>
                <w:p w14:paraId="39E90B50">
                  <w:pPr>
                    <w:autoSpaceDE w:val="0"/>
                    <w:autoSpaceDN w:val="0"/>
                    <w:adjustRightInd w:val="0"/>
                    <w:snapToGrid w:val="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情况</w:t>
                  </w:r>
                </w:p>
              </w:tc>
            </w:tr>
            <w:tr w14:paraId="788B0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8" w:type="pct"/>
                  <w:tcBorders>
                    <w:tl2br w:val="nil"/>
                    <w:tr2bl w:val="nil"/>
                  </w:tcBorders>
                  <w:vAlign w:val="center"/>
                </w:tcPr>
                <w:p w14:paraId="5AA21A4A">
                  <w:pPr>
                    <w:autoSpaceDE w:val="0"/>
                    <w:autoSpaceDN w:val="0"/>
                    <w:adjustRightInd w:val="0"/>
                    <w:snapToGri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大气</w:t>
                  </w:r>
                </w:p>
              </w:tc>
              <w:tc>
                <w:tcPr>
                  <w:tcW w:w="1751" w:type="pct"/>
                  <w:tcBorders>
                    <w:tl2br w:val="nil"/>
                    <w:tr2bl w:val="nil"/>
                  </w:tcBorders>
                  <w:vAlign w:val="center"/>
                </w:tcPr>
                <w:p w14:paraId="17D77070">
                  <w:pPr>
                    <w:autoSpaceDE w:val="0"/>
                    <w:autoSpaceDN w:val="0"/>
                    <w:adjustRightInd w:val="0"/>
                    <w:snapToGrid w:val="0"/>
                    <w:rPr>
                      <w:rFonts w:ascii="Times New Roman" w:hAnsi="Times New Roman" w:eastAsia="宋体" w:cs="Times New Roman"/>
                      <w:kern w:val="0"/>
                      <w:szCs w:val="21"/>
                    </w:rPr>
                  </w:pPr>
                  <w:r>
                    <w:rPr>
                      <w:rFonts w:hint="eastAsia" w:ascii="Times New Roman" w:hAnsi="Times New Roman" w:eastAsia="宋体" w:cs="Times New Roman"/>
                      <w:kern w:val="0"/>
                      <w:szCs w:val="21"/>
                    </w:rPr>
                    <w:t>排放废气含有毒有害污染物</w:t>
                  </w:r>
                  <w:r>
                    <w:rPr>
                      <w:rFonts w:hint="eastAsia" w:ascii="Times New Roman" w:hAnsi="Times New Roman" w:eastAsia="宋体" w:cs="Times New Roman"/>
                      <w:b/>
                      <w:bCs/>
                      <w:kern w:val="0"/>
                      <w:szCs w:val="21"/>
                      <w:vertAlign w:val="superscript"/>
                    </w:rPr>
                    <w:t>1</w:t>
                  </w:r>
                  <w:r>
                    <w:rPr>
                      <w:rFonts w:hint="eastAsia" w:ascii="Times New Roman" w:hAnsi="Times New Roman" w:eastAsia="宋体" w:cs="Times New Roman"/>
                      <w:kern w:val="0"/>
                      <w:szCs w:val="21"/>
                    </w:rPr>
                    <w:t>、二噁英、苯并[a]芘、氰化物、氯气且厂界外500米范围内有环境空气保护目标</w:t>
                  </w:r>
                  <w:r>
                    <w:rPr>
                      <w:rFonts w:hint="eastAsia" w:ascii="Times New Roman" w:hAnsi="Times New Roman" w:eastAsia="宋体" w:cs="Times New Roman"/>
                      <w:b/>
                      <w:bCs/>
                      <w:kern w:val="0"/>
                      <w:szCs w:val="21"/>
                      <w:vertAlign w:val="superscript"/>
                    </w:rPr>
                    <w:t>2</w:t>
                  </w:r>
                  <w:r>
                    <w:rPr>
                      <w:rFonts w:hint="eastAsia" w:ascii="Times New Roman" w:hAnsi="Times New Roman" w:eastAsia="宋体" w:cs="Times New Roman"/>
                      <w:kern w:val="0"/>
                      <w:szCs w:val="21"/>
                    </w:rPr>
                    <w:t>的建设项目；</w:t>
                  </w:r>
                </w:p>
              </w:tc>
              <w:tc>
                <w:tcPr>
                  <w:tcW w:w="1855" w:type="pct"/>
                  <w:tcBorders>
                    <w:tl2br w:val="nil"/>
                    <w:tr2bl w:val="nil"/>
                  </w:tcBorders>
                  <w:vAlign w:val="center"/>
                </w:tcPr>
                <w:p w14:paraId="3F012D36">
                  <w:pPr>
                    <w:wordWrap w:val="0"/>
                    <w:topLinePunct/>
                    <w:adjustRightInd w:val="0"/>
                    <w:snapToGrid w:val="0"/>
                    <w:rPr>
                      <w:rFonts w:hint="default" w:ascii="Times New Roman" w:hAnsi="Times New Roman" w:eastAsia="宋体" w:cs="Times New Roman"/>
                      <w:kern w:val="0"/>
                      <w:szCs w:val="21"/>
                      <w:lang w:val="en-US" w:eastAsia="zh-CN"/>
                    </w:rPr>
                  </w:pPr>
                  <w:r>
                    <w:rPr>
                      <w:rFonts w:hint="eastAsia" w:ascii="Times New Roman" w:hAnsi="Times New Roman" w:eastAsia="宋体" w:cs="Times New Roman"/>
                      <w:kern w:val="0"/>
                      <w:szCs w:val="21"/>
                    </w:rPr>
                    <w:t>本项目排放废气中含苯并[a]芘，</w:t>
                  </w:r>
                  <w:r>
                    <w:rPr>
                      <w:rFonts w:hint="eastAsia" w:ascii="Times New Roman" w:hAnsi="Times New Roman" w:eastAsia="宋体" w:cs="Times New Roman"/>
                      <w:kern w:val="0"/>
                      <w:szCs w:val="21"/>
                      <w:lang w:val="en-US" w:eastAsia="zh-CN"/>
                    </w:rPr>
                    <w:t xml:space="preserve"> </w:t>
                  </w:r>
                  <w:r>
                    <w:rPr>
                      <w:rFonts w:hint="eastAsia" w:ascii="Times New Roman" w:hAnsi="Times New Roman" w:eastAsia="宋体" w:cs="Times New Roman"/>
                      <w:kern w:val="0"/>
                      <w:szCs w:val="21"/>
                    </w:rPr>
                    <w:t>本项目位于甘肃省张掖市临泽工业园区(产业功能区)-凹凸棒石新材料产业园（初级加工区），厂界外500米范围内，无环境空气保护目标，因此不设置</w:t>
                  </w:r>
                  <w:r>
                    <w:rPr>
                      <w:rFonts w:hint="eastAsia" w:ascii="Times New Roman" w:hAnsi="Times New Roman" w:eastAsia="宋体" w:cs="Times New Roman"/>
                      <w:kern w:val="0"/>
                      <w:szCs w:val="21"/>
                      <w:lang w:val="en-US" w:eastAsia="zh-CN"/>
                    </w:rPr>
                    <w:t>大气专项评价。</w:t>
                  </w:r>
                </w:p>
              </w:tc>
              <w:tc>
                <w:tcPr>
                  <w:tcW w:w="684" w:type="pct"/>
                  <w:tcBorders>
                    <w:tl2br w:val="nil"/>
                    <w:tr2bl w:val="nil"/>
                  </w:tcBorders>
                  <w:vAlign w:val="center"/>
                </w:tcPr>
                <w:p w14:paraId="2B30571F">
                  <w:pPr>
                    <w:autoSpaceDE w:val="0"/>
                    <w:autoSpaceDN w:val="0"/>
                    <w:adjustRightInd w:val="0"/>
                    <w:snapToGri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不设置</w:t>
                  </w:r>
                </w:p>
              </w:tc>
            </w:tr>
            <w:tr w14:paraId="3A88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8" w:type="pct"/>
                  <w:tcBorders>
                    <w:tl2br w:val="nil"/>
                    <w:tr2bl w:val="nil"/>
                  </w:tcBorders>
                  <w:vAlign w:val="center"/>
                </w:tcPr>
                <w:p w14:paraId="087E4B43">
                  <w:pPr>
                    <w:autoSpaceDE w:val="0"/>
                    <w:autoSpaceDN w:val="0"/>
                    <w:adjustRightInd w:val="0"/>
                    <w:snapToGri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地表水</w:t>
                  </w:r>
                </w:p>
              </w:tc>
              <w:tc>
                <w:tcPr>
                  <w:tcW w:w="1751" w:type="pct"/>
                  <w:tcBorders>
                    <w:tl2br w:val="nil"/>
                    <w:tr2bl w:val="nil"/>
                  </w:tcBorders>
                  <w:vAlign w:val="center"/>
                </w:tcPr>
                <w:p w14:paraId="701A0A4D">
                  <w:pPr>
                    <w:wordWrap w:val="0"/>
                    <w:topLinePunct/>
                    <w:adjustRightInd w:val="0"/>
                    <w:snapToGrid w:val="0"/>
                    <w:rPr>
                      <w:rFonts w:ascii="Times New Roman" w:hAnsi="Times New Roman" w:eastAsia="宋体" w:cs="Times New Roman"/>
                      <w:kern w:val="0"/>
                      <w:szCs w:val="21"/>
                    </w:rPr>
                  </w:pPr>
                  <w:r>
                    <w:rPr>
                      <w:rFonts w:hint="eastAsia" w:ascii="Times New Roman" w:hAnsi="Times New Roman" w:eastAsia="宋体" w:cs="Times New Roman"/>
                      <w:kern w:val="0"/>
                      <w:szCs w:val="21"/>
                    </w:rPr>
                    <w:t>新增工业废水直排建设项目（槽罐车外送污水处理厂的除外）；</w:t>
                  </w:r>
                </w:p>
                <w:p w14:paraId="320A1852">
                  <w:pPr>
                    <w:wordWrap w:val="0"/>
                    <w:topLinePunct/>
                    <w:adjustRightInd w:val="0"/>
                    <w:snapToGrid w:val="0"/>
                    <w:rPr>
                      <w:rFonts w:ascii="Times New Roman" w:hAnsi="Times New Roman" w:eastAsia="宋体" w:cs="Times New Roman"/>
                      <w:kern w:val="0"/>
                      <w:szCs w:val="21"/>
                    </w:rPr>
                  </w:pPr>
                  <w:r>
                    <w:rPr>
                      <w:rFonts w:hint="eastAsia" w:ascii="Times New Roman" w:hAnsi="Times New Roman" w:eastAsia="宋体" w:cs="Times New Roman"/>
                      <w:kern w:val="0"/>
                      <w:szCs w:val="21"/>
                    </w:rPr>
                    <w:t>新增废水直排的污水集中处理厂；</w:t>
                  </w:r>
                </w:p>
              </w:tc>
              <w:tc>
                <w:tcPr>
                  <w:tcW w:w="1855" w:type="pct"/>
                  <w:tcBorders>
                    <w:tl2br w:val="nil"/>
                    <w:tr2bl w:val="nil"/>
                  </w:tcBorders>
                  <w:vAlign w:val="center"/>
                </w:tcPr>
                <w:p w14:paraId="4853CE71">
                  <w:pPr>
                    <w:wordWrap w:val="0"/>
                    <w:topLinePunct/>
                    <w:adjustRightInd w:val="0"/>
                    <w:snapToGrid w:val="0"/>
                    <w:rPr>
                      <w:rFonts w:ascii="Times New Roman" w:hAnsi="Times New Roman" w:eastAsia="宋体" w:cs="Times New Roman"/>
                      <w:kern w:val="0"/>
                      <w:szCs w:val="21"/>
                    </w:rPr>
                  </w:pPr>
                  <w:r>
                    <w:rPr>
                      <w:rFonts w:hint="eastAsia" w:ascii="Times New Roman" w:hAnsi="Times New Roman" w:eastAsia="宋体" w:cs="Times New Roman"/>
                      <w:color w:val="0000FF"/>
                      <w:szCs w:val="21"/>
                    </w:rPr>
                    <w:t>生活污水（含食堂废水）经隔油池</w:t>
                  </w:r>
                  <w:r>
                    <w:rPr>
                      <w:rFonts w:hint="eastAsia" w:ascii="Times New Roman" w:hAnsi="Times New Roman" w:eastAsia="宋体" w:cs="Times New Roman"/>
                      <w:color w:val="0000FF"/>
                      <w:szCs w:val="21"/>
                      <w:lang w:eastAsia="zh-CN"/>
                    </w:rPr>
                    <w:t>、</w:t>
                  </w:r>
                  <w:r>
                    <w:rPr>
                      <w:rFonts w:hint="eastAsia" w:ascii="Times New Roman" w:hAnsi="Times New Roman" w:eastAsia="宋体" w:cs="Times New Roman"/>
                      <w:color w:val="0000FF"/>
                      <w:szCs w:val="21"/>
                    </w:rPr>
                    <w:t>化粪池预处理后，</w:t>
                  </w:r>
                  <w:r>
                    <w:rPr>
                      <w:rFonts w:hint="eastAsia" w:ascii="Times New Roman" w:hAnsi="Times New Roman" w:eastAsia="宋体" w:cs="Times New Roman"/>
                      <w:color w:val="0000FF"/>
                      <w:szCs w:val="21"/>
                      <w:lang w:val="en-US" w:eastAsia="zh-CN"/>
                    </w:rPr>
                    <w:t>暂</w:t>
                  </w:r>
                  <w:r>
                    <w:rPr>
                      <w:rFonts w:hint="eastAsia" w:ascii="Times New Roman" w:hAnsi="Times New Roman" w:eastAsia="宋体" w:cs="Times New Roman"/>
                      <w:color w:val="0000FF"/>
                      <w:szCs w:val="21"/>
                    </w:rPr>
                    <w:t>定期委托专业吸污车进行抽吸清运，</w:t>
                  </w:r>
                  <w:r>
                    <w:rPr>
                      <w:rFonts w:hint="eastAsia" w:ascii="Times New Roman" w:hAnsi="Times New Roman" w:eastAsia="宋体" w:cs="Times New Roman"/>
                      <w:color w:val="0000FF"/>
                      <w:szCs w:val="21"/>
                      <w:lang w:val="en-US" w:eastAsia="zh-CN"/>
                    </w:rPr>
                    <w:t>并跟踪去向</w:t>
                  </w:r>
                  <w:r>
                    <w:rPr>
                      <w:rFonts w:hint="eastAsia" w:ascii="Times New Roman" w:hAnsi="Times New Roman" w:eastAsia="宋体" w:cs="Times New Roman"/>
                      <w:color w:val="0000FF"/>
                      <w:szCs w:val="21"/>
                      <w:lang w:eastAsia="zh-CN"/>
                    </w:rPr>
                    <w:t>，</w:t>
                  </w:r>
                  <w:r>
                    <w:rPr>
                      <w:rFonts w:hint="eastAsia" w:ascii="Times New Roman" w:hAnsi="Times New Roman" w:eastAsia="宋体" w:cs="Times New Roman"/>
                      <w:color w:val="0000FF"/>
                      <w:szCs w:val="21"/>
                    </w:rPr>
                    <w:t>待凹凸棒石初级加工园区污水处理厂投入</w:t>
                  </w:r>
                  <w:r>
                    <w:rPr>
                      <w:rFonts w:hint="eastAsia" w:ascii="Times New Roman" w:hAnsi="Times New Roman" w:eastAsia="宋体" w:cs="Times New Roman"/>
                      <w:color w:val="0000FF"/>
                      <w:szCs w:val="21"/>
                      <w:lang w:val="en-US" w:eastAsia="zh-CN"/>
                    </w:rPr>
                    <w:t>稳定</w:t>
                  </w:r>
                  <w:r>
                    <w:rPr>
                      <w:rFonts w:hint="eastAsia" w:ascii="Times New Roman" w:hAnsi="Times New Roman" w:eastAsia="宋体" w:cs="Times New Roman"/>
                      <w:color w:val="0000FF"/>
                      <w:szCs w:val="21"/>
                    </w:rPr>
                    <w:t>运行后，排入该污水处理厂进行处理；</w:t>
                  </w:r>
                  <w:r>
                    <w:rPr>
                      <w:rFonts w:hint="eastAsia" w:ascii="Times New Roman" w:hAnsi="Times New Roman" w:eastAsia="宋体" w:cs="Times New Roman"/>
                      <w:szCs w:val="21"/>
                    </w:rPr>
                    <w:t>不涉及工业废水直排</w:t>
                  </w:r>
                </w:p>
              </w:tc>
              <w:tc>
                <w:tcPr>
                  <w:tcW w:w="684" w:type="pct"/>
                  <w:tcBorders>
                    <w:tl2br w:val="nil"/>
                    <w:tr2bl w:val="nil"/>
                  </w:tcBorders>
                  <w:vAlign w:val="center"/>
                </w:tcPr>
                <w:p w14:paraId="522397EC">
                  <w:pPr>
                    <w:autoSpaceDE w:val="0"/>
                    <w:autoSpaceDN w:val="0"/>
                    <w:adjustRightInd w:val="0"/>
                    <w:snapToGri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不设置</w:t>
                  </w:r>
                </w:p>
              </w:tc>
            </w:tr>
            <w:tr w14:paraId="2850F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8" w:type="pct"/>
                  <w:tcBorders>
                    <w:tl2br w:val="nil"/>
                    <w:tr2bl w:val="nil"/>
                  </w:tcBorders>
                  <w:vAlign w:val="center"/>
                </w:tcPr>
                <w:p w14:paraId="10A22A10">
                  <w:pPr>
                    <w:autoSpaceDE w:val="0"/>
                    <w:autoSpaceDN w:val="0"/>
                    <w:adjustRightInd w:val="0"/>
                    <w:snapToGri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地下水</w:t>
                  </w:r>
                </w:p>
              </w:tc>
              <w:tc>
                <w:tcPr>
                  <w:tcW w:w="1751" w:type="pct"/>
                  <w:tcBorders>
                    <w:tl2br w:val="nil"/>
                    <w:tr2bl w:val="nil"/>
                  </w:tcBorders>
                  <w:vAlign w:val="center"/>
                </w:tcPr>
                <w:p w14:paraId="38345332">
                  <w:pPr>
                    <w:autoSpaceDE w:val="0"/>
                    <w:autoSpaceDN w:val="0"/>
                    <w:adjustRightInd w:val="0"/>
                    <w:snapToGrid w:val="0"/>
                    <w:rPr>
                      <w:rFonts w:ascii="Times New Roman" w:hAnsi="Times New Roman" w:eastAsia="宋体" w:cs="Times New Roman"/>
                      <w:kern w:val="0"/>
                      <w:szCs w:val="21"/>
                    </w:rPr>
                  </w:pPr>
                  <w:r>
                    <w:rPr>
                      <w:rFonts w:hint="eastAsia" w:ascii="Times New Roman" w:hAnsi="Times New Roman" w:eastAsia="宋体" w:cs="Times New Roman"/>
                      <w:kern w:val="0"/>
                      <w:szCs w:val="21"/>
                    </w:rPr>
                    <w:t>原则上不开展专项评价；涉及集中式饮用水水源和热水、矿泉水、温泉等特殊地下水资源保护区的开展地下水专项评价；</w:t>
                  </w:r>
                </w:p>
              </w:tc>
              <w:tc>
                <w:tcPr>
                  <w:tcW w:w="1855" w:type="pct"/>
                  <w:tcBorders>
                    <w:tl2br w:val="nil"/>
                    <w:tr2bl w:val="nil"/>
                  </w:tcBorders>
                  <w:vAlign w:val="center"/>
                </w:tcPr>
                <w:p w14:paraId="4A688586">
                  <w:pPr>
                    <w:autoSpaceDE w:val="0"/>
                    <w:autoSpaceDN w:val="0"/>
                    <w:adjustRightInd w:val="0"/>
                    <w:snapToGrid w:val="0"/>
                    <w:rPr>
                      <w:rFonts w:ascii="Times New Roman" w:hAnsi="Times New Roman" w:eastAsia="宋体" w:cs="Times New Roman"/>
                      <w:kern w:val="0"/>
                      <w:szCs w:val="21"/>
                    </w:rPr>
                  </w:pPr>
                  <w:r>
                    <w:rPr>
                      <w:rFonts w:hint="eastAsia" w:ascii="Times New Roman" w:hAnsi="Times New Roman" w:eastAsia="宋体" w:cs="Times New Roman"/>
                      <w:kern w:val="0"/>
                      <w:szCs w:val="21"/>
                    </w:rPr>
                    <w:t>本项目厂界外500m范围内不涉及集中式饮用水水源地和热水、矿泉水等特殊地下水资源。</w:t>
                  </w:r>
                </w:p>
              </w:tc>
              <w:tc>
                <w:tcPr>
                  <w:tcW w:w="684" w:type="pct"/>
                  <w:tcBorders>
                    <w:tl2br w:val="nil"/>
                    <w:tr2bl w:val="nil"/>
                  </w:tcBorders>
                  <w:vAlign w:val="center"/>
                </w:tcPr>
                <w:p w14:paraId="26D72FC9">
                  <w:pPr>
                    <w:autoSpaceDE w:val="0"/>
                    <w:autoSpaceDN w:val="0"/>
                    <w:adjustRightInd w:val="0"/>
                    <w:snapToGri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不设置</w:t>
                  </w:r>
                </w:p>
              </w:tc>
            </w:tr>
            <w:tr w14:paraId="72D69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708" w:type="pct"/>
                  <w:tcBorders>
                    <w:tl2br w:val="nil"/>
                    <w:tr2bl w:val="nil"/>
                  </w:tcBorders>
                  <w:vAlign w:val="center"/>
                </w:tcPr>
                <w:p w14:paraId="4632C043">
                  <w:pPr>
                    <w:autoSpaceDE w:val="0"/>
                    <w:autoSpaceDN w:val="0"/>
                    <w:adjustRightInd w:val="0"/>
                    <w:snapToGri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环境</w:t>
                  </w:r>
                </w:p>
                <w:p w14:paraId="2406969E">
                  <w:pPr>
                    <w:autoSpaceDE w:val="0"/>
                    <w:autoSpaceDN w:val="0"/>
                    <w:adjustRightInd w:val="0"/>
                    <w:snapToGri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风险</w:t>
                  </w:r>
                </w:p>
              </w:tc>
              <w:tc>
                <w:tcPr>
                  <w:tcW w:w="1751" w:type="pct"/>
                  <w:tcBorders>
                    <w:tl2br w:val="nil"/>
                    <w:tr2bl w:val="nil"/>
                  </w:tcBorders>
                  <w:vAlign w:val="center"/>
                </w:tcPr>
                <w:p w14:paraId="2BCD01CB">
                  <w:pPr>
                    <w:autoSpaceDE w:val="0"/>
                    <w:autoSpaceDN w:val="0"/>
                    <w:adjustRightInd w:val="0"/>
                    <w:snapToGrid w:val="0"/>
                    <w:rPr>
                      <w:rFonts w:ascii="Times New Roman" w:hAnsi="Times New Roman" w:eastAsia="宋体" w:cs="Times New Roman"/>
                      <w:kern w:val="0"/>
                      <w:szCs w:val="21"/>
                    </w:rPr>
                  </w:pPr>
                  <w:r>
                    <w:rPr>
                      <w:rFonts w:hint="eastAsia" w:ascii="Times New Roman" w:hAnsi="Times New Roman" w:eastAsia="宋体" w:cs="Times New Roman"/>
                      <w:kern w:val="0"/>
                      <w:szCs w:val="21"/>
                    </w:rPr>
                    <w:t>有毒有害和易燃易爆危险物质存储量超过临界量</w:t>
                  </w:r>
                  <w:r>
                    <w:rPr>
                      <w:rFonts w:hint="eastAsia" w:ascii="Times New Roman" w:hAnsi="Times New Roman" w:eastAsia="宋体" w:cs="Times New Roman"/>
                      <w:b/>
                      <w:bCs/>
                      <w:kern w:val="0"/>
                      <w:szCs w:val="21"/>
                      <w:vertAlign w:val="superscript"/>
                    </w:rPr>
                    <w:t>3</w:t>
                  </w:r>
                  <w:r>
                    <w:rPr>
                      <w:rFonts w:hint="eastAsia" w:ascii="Times New Roman" w:hAnsi="Times New Roman" w:eastAsia="宋体" w:cs="Times New Roman"/>
                      <w:kern w:val="0"/>
                      <w:szCs w:val="21"/>
                    </w:rPr>
                    <w:t>的建设项目；</w:t>
                  </w:r>
                </w:p>
              </w:tc>
              <w:tc>
                <w:tcPr>
                  <w:tcW w:w="1855" w:type="pct"/>
                  <w:tcBorders>
                    <w:tl2br w:val="nil"/>
                    <w:tr2bl w:val="nil"/>
                  </w:tcBorders>
                  <w:vAlign w:val="center"/>
                </w:tcPr>
                <w:p w14:paraId="72CA8CC7">
                  <w:pPr>
                    <w:autoSpaceDE w:val="0"/>
                    <w:autoSpaceDN w:val="0"/>
                    <w:adjustRightInd w:val="0"/>
                    <w:snapToGrid w:val="0"/>
                    <w:rPr>
                      <w:rFonts w:ascii="Times New Roman" w:hAnsi="Times New Roman" w:eastAsia="宋体" w:cs="Times New Roman"/>
                      <w:kern w:val="0"/>
                      <w:szCs w:val="21"/>
                    </w:rPr>
                  </w:pPr>
                  <w:r>
                    <w:rPr>
                      <w:rFonts w:hint="eastAsia" w:ascii="Times New Roman" w:hAnsi="Times New Roman" w:eastAsia="宋体" w:cs="Times New Roman"/>
                      <w:kern w:val="0"/>
                      <w:szCs w:val="21"/>
                    </w:rPr>
                    <w:t>本项目有毒有害、易燃易爆危险物质存储量未超过其临界量</w:t>
                  </w:r>
                  <w:r>
                    <w:rPr>
                      <w:rFonts w:hint="eastAsia" w:ascii="Times New Roman" w:hAnsi="Times New Roman" w:eastAsia="宋体" w:cs="Times New Roman"/>
                      <w:b/>
                      <w:bCs/>
                      <w:kern w:val="0"/>
                      <w:szCs w:val="21"/>
                      <w:vertAlign w:val="superscript"/>
                    </w:rPr>
                    <w:t>3</w:t>
                  </w:r>
                  <w:r>
                    <w:rPr>
                      <w:rFonts w:hint="eastAsia" w:ascii="Times New Roman" w:hAnsi="Times New Roman" w:eastAsia="宋体" w:cs="Times New Roman"/>
                      <w:b/>
                      <w:bCs/>
                      <w:kern w:val="0"/>
                      <w:szCs w:val="21"/>
                    </w:rPr>
                    <w:t>，</w:t>
                  </w:r>
                  <w:r>
                    <w:rPr>
                      <w:rFonts w:hint="eastAsia" w:ascii="Times New Roman" w:hAnsi="Times New Roman" w:eastAsia="宋体" w:cs="Times New Roman"/>
                      <w:kern w:val="0"/>
                      <w:szCs w:val="21"/>
                    </w:rPr>
                    <w:t>即Q&lt;1。</w:t>
                  </w:r>
                </w:p>
              </w:tc>
              <w:tc>
                <w:tcPr>
                  <w:tcW w:w="684" w:type="pct"/>
                  <w:tcBorders>
                    <w:tl2br w:val="nil"/>
                    <w:tr2bl w:val="nil"/>
                  </w:tcBorders>
                  <w:vAlign w:val="center"/>
                </w:tcPr>
                <w:p w14:paraId="5F87ABCC">
                  <w:pPr>
                    <w:autoSpaceDE w:val="0"/>
                    <w:autoSpaceDN w:val="0"/>
                    <w:adjustRightInd w:val="0"/>
                    <w:snapToGri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不设置</w:t>
                  </w:r>
                </w:p>
              </w:tc>
            </w:tr>
            <w:tr w14:paraId="19EEE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8" w:type="pct"/>
                  <w:tcBorders>
                    <w:tl2br w:val="nil"/>
                    <w:tr2bl w:val="nil"/>
                  </w:tcBorders>
                  <w:vAlign w:val="center"/>
                </w:tcPr>
                <w:p w14:paraId="2D0D4D66">
                  <w:pPr>
                    <w:autoSpaceDE w:val="0"/>
                    <w:autoSpaceDN w:val="0"/>
                    <w:adjustRightInd w:val="0"/>
                    <w:snapToGri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生态</w:t>
                  </w:r>
                </w:p>
              </w:tc>
              <w:tc>
                <w:tcPr>
                  <w:tcW w:w="1751" w:type="pct"/>
                  <w:tcBorders>
                    <w:tl2br w:val="nil"/>
                    <w:tr2bl w:val="nil"/>
                  </w:tcBorders>
                  <w:vAlign w:val="center"/>
                </w:tcPr>
                <w:p w14:paraId="725EFED2">
                  <w:pPr>
                    <w:autoSpaceDE w:val="0"/>
                    <w:autoSpaceDN w:val="0"/>
                    <w:adjustRightInd w:val="0"/>
                    <w:snapToGrid w:val="0"/>
                    <w:rPr>
                      <w:rFonts w:ascii="Times New Roman" w:hAnsi="Times New Roman" w:eastAsia="宋体" w:cs="Times New Roman"/>
                      <w:kern w:val="0"/>
                      <w:szCs w:val="21"/>
                    </w:rPr>
                  </w:pPr>
                  <w:r>
                    <w:rPr>
                      <w:rFonts w:hint="eastAsia" w:ascii="Times New Roman" w:hAnsi="Times New Roman" w:eastAsia="宋体" w:cs="Times New Roman"/>
                      <w:kern w:val="0"/>
                      <w:szCs w:val="21"/>
                    </w:rPr>
                    <w:t>取水口下游500米范围内有重要水生生物的自然产卵场、索饵场、越冬场和洄游通道的新增河道取水的污染类建设项目；</w:t>
                  </w:r>
                </w:p>
              </w:tc>
              <w:tc>
                <w:tcPr>
                  <w:tcW w:w="1855" w:type="pct"/>
                  <w:tcBorders>
                    <w:tl2br w:val="nil"/>
                    <w:tr2bl w:val="nil"/>
                  </w:tcBorders>
                  <w:vAlign w:val="center"/>
                </w:tcPr>
                <w:p w14:paraId="4162A40B">
                  <w:pPr>
                    <w:wordWrap w:val="0"/>
                    <w:autoSpaceDE w:val="0"/>
                    <w:autoSpaceDN w:val="0"/>
                    <w:adjustRightInd w:val="0"/>
                    <w:snapToGri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不涉及</w:t>
                  </w:r>
                </w:p>
              </w:tc>
              <w:tc>
                <w:tcPr>
                  <w:tcW w:w="684" w:type="pct"/>
                  <w:tcBorders>
                    <w:tl2br w:val="nil"/>
                    <w:tr2bl w:val="nil"/>
                  </w:tcBorders>
                  <w:vAlign w:val="center"/>
                </w:tcPr>
                <w:p w14:paraId="003C0740">
                  <w:pPr>
                    <w:autoSpaceDE w:val="0"/>
                    <w:autoSpaceDN w:val="0"/>
                    <w:adjustRightInd w:val="0"/>
                    <w:snapToGri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不设置</w:t>
                  </w:r>
                </w:p>
              </w:tc>
            </w:tr>
            <w:tr w14:paraId="1B24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4"/>
                  <w:tcBorders>
                    <w:tl2br w:val="nil"/>
                    <w:tr2bl w:val="nil"/>
                  </w:tcBorders>
                  <w:vAlign w:val="center"/>
                </w:tcPr>
                <w:p w14:paraId="7C19A044">
                  <w:pPr>
                    <w:autoSpaceDE w:val="0"/>
                    <w:autoSpaceDN w:val="0"/>
                    <w:adjustRightInd w:val="0"/>
                    <w:snapToGrid w:val="0"/>
                    <w:rPr>
                      <w:rFonts w:hint="eastAsia" w:ascii="楷体" w:hAnsi="楷体" w:eastAsia="楷体" w:cs="楷体"/>
                      <w:kern w:val="0"/>
                      <w:szCs w:val="21"/>
                    </w:rPr>
                  </w:pPr>
                  <w:r>
                    <w:rPr>
                      <w:rFonts w:hint="eastAsia" w:ascii="楷体" w:hAnsi="楷体" w:eastAsia="楷体" w:cs="楷体"/>
                      <w:b/>
                      <w:bCs/>
                      <w:kern w:val="0"/>
                      <w:szCs w:val="21"/>
                    </w:rPr>
                    <w:t>注1：</w:t>
                  </w:r>
                  <w:r>
                    <w:rPr>
                      <w:rFonts w:hint="eastAsia" w:ascii="楷体" w:hAnsi="楷体" w:eastAsia="楷体" w:cs="楷体"/>
                      <w:kern w:val="0"/>
                      <w:szCs w:val="21"/>
                    </w:rPr>
                    <w:t>废气中有毒有害污染物指纳入《有毒有害大气污染物名录》的污染物（不包括无排放标准的污染物）；</w:t>
                  </w:r>
                </w:p>
                <w:p w14:paraId="7E263B14">
                  <w:pPr>
                    <w:autoSpaceDE w:val="0"/>
                    <w:autoSpaceDN w:val="0"/>
                    <w:adjustRightInd w:val="0"/>
                    <w:snapToGrid w:val="0"/>
                    <w:rPr>
                      <w:rFonts w:hint="eastAsia" w:ascii="楷体" w:hAnsi="楷体" w:eastAsia="楷体" w:cs="楷体"/>
                      <w:kern w:val="0"/>
                      <w:szCs w:val="21"/>
                    </w:rPr>
                  </w:pPr>
                  <w:r>
                    <w:rPr>
                      <w:rFonts w:hint="eastAsia" w:ascii="楷体" w:hAnsi="楷体" w:eastAsia="楷体" w:cs="楷体"/>
                      <w:b/>
                      <w:bCs/>
                      <w:kern w:val="0"/>
                      <w:szCs w:val="21"/>
                    </w:rPr>
                    <w:t>注2：</w:t>
                  </w:r>
                  <w:r>
                    <w:rPr>
                      <w:rFonts w:hint="eastAsia" w:ascii="楷体" w:hAnsi="楷体" w:eastAsia="楷体" w:cs="楷体"/>
                      <w:kern w:val="0"/>
                      <w:szCs w:val="21"/>
                    </w:rPr>
                    <w:t>环境空气保护目标指自然保护区、风景名胜区、居住区、文化区和农村地区中人群较集中的区域；</w:t>
                  </w:r>
                </w:p>
                <w:p w14:paraId="1BB573B7">
                  <w:pPr>
                    <w:autoSpaceDE w:val="0"/>
                    <w:autoSpaceDN w:val="0"/>
                    <w:adjustRightInd w:val="0"/>
                    <w:snapToGrid w:val="0"/>
                    <w:rPr>
                      <w:rFonts w:ascii="Times New Roman" w:hAnsi="Times New Roman" w:eastAsia="宋体" w:cs="Times New Roman"/>
                      <w:kern w:val="0"/>
                      <w:szCs w:val="21"/>
                    </w:rPr>
                  </w:pPr>
                  <w:r>
                    <w:rPr>
                      <w:rFonts w:hint="eastAsia" w:ascii="楷体" w:hAnsi="楷体" w:eastAsia="楷体" w:cs="楷体"/>
                      <w:b/>
                      <w:bCs/>
                      <w:kern w:val="0"/>
                      <w:szCs w:val="21"/>
                    </w:rPr>
                    <w:t>注3：</w:t>
                  </w:r>
                  <w:r>
                    <w:rPr>
                      <w:rFonts w:hint="eastAsia" w:ascii="楷体" w:hAnsi="楷体" w:eastAsia="楷体" w:cs="楷体"/>
                      <w:kern w:val="0"/>
                      <w:szCs w:val="21"/>
                    </w:rPr>
                    <w:t>临界量及其计算方法可参考《建设项目环境风险评价技术导则》（HJ 169）附录B、附录C。</w:t>
                  </w:r>
                </w:p>
              </w:tc>
            </w:tr>
          </w:tbl>
          <w:p w14:paraId="74A2B54F">
            <w:pPr>
              <w:autoSpaceDE w:val="0"/>
              <w:autoSpaceDN w:val="0"/>
              <w:adjustRightInd w:val="0"/>
              <w:snapToGrid w:val="0"/>
              <w:rPr>
                <w:rFonts w:ascii="Times New Roman" w:hAnsi="Times New Roman" w:cs="Times New Roman"/>
                <w:color w:val="FF0000"/>
                <w:kern w:val="0"/>
                <w:sz w:val="24"/>
              </w:rPr>
            </w:pPr>
          </w:p>
        </w:tc>
      </w:tr>
      <w:tr w14:paraId="2CFD8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753" w:hRule="atLeast"/>
          <w:jc w:val="center"/>
        </w:trPr>
        <w:tc>
          <w:tcPr>
            <w:tcW w:w="1816" w:type="dxa"/>
            <w:tcBorders>
              <w:tl2br w:val="nil"/>
              <w:tr2bl w:val="nil"/>
            </w:tcBorders>
            <w:tcMar>
              <w:left w:w="108" w:type="dxa"/>
              <w:right w:w="108" w:type="dxa"/>
            </w:tcMar>
            <w:vAlign w:val="center"/>
          </w:tcPr>
          <w:p w14:paraId="5D2CFAC6">
            <w:pPr>
              <w:autoSpaceDE w:val="0"/>
              <w:autoSpaceDN w:val="0"/>
              <w:adjustRightInd w:val="0"/>
              <w:snapToGrid w:val="0"/>
              <w:jc w:val="center"/>
              <w:rPr>
                <w:rFonts w:ascii="Times New Roman" w:hAnsi="Times New Roman" w:cs="Times New Roman"/>
                <w:color w:val="FF0000"/>
                <w:kern w:val="0"/>
                <w:sz w:val="24"/>
              </w:rPr>
            </w:pPr>
            <w:r>
              <w:rPr>
                <w:rFonts w:ascii="Times New Roman" w:hAnsi="Times New Roman" w:cs="Times New Roman"/>
                <w:sz w:val="24"/>
                <w:lang w:bidi="ar"/>
              </w:rPr>
              <w:t>规划情况</w:t>
            </w:r>
          </w:p>
        </w:tc>
        <w:tc>
          <w:tcPr>
            <w:tcW w:w="6621" w:type="dxa"/>
            <w:gridSpan w:val="3"/>
            <w:tcBorders>
              <w:tl2br w:val="nil"/>
              <w:tr2bl w:val="nil"/>
            </w:tcBorders>
            <w:tcMar>
              <w:left w:w="108" w:type="dxa"/>
              <w:right w:w="108" w:type="dxa"/>
            </w:tcMar>
            <w:vAlign w:val="center"/>
          </w:tcPr>
          <w:p w14:paraId="219D5CCB">
            <w:pPr>
              <w:pStyle w:val="38"/>
              <w:wordWrap w:val="0"/>
              <w:topLinePunct/>
              <w:spacing w:line="360" w:lineRule="auto"/>
              <w:ind w:firstLine="480" w:firstLineChars="200"/>
              <w:jc w:val="left"/>
              <w:rPr>
                <w:rFonts w:ascii="Times New Roman" w:hAnsi="Times New Roman" w:eastAsia="宋体" w:cs="Times New Roman"/>
                <w:color w:val="FF0000"/>
                <w:sz w:val="24"/>
              </w:rPr>
            </w:pPr>
            <w:r>
              <w:rPr>
                <w:rFonts w:hint="eastAsia" w:ascii="Times New Roman" w:hAnsi="Times New Roman" w:eastAsia="宋体" w:cs="Times New Roman"/>
                <w:sz w:val="24"/>
              </w:rPr>
              <w:t>2022年，甘肃临泽工业园区管理委员会委托兰州大学应用技术研究院有限责任公司编制《临泽工业园区（产业功能区）发展规划（2022-2035年）》；2023年10月21日，张掖市人民政府以“张政函〔2023〕119号”对《临泽工业园区(产业功能区) 发展规划（2022-2035年）》进行批复。</w:t>
            </w:r>
          </w:p>
        </w:tc>
      </w:tr>
      <w:tr w14:paraId="3E8B4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831" w:hRule="atLeast"/>
          <w:jc w:val="center"/>
        </w:trPr>
        <w:tc>
          <w:tcPr>
            <w:tcW w:w="1816" w:type="dxa"/>
            <w:tcBorders>
              <w:tl2br w:val="nil"/>
              <w:tr2bl w:val="nil"/>
            </w:tcBorders>
            <w:tcMar>
              <w:left w:w="108" w:type="dxa"/>
              <w:right w:w="108" w:type="dxa"/>
            </w:tcMar>
            <w:vAlign w:val="center"/>
          </w:tcPr>
          <w:p w14:paraId="15939E3A">
            <w:pPr>
              <w:adjustRightInd w:val="0"/>
              <w:snapToGrid w:val="0"/>
              <w:jc w:val="center"/>
              <w:rPr>
                <w:rFonts w:ascii="Times New Roman" w:hAnsi="Times New Roman" w:cs="Times New Roman"/>
                <w:sz w:val="24"/>
              </w:rPr>
            </w:pPr>
            <w:r>
              <w:rPr>
                <w:rFonts w:ascii="Times New Roman" w:hAnsi="Times New Roman" w:cs="Times New Roman"/>
                <w:sz w:val="24"/>
                <w:lang w:bidi="ar"/>
              </w:rPr>
              <w:t>规划环境影响</w:t>
            </w:r>
          </w:p>
          <w:p w14:paraId="5B29D808">
            <w:pPr>
              <w:adjustRightInd w:val="0"/>
              <w:snapToGrid w:val="0"/>
              <w:jc w:val="center"/>
              <w:rPr>
                <w:rFonts w:ascii="Times New Roman" w:hAnsi="Times New Roman" w:cs="Times New Roman"/>
                <w:color w:val="FF0000"/>
                <w:kern w:val="0"/>
                <w:sz w:val="24"/>
              </w:rPr>
            </w:pPr>
            <w:r>
              <w:rPr>
                <w:rFonts w:ascii="Times New Roman" w:hAnsi="Times New Roman" w:cs="Times New Roman"/>
                <w:sz w:val="24"/>
                <w:lang w:bidi="ar"/>
              </w:rPr>
              <w:t>评价情况</w:t>
            </w:r>
          </w:p>
        </w:tc>
        <w:tc>
          <w:tcPr>
            <w:tcW w:w="6621" w:type="dxa"/>
            <w:gridSpan w:val="3"/>
            <w:tcBorders>
              <w:tl2br w:val="nil"/>
              <w:tr2bl w:val="nil"/>
            </w:tcBorders>
            <w:tcMar>
              <w:left w:w="108" w:type="dxa"/>
              <w:right w:w="108" w:type="dxa"/>
            </w:tcMar>
            <w:vAlign w:val="center"/>
          </w:tcPr>
          <w:p w14:paraId="6F519740">
            <w:pPr>
              <w:pStyle w:val="38"/>
              <w:wordWrap w:val="0"/>
              <w:topLinePunct/>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规划环境影响评价名称：临泽工业园区(产业功能区)发展规划（2022-2035）环境影响报告书；</w:t>
            </w:r>
          </w:p>
          <w:p w14:paraId="2824651E">
            <w:pPr>
              <w:pStyle w:val="38"/>
              <w:wordWrap w:val="0"/>
              <w:topLinePunct/>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规划环境影响评价审查机关：张掖市生态环境局；</w:t>
            </w:r>
          </w:p>
          <w:p w14:paraId="1747F4E9">
            <w:pPr>
              <w:pStyle w:val="38"/>
              <w:wordWrap w:val="0"/>
              <w:topLinePunct/>
              <w:spacing w:line="360" w:lineRule="auto"/>
              <w:ind w:firstLine="480" w:firstLineChars="200"/>
              <w:jc w:val="left"/>
              <w:rPr>
                <w:rFonts w:ascii="Times New Roman" w:hAnsi="Times New Roman" w:cs="Times New Roman"/>
                <w:color w:val="FF0000"/>
                <w:kern w:val="0"/>
                <w:sz w:val="24"/>
              </w:rPr>
            </w:pPr>
            <w:r>
              <w:rPr>
                <w:rFonts w:hint="eastAsia" w:ascii="Times New Roman" w:hAnsi="Times New Roman" w:eastAsia="宋体" w:cs="Times New Roman"/>
                <w:sz w:val="24"/>
              </w:rPr>
              <w:t>规划环境影响评价审查文件：张掖市生态环境局关于临泽工业园区(产业功能区)发展规划(2022-2035)环境影响报告书的审查意见（张环函〔2023〕43号，2023年4月13日）。</w:t>
            </w:r>
          </w:p>
        </w:tc>
      </w:tr>
      <w:tr w14:paraId="482DF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260" w:hRule="atLeast"/>
          <w:jc w:val="center"/>
        </w:trPr>
        <w:tc>
          <w:tcPr>
            <w:tcW w:w="1816" w:type="dxa"/>
            <w:tcBorders>
              <w:tl2br w:val="nil"/>
              <w:tr2bl w:val="nil"/>
            </w:tcBorders>
            <w:tcMar>
              <w:left w:w="108" w:type="dxa"/>
              <w:right w:w="108" w:type="dxa"/>
            </w:tcMar>
            <w:vAlign w:val="center"/>
          </w:tcPr>
          <w:p w14:paraId="0120BDAB">
            <w:pPr>
              <w:autoSpaceDE w:val="0"/>
              <w:autoSpaceDN w:val="0"/>
              <w:adjustRightInd w:val="0"/>
              <w:snapToGrid w:val="0"/>
              <w:jc w:val="center"/>
              <w:rPr>
                <w:rFonts w:ascii="Times New Roman" w:hAnsi="Times New Roman" w:cs="Times New Roman"/>
                <w:color w:val="FF0000"/>
                <w:kern w:val="0"/>
                <w:sz w:val="24"/>
              </w:rPr>
            </w:pPr>
            <w:r>
              <w:rPr>
                <w:rFonts w:ascii="Times New Roman" w:hAnsi="Times New Roman" w:cs="Times New Roman"/>
                <w:kern w:val="0"/>
                <w:sz w:val="24"/>
                <w:lang w:bidi="ar"/>
              </w:rPr>
              <w:t>规划及规划环境影响评价符合性分析</w:t>
            </w:r>
          </w:p>
        </w:tc>
        <w:tc>
          <w:tcPr>
            <w:tcW w:w="6621" w:type="dxa"/>
            <w:gridSpan w:val="3"/>
            <w:tcBorders>
              <w:tl2br w:val="nil"/>
              <w:tr2bl w:val="nil"/>
            </w:tcBorders>
            <w:tcMar>
              <w:left w:w="108" w:type="dxa"/>
              <w:right w:w="108" w:type="dxa"/>
            </w:tcMar>
            <w:vAlign w:val="center"/>
          </w:tcPr>
          <w:p w14:paraId="6018FBEC">
            <w:pPr>
              <w:pStyle w:val="38"/>
              <w:wordWrap w:val="0"/>
              <w:topLinePunct/>
              <w:spacing w:line="360" w:lineRule="auto"/>
              <w:ind w:firstLine="0"/>
              <w:jc w:val="left"/>
              <w:rPr>
                <w:rFonts w:ascii="Times New Roman" w:hAnsi="Times New Roman" w:eastAsia="宋体" w:cs="Times New Roman"/>
                <w:b/>
                <w:bCs/>
                <w:sz w:val="24"/>
              </w:rPr>
            </w:pPr>
            <w:r>
              <w:rPr>
                <w:rFonts w:hint="eastAsia" w:ascii="Times New Roman" w:hAnsi="Times New Roman" w:eastAsia="宋体" w:cs="Times New Roman"/>
                <w:b/>
                <w:bCs/>
                <w:sz w:val="24"/>
              </w:rPr>
              <w:t>1与《临泽工业园区(产业功能区) 发展规划（2022-2035年）》符合性分析</w:t>
            </w:r>
          </w:p>
          <w:p w14:paraId="39856C6B">
            <w:pPr>
              <w:pStyle w:val="38"/>
              <w:wordWrap w:val="0"/>
              <w:topLinePunct/>
              <w:spacing w:line="360" w:lineRule="auto"/>
              <w:ind w:firstLine="482" w:firstLineChars="200"/>
              <w:jc w:val="left"/>
              <w:rPr>
                <w:rFonts w:ascii="Times New Roman" w:hAnsi="Times New Roman" w:eastAsia="宋体" w:cs="Times New Roman"/>
                <w:sz w:val="24"/>
              </w:rPr>
            </w:pPr>
            <w:r>
              <w:rPr>
                <w:rFonts w:hint="eastAsia" w:ascii="Times New Roman" w:hAnsi="Times New Roman" w:eastAsia="宋体" w:cs="Times New Roman"/>
                <w:b/>
                <w:bCs/>
                <w:sz w:val="24"/>
              </w:rPr>
              <w:t>临泽工业园区(产业功能区)空间规划布局为：</w:t>
            </w:r>
            <w:r>
              <w:rPr>
                <w:rFonts w:hint="eastAsia" w:ascii="Times New Roman" w:hAnsi="Times New Roman" w:eastAsia="宋体" w:cs="Times New Roman"/>
                <w:sz w:val="24"/>
              </w:rPr>
              <w:t>“一区五园”，总体规划面积34.05平方公里，辖国家级玉米种子产业园、凹凸棒石新材料产业园（初级加工区、科技创新区）、张掖（临泽）通航产业园、绿色食品加工产业园（客运南站片区、屯泉片区）、循环经济产业园（宏鑫片区、华兴片区、蓼泉南沙窝片区）。</w:t>
            </w:r>
          </w:p>
          <w:p w14:paraId="4E9D2873">
            <w:pPr>
              <w:pStyle w:val="38"/>
              <w:wordWrap w:val="0"/>
              <w:topLinePunct/>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本项目选址建设位置位于临泽工业园区(产业功能区)-凹凸棒石新材料产业园-初级加工区。</w:t>
            </w:r>
          </w:p>
          <w:p w14:paraId="7E25ACF9">
            <w:pPr>
              <w:pStyle w:val="38"/>
              <w:wordWrap w:val="0"/>
              <w:topLinePunct/>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凹凸棒石新材料产业园：包括初级加工区和科技创新区，总用地面积10.7平方公里。其中：初级加工区东至板桥镇板桥村（S301线）以东3公里，西至板桥村（S301线）以东1公里，南至直河北岸，北至直河以北2公里，规划占地面积 3.95平方公里。</w:t>
            </w:r>
          </w:p>
          <w:p w14:paraId="0669CD90">
            <w:pPr>
              <w:pStyle w:val="38"/>
              <w:wordWrap w:val="0"/>
              <w:topLinePunct/>
              <w:spacing w:line="360" w:lineRule="auto"/>
              <w:ind w:firstLine="482" w:firstLineChars="200"/>
              <w:jc w:val="left"/>
              <w:rPr>
                <w:rFonts w:ascii="Times New Roman" w:hAnsi="Times New Roman" w:eastAsia="宋体" w:cs="Times New Roman"/>
                <w:b/>
                <w:bCs/>
                <w:sz w:val="24"/>
              </w:rPr>
            </w:pPr>
            <w:r>
              <w:rPr>
                <w:rFonts w:hint="eastAsia" w:ascii="Times New Roman" w:hAnsi="Times New Roman" w:eastAsia="宋体" w:cs="Times New Roman"/>
                <w:b/>
                <w:bCs/>
                <w:sz w:val="24"/>
              </w:rPr>
              <w:t>凹凸棒石新材料产业园主要发展方向：</w:t>
            </w:r>
          </w:p>
          <w:p w14:paraId="23FFBF97">
            <w:pPr>
              <w:pStyle w:val="38"/>
              <w:wordWrap w:val="0"/>
              <w:topLinePunct/>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 xml:space="preserve">——凹凸棒石农业材料产业。重点发展凹凸棒石高性能保水剂、生物有机复合肥、栽培基质、农药载体、土壤调理剂、饲料添加剂、牛羊舔砖等。 </w:t>
            </w:r>
          </w:p>
          <w:p w14:paraId="2565D920">
            <w:pPr>
              <w:pStyle w:val="38"/>
              <w:wordWrap w:val="0"/>
              <w:topLinePunct/>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生态环保材料产业。重点发展可用于水、空气和土壤修复、盐碱地改造、荒漠治理等环境友好材料，实现材料与环境修复双向绿色化。开发环保相关产品，加大成果转化力度，形成系列化、专用化、高质化、高技术、高附加值的吸附剂产品，加快在养殖水体净化，城市自来水净化，工业污水处理以及大气污染防治及修复材料的推广应用。</w:t>
            </w:r>
          </w:p>
          <w:p w14:paraId="4F476F39">
            <w:pPr>
              <w:pStyle w:val="38"/>
              <w:wordWrap w:val="0"/>
              <w:topLinePunct/>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——高性能吸附材料产业。重点开发生产适用于各类食用油脂的脱色吸附剂，各类专用干燥剂，航空煤油、汽油、柴油、润滑油等净化处理脱色剂，民用产品吸附剂、高性能分子筛等。</w:t>
            </w:r>
          </w:p>
          <w:p w14:paraId="0282CC4E">
            <w:pPr>
              <w:pStyle w:val="38"/>
              <w:wordWrap w:val="0"/>
              <w:topLinePunct/>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 xml:space="preserve">——高性能胶体材料产业。重点开发增稠触变剂、悬浮剂、环保建材等材料。 </w:t>
            </w:r>
          </w:p>
          <w:p w14:paraId="6EE483B5">
            <w:pPr>
              <w:pStyle w:val="38"/>
              <w:wordWrap w:val="0"/>
              <w:topLinePunct/>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 xml:space="preserve">——高分子有机无机复合材料产业。开发重点是纳米凹凸棒石、纳米棒状白炭黑有机改性及其橡塑制品中的应用。推广应用凹凸棒石与塑料复合制备塑料母粒技术。 </w:t>
            </w:r>
          </w:p>
          <w:p w14:paraId="4F9D9983">
            <w:pPr>
              <w:pStyle w:val="38"/>
              <w:wordWrap w:val="0"/>
              <w:topLinePunct/>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——家庭日用凹凸棒石化工产品。重点发展凹凸棒石黏土产品在食品添加剂、药品包衣剂、蔬菜保鲜剂、化妆品、负氧离子功能棉和相关液剂、除臭吸附剂、空气净化剂、日用干燥剂等方面产品。</w:t>
            </w:r>
          </w:p>
          <w:p w14:paraId="6C171094">
            <w:pPr>
              <w:pStyle w:val="38"/>
              <w:wordWrap w:val="0"/>
              <w:topLinePunct/>
              <w:spacing w:line="360" w:lineRule="auto"/>
              <w:ind w:firstLine="562" w:firstLineChars="200"/>
              <w:jc w:val="left"/>
              <w:rPr>
                <w:rFonts w:ascii="Times New Roman" w:hAnsi="Times New Roman" w:eastAsia="宋体" w:cs="Times New Roman"/>
                <w:sz w:val="24"/>
              </w:rPr>
            </w:pPr>
            <w:r>
              <w:rPr>
                <w:rFonts w:hint="eastAsia" w:ascii="仿宋" w:hAnsi="仿宋" w:eastAsia="仿宋" w:cs="仿宋"/>
                <w:b/>
                <w:bCs/>
                <w:color w:val="000000"/>
                <w:kern w:val="0"/>
                <w:sz w:val="28"/>
                <w:szCs w:val="28"/>
                <w:lang w:bidi="ar"/>
              </w:rPr>
              <w:t xml:space="preserve"> </w:t>
            </w:r>
            <w:r>
              <w:rPr>
                <w:rFonts w:hint="eastAsia" w:ascii="Times New Roman" w:hAnsi="Times New Roman" w:eastAsia="宋体" w:cs="Times New Roman"/>
                <w:b/>
                <w:bCs/>
                <w:sz w:val="24"/>
              </w:rPr>
              <w:t>临泽工业园区(产业功能区)-凹凸棒石新材料产业园-初级加工区功能定位：</w:t>
            </w:r>
            <w:r>
              <w:rPr>
                <w:rFonts w:hint="eastAsia" w:ascii="Times New Roman" w:hAnsi="Times New Roman" w:eastAsia="宋体" w:cs="Times New Roman"/>
                <w:sz w:val="24"/>
              </w:rPr>
              <w:t>以凹凸棒石加工为主导，打造甘肃省重要的非金属矿产品加工基地</w:t>
            </w:r>
            <w:r>
              <w:rPr>
                <w:rFonts w:hint="eastAsia" w:ascii="Times New Roman" w:hAnsi="Times New Roman" w:eastAsia="宋体" w:cs="Times New Roman"/>
                <w:b/>
                <w:bCs/>
                <w:sz w:val="24"/>
              </w:rPr>
              <w:t>；功能结构：</w:t>
            </w:r>
            <w:r>
              <w:rPr>
                <w:rFonts w:hint="eastAsia" w:ascii="Times New Roman" w:hAnsi="Times New Roman" w:eastAsia="宋体" w:cs="Times New Roman"/>
                <w:sz w:val="24"/>
              </w:rPr>
              <w:t xml:space="preserve">凹凸棒石新材料产业园（初级加工）空间结构规划为“一心、两轴、两组团”。一心：综合服务中心，包括管理办公、企业研发、生活居住、商业商 务、交通广场、市政支撑等的多功能服务体系。两轴：由经三路和纬六路共同承担打造横向和纵向发展主轴线。两组团：包括综合服务组团和产业加工组团。 </w:t>
            </w:r>
          </w:p>
          <w:p w14:paraId="4BE3DD60">
            <w:pPr>
              <w:pStyle w:val="38"/>
              <w:wordWrap w:val="0"/>
              <w:topLinePunct/>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本项目位于“临泽工业园区(产业功能区)-凹凸棒石新材料产业园-初级加工区”，本项目行业类别为“C3099其他非金属矿物制品制造”，根据建设单位提供的《甘肃聚联新型材料有限公司凹凸棒石基新型低碳功能性建筑材料综合开发项目可行性研究报告（初稿）》，本项目（一期工程）主要生产耐候性沥青混凝土</w:t>
            </w:r>
            <w:r>
              <w:rPr>
                <w:rFonts w:hint="eastAsia" w:ascii="Times New Roman" w:hAnsi="Times New Roman" w:eastAsia="宋体" w:cs="Times New Roman"/>
                <w:sz w:val="24"/>
                <w:lang w:val="en-US" w:eastAsia="zh-CN"/>
              </w:rPr>
              <w:t>及</w:t>
            </w:r>
            <w:r>
              <w:rPr>
                <w:rFonts w:hint="eastAsia" w:ascii="Times New Roman" w:hAnsi="Times New Roman" w:eastAsia="宋体" w:cs="Times New Roman"/>
                <w:color w:val="1331F5"/>
                <w:sz w:val="24"/>
                <w:lang w:val="en-US" w:eastAsia="zh-CN"/>
              </w:rPr>
              <w:t>乳化沥青（乳化沥青年生产小时数50h）</w:t>
            </w:r>
            <w:r>
              <w:rPr>
                <w:rFonts w:hint="eastAsia" w:ascii="Times New Roman" w:hAnsi="Times New Roman" w:eastAsia="宋体" w:cs="Times New Roman"/>
                <w:color w:val="1331F5"/>
                <w:sz w:val="24"/>
                <w:lang w:eastAsia="zh-CN"/>
              </w:rPr>
              <w:t>；</w:t>
            </w:r>
            <w:r>
              <w:rPr>
                <w:rFonts w:hint="eastAsia" w:ascii="Times New Roman" w:hAnsi="Times New Roman" w:eastAsia="宋体" w:cs="Times New Roman"/>
                <w:sz w:val="24"/>
              </w:rPr>
              <w:t>耐候性沥青混凝土通过凹凸棒石进行改性，提升沥青混凝土的力学性能，因此，基本符合临泽工业园区(产业功能区)-凹凸棒石新材料产业园-初级加工区功能定位。</w:t>
            </w:r>
          </w:p>
          <w:p w14:paraId="7FB07D05">
            <w:pPr>
              <w:pStyle w:val="38"/>
              <w:wordWrap w:val="0"/>
              <w:topLinePunct/>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综上，本项目基本符合临泽工业园区(产业功能区)-凹凸棒石新材料产业园-初级加工区功能定位，故基本符合《临泽工业园区（产业功能区）发展规划（2022-2035年）》规划要求。</w:t>
            </w:r>
          </w:p>
          <w:p w14:paraId="0CF796A7">
            <w:pPr>
              <w:pStyle w:val="38"/>
              <w:wordWrap w:val="0"/>
              <w:topLinePunct/>
              <w:spacing w:line="360" w:lineRule="auto"/>
              <w:ind w:firstLine="0"/>
              <w:jc w:val="left"/>
              <w:rPr>
                <w:rFonts w:hint="eastAsia" w:ascii="Times New Roman" w:hAnsi="Times New Roman" w:eastAsia="宋体" w:cs="Times New Roman"/>
                <w:b/>
                <w:bCs/>
                <w:sz w:val="24"/>
              </w:rPr>
            </w:pPr>
          </w:p>
          <w:p w14:paraId="30B91E28">
            <w:pPr>
              <w:pStyle w:val="38"/>
              <w:wordWrap w:val="0"/>
              <w:topLinePunct/>
              <w:spacing w:line="360" w:lineRule="auto"/>
              <w:ind w:firstLine="0"/>
              <w:jc w:val="left"/>
              <w:rPr>
                <w:rFonts w:ascii="Times New Roman" w:hAnsi="Times New Roman" w:eastAsia="宋体" w:cs="Times New Roman"/>
                <w:b/>
                <w:bCs/>
                <w:sz w:val="24"/>
              </w:rPr>
            </w:pPr>
            <w:r>
              <w:rPr>
                <w:rFonts w:hint="eastAsia" w:ascii="Times New Roman" w:hAnsi="Times New Roman" w:eastAsia="宋体" w:cs="Times New Roman"/>
                <w:b/>
                <w:bCs/>
                <w:sz w:val="24"/>
              </w:rPr>
              <w:t>2与</w:t>
            </w:r>
            <w:r>
              <w:rPr>
                <w:rFonts w:hint="eastAsia" w:ascii="Times New Roman" w:hAnsi="Times New Roman" w:cs="Times New Roman"/>
                <w:b/>
                <w:bCs/>
                <w:kern w:val="0"/>
                <w:sz w:val="24"/>
              </w:rPr>
              <w:t>《临泽工业园区(产业功能区)发展规划（2022-2035）环境影响报告书》</w:t>
            </w:r>
            <w:r>
              <w:rPr>
                <w:rFonts w:hint="eastAsia" w:ascii="Times New Roman" w:hAnsi="Times New Roman" w:eastAsia="宋体" w:cs="Times New Roman"/>
                <w:b/>
                <w:bCs/>
                <w:sz w:val="24"/>
              </w:rPr>
              <w:t>及审查意见的符合性分析</w:t>
            </w:r>
          </w:p>
          <w:p w14:paraId="48C6A964">
            <w:pPr>
              <w:wordWrap w:val="0"/>
              <w:topLinePunct/>
              <w:jc w:val="center"/>
              <w:rPr>
                <w:rFonts w:ascii="Times New Roman" w:hAnsi="Times New Roman" w:eastAsia="宋体" w:cs="Times New Roman"/>
                <w:b/>
                <w:bCs/>
                <w:snapToGrid w:val="0"/>
                <w:kern w:val="0"/>
                <w:sz w:val="24"/>
              </w:rPr>
            </w:pPr>
            <w:r>
              <w:rPr>
                <w:rFonts w:hint="eastAsia" w:ascii="Times New Roman" w:hAnsi="Times New Roman" w:eastAsia="宋体" w:cs="Times New Roman"/>
                <w:b/>
                <w:bCs/>
                <w:snapToGrid w:val="0"/>
                <w:kern w:val="0"/>
                <w:sz w:val="24"/>
              </w:rPr>
              <w:t xml:space="preserve">表1-2 </w:t>
            </w:r>
            <w:r>
              <w:rPr>
                <w:rFonts w:hint="eastAsia" w:ascii="Times New Roman" w:hAnsi="Times New Roman" w:eastAsia="宋体" w:cs="Times New Roman"/>
                <w:b/>
                <w:bCs/>
                <w:sz w:val="24"/>
              </w:rPr>
              <w:t>与</w:t>
            </w:r>
            <w:r>
              <w:rPr>
                <w:rFonts w:hint="eastAsia" w:ascii="Times New Roman" w:hAnsi="Times New Roman" w:cs="Times New Roman"/>
                <w:b/>
                <w:bCs/>
                <w:kern w:val="0"/>
                <w:sz w:val="24"/>
              </w:rPr>
              <w:t>《临泽工业园区(产业功能区)发展规划（2022-2035）环境影响报告书》</w:t>
            </w:r>
            <w:r>
              <w:rPr>
                <w:rFonts w:hint="eastAsia" w:ascii="Times New Roman" w:hAnsi="Times New Roman" w:eastAsia="宋体" w:cs="Times New Roman"/>
                <w:b/>
                <w:bCs/>
                <w:sz w:val="24"/>
              </w:rPr>
              <w:t>及审查意见的符合性分析表</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
              <w:gridCol w:w="2904"/>
              <w:gridCol w:w="2451"/>
              <w:gridCol w:w="647"/>
            </w:tblGrid>
            <w:tr w14:paraId="04E0C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390" w:type="dxa"/>
                  <w:tcBorders>
                    <w:tl2br w:val="nil"/>
                    <w:tr2bl w:val="nil"/>
                  </w:tcBorders>
                  <w:vAlign w:val="center"/>
                </w:tcPr>
                <w:p w14:paraId="085D3866">
                  <w:pPr>
                    <w:wordWrap w:val="0"/>
                    <w:topLinePunct/>
                    <w:jc w:val="center"/>
                    <w:rPr>
                      <w:rFonts w:ascii="Times New Roman" w:hAnsi="Times New Roman" w:eastAsia="宋体" w:cs="Times New Roman"/>
                      <w:b/>
                      <w:szCs w:val="21"/>
                    </w:rPr>
                  </w:pPr>
                  <w:r>
                    <w:rPr>
                      <w:rFonts w:hint="eastAsia" w:ascii="Times New Roman" w:hAnsi="Times New Roman" w:eastAsia="宋体" w:cs="Times New Roman"/>
                      <w:b/>
                      <w:szCs w:val="21"/>
                    </w:rPr>
                    <w:t>类别</w:t>
                  </w:r>
                </w:p>
              </w:tc>
              <w:tc>
                <w:tcPr>
                  <w:tcW w:w="2904" w:type="dxa"/>
                  <w:tcBorders>
                    <w:tl2br w:val="nil"/>
                    <w:tr2bl w:val="nil"/>
                  </w:tcBorders>
                  <w:vAlign w:val="center"/>
                </w:tcPr>
                <w:p w14:paraId="7B495713">
                  <w:pPr>
                    <w:wordWrap w:val="0"/>
                    <w:topLinePunct/>
                    <w:jc w:val="center"/>
                    <w:rPr>
                      <w:rFonts w:ascii="Times New Roman" w:hAnsi="Times New Roman" w:eastAsia="宋体" w:cs="Times New Roman"/>
                      <w:b/>
                      <w:szCs w:val="21"/>
                    </w:rPr>
                  </w:pPr>
                  <w:r>
                    <w:rPr>
                      <w:rFonts w:hint="eastAsia" w:ascii="Times New Roman" w:hAnsi="Times New Roman" w:eastAsia="宋体" w:cs="Times New Roman"/>
                      <w:b/>
                      <w:szCs w:val="21"/>
                    </w:rPr>
                    <w:t>规划环评及其审查意见要求</w:t>
                  </w:r>
                </w:p>
              </w:tc>
              <w:tc>
                <w:tcPr>
                  <w:tcW w:w="2451" w:type="dxa"/>
                  <w:tcBorders>
                    <w:tl2br w:val="nil"/>
                    <w:tr2bl w:val="nil"/>
                  </w:tcBorders>
                  <w:vAlign w:val="center"/>
                </w:tcPr>
                <w:p w14:paraId="479E72AE">
                  <w:pPr>
                    <w:wordWrap w:val="0"/>
                    <w:topLinePunct/>
                    <w:ind w:firstLine="482"/>
                    <w:rPr>
                      <w:rFonts w:ascii="Times New Roman" w:hAnsi="Times New Roman" w:eastAsia="宋体" w:cs="Times New Roman"/>
                      <w:b/>
                      <w:szCs w:val="21"/>
                    </w:rPr>
                  </w:pPr>
                  <w:r>
                    <w:rPr>
                      <w:rFonts w:hint="eastAsia" w:ascii="Times New Roman" w:hAnsi="Times New Roman" w:eastAsia="宋体" w:cs="Times New Roman"/>
                      <w:b/>
                      <w:szCs w:val="21"/>
                    </w:rPr>
                    <w:t>符合性分析</w:t>
                  </w:r>
                </w:p>
              </w:tc>
              <w:tc>
                <w:tcPr>
                  <w:tcW w:w="647" w:type="dxa"/>
                  <w:tcBorders>
                    <w:tl2br w:val="nil"/>
                    <w:tr2bl w:val="nil"/>
                  </w:tcBorders>
                  <w:vAlign w:val="center"/>
                </w:tcPr>
                <w:p w14:paraId="24A263F1">
                  <w:pPr>
                    <w:wordWrap w:val="0"/>
                    <w:topLinePunct/>
                    <w:jc w:val="center"/>
                    <w:rPr>
                      <w:rFonts w:ascii="Times New Roman" w:hAnsi="Times New Roman" w:eastAsia="宋体" w:cs="Times New Roman"/>
                      <w:b/>
                      <w:szCs w:val="21"/>
                    </w:rPr>
                  </w:pPr>
                  <w:r>
                    <w:rPr>
                      <w:rFonts w:hint="eastAsia" w:ascii="Times New Roman" w:hAnsi="Times New Roman" w:eastAsia="宋体" w:cs="Times New Roman"/>
                      <w:b/>
                      <w:szCs w:val="21"/>
                    </w:rPr>
                    <w:t>是否符合</w:t>
                  </w:r>
                </w:p>
              </w:tc>
            </w:tr>
            <w:tr w14:paraId="0438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390" w:type="dxa"/>
                  <w:tcBorders>
                    <w:tl2br w:val="nil"/>
                    <w:tr2bl w:val="nil"/>
                  </w:tcBorders>
                  <w:vAlign w:val="center"/>
                </w:tcPr>
                <w:p w14:paraId="3E91A446">
                  <w:pPr>
                    <w:jc w:val="center"/>
                    <w:rPr>
                      <w:rFonts w:ascii="Times New Roman" w:hAnsi="Times New Roman" w:eastAsia="宋体" w:cs="Times New Roman"/>
                      <w:b/>
                      <w:szCs w:val="21"/>
                    </w:rPr>
                  </w:pPr>
                  <w:r>
                    <w:rPr>
                      <w:rFonts w:ascii="Times New Roman" w:hAnsi="Times New Roman" w:eastAsia="宋体" w:cs="Times New Roman"/>
                      <w:b/>
                      <w:szCs w:val="21"/>
                    </w:rPr>
                    <w:t>产业结构规划</w:t>
                  </w:r>
                </w:p>
                <w:p w14:paraId="7457F9BA">
                  <w:pPr>
                    <w:jc w:val="center"/>
                    <w:rPr>
                      <w:rFonts w:ascii="Times New Roman" w:hAnsi="Times New Roman" w:eastAsia="宋体" w:cs="Times New Roman"/>
                      <w:bCs/>
                      <w:color w:val="FF0000"/>
                      <w:szCs w:val="21"/>
                    </w:rPr>
                  </w:pPr>
                </w:p>
              </w:tc>
              <w:tc>
                <w:tcPr>
                  <w:tcW w:w="2904" w:type="dxa"/>
                  <w:tcBorders>
                    <w:tl2br w:val="nil"/>
                    <w:tr2bl w:val="nil"/>
                  </w:tcBorders>
                  <w:vAlign w:val="center"/>
                </w:tcPr>
                <w:p w14:paraId="6E144EC7">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1.构建循环经济产业链、鼓励发展补链产业：</w:t>
                  </w:r>
                </w:p>
                <w:p w14:paraId="1C1F0C06">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产业结构的合理选择是关系到园区污染物的排放量和综合利用的重要环节。以循环经济和产业生态学的理念进行园区产业结构的选择，以避免产品结构单一、产业链短的现象，应根据园区发展规划、市场定位及地区优势，合理选择入园企业的产业类型，进行产业选择，延伸产业链，提高污染物的综合利用水平，尽量减少污染物的排放量，改善和保护工业园区良好的环境空气质量。</w:t>
                  </w:r>
                </w:p>
                <w:p w14:paraId="6E1D1306">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2.禁止淘汰类产业入园：</w:t>
                  </w:r>
                </w:p>
                <w:p w14:paraId="6C6FCD01">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bCs/>
                      <w:szCs w:val="21"/>
                    </w:rPr>
                    <w:t>提高园区企业准入门槛，鼓励能耗低、工艺先进、排放废气污染物量较少的企业入区。依据《严重污染环境（大气）的淘汰工艺和设备名录》，拒绝大气污染严重的企业入区。</w:t>
                  </w:r>
                </w:p>
              </w:tc>
              <w:tc>
                <w:tcPr>
                  <w:tcW w:w="2451" w:type="dxa"/>
                  <w:tcBorders>
                    <w:tl2br w:val="nil"/>
                    <w:tr2bl w:val="nil"/>
                  </w:tcBorders>
                  <w:vAlign w:val="center"/>
                </w:tcPr>
                <w:p w14:paraId="18189B13">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根据建设单位提供的《甘肃聚联新型材料有限公司凹凸棒石基新型低碳功能性建筑材料综合开发项目可行性研究报告（初稿）》，本项目（一期工程）主要生产耐候性沥青混凝土</w:t>
                  </w:r>
                  <w:r>
                    <w:rPr>
                      <w:rFonts w:hint="eastAsia" w:ascii="Times New Roman" w:hAnsi="Times New Roman" w:eastAsia="宋体" w:cs="Times New Roman"/>
                      <w:bCs/>
                      <w:szCs w:val="21"/>
                      <w:lang w:val="en-US" w:eastAsia="zh-CN"/>
                    </w:rPr>
                    <w:t>及</w:t>
                  </w:r>
                  <w:r>
                    <w:rPr>
                      <w:rFonts w:hint="eastAsia" w:ascii="Times New Roman" w:hAnsi="Times New Roman" w:eastAsia="宋体" w:cs="Times New Roman"/>
                      <w:bCs/>
                      <w:color w:val="1331F5"/>
                      <w:szCs w:val="21"/>
                      <w:lang w:val="en-US" w:eastAsia="zh-CN"/>
                    </w:rPr>
                    <w:t>乳化沥青（乳化沥青年生产小时数50h）</w:t>
                  </w:r>
                  <w:r>
                    <w:rPr>
                      <w:rFonts w:hint="eastAsia" w:ascii="Times New Roman" w:hAnsi="Times New Roman" w:eastAsia="宋体" w:cs="Times New Roman"/>
                      <w:bCs/>
                      <w:szCs w:val="21"/>
                      <w:lang w:eastAsia="zh-CN"/>
                    </w:rPr>
                    <w:t>；</w:t>
                  </w:r>
                  <w:r>
                    <w:rPr>
                      <w:rFonts w:hint="eastAsia" w:ascii="Times New Roman" w:hAnsi="Times New Roman" w:eastAsia="宋体" w:cs="Times New Roman"/>
                      <w:bCs/>
                      <w:szCs w:val="21"/>
                    </w:rPr>
                    <w:t>耐候性沥青混凝土通过凹凸棒石进行改性，提升沥青混凝土的力学性能</w:t>
                  </w:r>
                  <w:r>
                    <w:rPr>
                      <w:rFonts w:hint="eastAsia" w:ascii="Times New Roman" w:hAnsi="Times New Roman" w:eastAsia="宋体" w:cs="Times New Roman"/>
                      <w:bCs/>
                      <w:szCs w:val="21"/>
                      <w:lang w:eastAsia="zh-CN"/>
                    </w:rPr>
                    <w:t>。</w:t>
                  </w:r>
                  <w:r>
                    <w:rPr>
                      <w:rFonts w:hint="eastAsia" w:ascii="Times New Roman" w:hAnsi="Times New Roman" w:eastAsia="宋体" w:cs="Times New Roman"/>
                      <w:bCs/>
                      <w:szCs w:val="21"/>
                    </w:rPr>
                    <w:t>因此，基本符合临泽工业园区(产业功能区)-凹凸棒石新材料产业园-初级加工区功能定位。</w:t>
                  </w:r>
                </w:p>
                <w:p w14:paraId="0301D730">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bCs/>
                      <w:szCs w:val="21"/>
                    </w:rPr>
                    <w:t>根据《产业结构调整指导目录（2024年本）》，本项目不属于《产业结构调整指导目录（2024年本）》中鼓励类、限制类、淘汰类项目，鼓励类、限制类和淘汰类之外的，且符合国家有关法律、法规和政策规定的属于允许类，因此，本项目为允许类，符合国家产业政策要求。</w:t>
                  </w:r>
                </w:p>
              </w:tc>
              <w:tc>
                <w:tcPr>
                  <w:tcW w:w="647" w:type="dxa"/>
                  <w:tcBorders>
                    <w:tl2br w:val="nil"/>
                    <w:tr2bl w:val="nil"/>
                  </w:tcBorders>
                  <w:vAlign w:val="center"/>
                </w:tcPr>
                <w:p w14:paraId="78A8F126">
                  <w:pPr>
                    <w:jc w:val="center"/>
                    <w:rPr>
                      <w:rFonts w:ascii="Times New Roman" w:hAnsi="Times New Roman" w:eastAsia="宋体" w:cs="Times New Roman"/>
                      <w:bCs/>
                      <w:color w:val="FF0000"/>
                      <w:szCs w:val="21"/>
                    </w:rPr>
                  </w:pPr>
                  <w:r>
                    <w:rPr>
                      <w:rFonts w:hint="eastAsia" w:ascii="Times New Roman" w:hAnsi="Times New Roman" w:eastAsia="宋体" w:cs="Times New Roman"/>
                      <w:bCs/>
                      <w:szCs w:val="21"/>
                    </w:rPr>
                    <w:t>符合</w:t>
                  </w:r>
                </w:p>
              </w:tc>
            </w:tr>
            <w:tr w14:paraId="4732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0" w:type="dxa"/>
                  <w:tcBorders>
                    <w:tl2br w:val="nil"/>
                    <w:tr2bl w:val="nil"/>
                  </w:tcBorders>
                  <w:vAlign w:val="center"/>
                </w:tcPr>
                <w:p w14:paraId="7CDBD824">
                  <w:pPr>
                    <w:jc w:val="center"/>
                    <w:rPr>
                      <w:rFonts w:ascii="Times New Roman" w:hAnsi="Times New Roman" w:eastAsia="宋体" w:cs="Times New Roman"/>
                      <w:bCs/>
                      <w:szCs w:val="21"/>
                    </w:rPr>
                  </w:pPr>
                  <w:r>
                    <w:rPr>
                      <w:rFonts w:hint="eastAsia" w:ascii="Times New Roman" w:hAnsi="Times New Roman" w:eastAsia="宋体" w:cs="Times New Roman"/>
                      <w:b/>
                      <w:szCs w:val="21"/>
                    </w:rPr>
                    <w:t>工业企业</w:t>
                  </w:r>
                  <w:r>
                    <w:rPr>
                      <w:rFonts w:ascii="Times New Roman" w:hAnsi="Times New Roman" w:eastAsia="宋体" w:cs="Times New Roman"/>
                      <w:b/>
                      <w:szCs w:val="21"/>
                    </w:rPr>
                    <w:t>大气污染控制措施</w:t>
                  </w:r>
                </w:p>
              </w:tc>
              <w:tc>
                <w:tcPr>
                  <w:tcW w:w="2904" w:type="dxa"/>
                  <w:tcBorders>
                    <w:tl2br w:val="nil"/>
                    <w:tr2bl w:val="nil"/>
                  </w:tcBorders>
                  <w:vAlign w:val="center"/>
                </w:tcPr>
                <w:p w14:paraId="18FFCB86">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2.特征污染因子控制措施</w:t>
                  </w:r>
                </w:p>
                <w:p w14:paraId="282FA3A1">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1）园区、企业应根据《挥发性有机物（VOCs）污染防治技术政策》、《“十三五”挥发性有机物污染防治工作方案》等相关政策文件，鼓励使用环境友好安全的原辅料，采取密闭一体化生产技术，做好VOCs的防治。</w:t>
                  </w:r>
                </w:p>
                <w:p w14:paraId="46A52A0F">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2）排放废气的企业应采用先进的、密闭性好的生产设备、物料存贮容器和输送管线，并采取全密闭生产方式，从源头减少三废排放量，最大限度减少无组织废气排放；采用先进的治理或回收措施，严格按照我国有关规定实现稳定达标排放</w:t>
                  </w:r>
                  <w:bookmarkStart w:id="2" w:name="_Toc322357382"/>
                  <w:bookmarkStart w:id="3" w:name="_Toc485827829"/>
                  <w:bookmarkStart w:id="4" w:name="_Toc373317347"/>
                  <w:bookmarkStart w:id="5" w:name="_Toc409210662"/>
                  <w:r>
                    <w:rPr>
                      <w:rFonts w:hint="eastAsia" w:ascii="Times New Roman" w:hAnsi="Times New Roman" w:eastAsia="宋体" w:cs="Times New Roman"/>
                      <w:bCs/>
                      <w:szCs w:val="21"/>
                    </w:rPr>
                    <w:t>。</w:t>
                  </w:r>
                </w:p>
                <w:p w14:paraId="494B61BB">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（3）排放二噁英、锰、锌、铅、铬、镉等毒性物质和重金属的企业，应严格执行总量控制指标，且需做好污染物的定期检测工作，最大程度减小对周围敏感点和土壤的不良影响。</w:t>
                  </w:r>
                </w:p>
                <w:p w14:paraId="6BF12C6E">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（4）污水处理设施恶臭防治措施</w:t>
                  </w:r>
                  <w:bookmarkEnd w:id="2"/>
                  <w:bookmarkEnd w:id="3"/>
                  <w:bookmarkEnd w:id="4"/>
                  <w:bookmarkEnd w:id="5"/>
                  <w:r>
                    <w:rPr>
                      <w:rFonts w:hint="eastAsia" w:ascii="Times New Roman" w:hAnsi="Times New Roman" w:eastAsia="宋体" w:cs="Times New Roman"/>
                      <w:bCs/>
                      <w:szCs w:val="21"/>
                    </w:rPr>
                    <w:t>：园区企业自设的污水处理设施应强化产生恶臭气体构筑物密闭设计，合理设置污水处理站或厂区周围绿化带，对产生恶臭的主要构筑物设计集气装置，将恶臭气体抽送除臭装置除臭后达标排放。污水处理站臭气无组织排放浓度应符合《恶臭污染物排放标准》（GB14554-93）中厂界标准值。</w:t>
                  </w:r>
                </w:p>
                <w:p w14:paraId="1E426E93">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5）加强消防和风险事故防范意识，对废气处理设施定期维护和检查，及时编制和修订企业突发环境事件应急预案，制定各类风险事故应急措施，特别是使用有机溶剂等危险化学物品的企业，应尽可能按甲类火灾危险石油化工装置的要求进行消防设计，严格遵守相关的电气防火防爆规范，设备及建、构筑物防火规范。要采用可靠的工艺安全措施，装备自动化控制和安全仪表系统，配置完善的火灾报警及可燃气监测设施。要建立完善的全员安全生产责任制、安全管理制度和运行机制，强化化工过程管理。在厂区内有危险因素的场所和有关设施设备上，要求设置明显的安全警示标识，各企业必须有相应的组织机构和完善的管理规章制度。</w:t>
                  </w:r>
                </w:p>
              </w:tc>
              <w:tc>
                <w:tcPr>
                  <w:tcW w:w="2451" w:type="dxa"/>
                  <w:tcBorders>
                    <w:tl2br w:val="nil"/>
                    <w:tr2bl w:val="nil"/>
                  </w:tcBorders>
                  <w:vAlign w:val="center"/>
                </w:tcPr>
                <w:p w14:paraId="036645E4">
                  <w:pPr>
                    <w:rPr>
                      <w:rFonts w:hint="eastAsia" w:ascii="Times New Roman" w:hAnsi="Times New Roman" w:eastAsia="宋体" w:cs="Times New Roman"/>
                      <w:color w:val="1331F5"/>
                      <w:kern w:val="0"/>
                      <w:szCs w:val="21"/>
                      <w:lang w:eastAsia="zh-CN"/>
                    </w:rPr>
                  </w:pPr>
                  <w:r>
                    <w:rPr>
                      <w:rFonts w:ascii="Times New Roman" w:hAnsi="Times New Roman" w:eastAsia="宋体" w:cs="Times New Roman"/>
                      <w:kern w:val="0"/>
                      <w:szCs w:val="21"/>
                    </w:rPr>
                    <w:t>本项目所用原辅材料不属于高VOCs含量原辅材料，项目不属于石化、化工、包装印刷、工业涂装等高VOCs排放建设企业。本项目产品为沥青混</w:t>
                  </w:r>
                  <w:r>
                    <w:rPr>
                      <w:rFonts w:ascii="Times New Roman" w:hAnsi="Times New Roman" w:eastAsia="宋体" w:cs="Times New Roman"/>
                      <w:color w:val="1331F5"/>
                      <w:kern w:val="0"/>
                      <w:szCs w:val="21"/>
                    </w:rPr>
                    <w:t>凝土</w:t>
                  </w:r>
                  <w:r>
                    <w:rPr>
                      <w:rFonts w:hint="eastAsia" w:ascii="Times New Roman" w:hAnsi="Times New Roman" w:eastAsia="宋体" w:cs="Times New Roman"/>
                      <w:color w:val="1331F5"/>
                      <w:kern w:val="0"/>
                      <w:szCs w:val="21"/>
                      <w:lang w:eastAsia="zh-CN"/>
                    </w:rPr>
                    <w:t>、</w:t>
                  </w:r>
                  <w:r>
                    <w:rPr>
                      <w:rFonts w:hint="eastAsia" w:ascii="Times New Roman" w:hAnsi="Times New Roman" w:eastAsia="宋体" w:cs="Times New Roman"/>
                      <w:color w:val="1331F5"/>
                      <w:kern w:val="0"/>
                      <w:szCs w:val="21"/>
                      <w:lang w:val="en-US" w:eastAsia="zh-CN"/>
                    </w:rPr>
                    <w:t>乳化沥青</w:t>
                  </w:r>
                  <w:r>
                    <w:rPr>
                      <w:rFonts w:ascii="Times New Roman" w:hAnsi="Times New Roman" w:eastAsia="宋体" w:cs="Times New Roman"/>
                      <w:color w:val="1331F5"/>
                      <w:kern w:val="0"/>
                      <w:szCs w:val="21"/>
                    </w:rPr>
                    <w:t>，</w:t>
                  </w:r>
                  <w:r>
                    <w:rPr>
                      <w:rFonts w:ascii="Times New Roman" w:hAnsi="Times New Roman" w:eastAsia="宋体" w:cs="Times New Roman"/>
                      <w:kern w:val="0"/>
                      <w:szCs w:val="21"/>
                    </w:rPr>
                    <w:t>涉VOCs物料主要为沥青，均储存于密闭的储罐内。</w:t>
                  </w:r>
                  <w:r>
                    <w:rPr>
                      <w:rFonts w:ascii="Times New Roman" w:hAnsi="Times New Roman" w:eastAsia="宋体" w:cs="Times New Roman"/>
                      <w:color w:val="1331F5"/>
                      <w:kern w:val="0"/>
                      <w:szCs w:val="21"/>
                    </w:rPr>
                    <w:t>本项目</w:t>
                  </w:r>
                  <w:r>
                    <w:rPr>
                      <w:rFonts w:hint="eastAsia" w:ascii="Times New Roman" w:hAnsi="Times New Roman" w:eastAsia="宋体" w:cs="Times New Roman"/>
                      <w:color w:val="1331F5"/>
                      <w:kern w:val="0"/>
                      <w:szCs w:val="21"/>
                      <w:lang w:val="en-US" w:eastAsia="zh-CN"/>
                    </w:rPr>
                    <w:t>沥青混凝土</w:t>
                  </w:r>
                  <w:r>
                    <w:rPr>
                      <w:rFonts w:ascii="Times New Roman" w:hAnsi="Times New Roman" w:eastAsia="宋体" w:cs="Times New Roman"/>
                      <w:color w:val="1331F5"/>
                      <w:kern w:val="0"/>
                      <w:szCs w:val="21"/>
                    </w:rPr>
                    <w:t>生产过程中产生的</w:t>
                  </w:r>
                  <w:r>
                    <w:rPr>
                      <w:rFonts w:hint="eastAsia" w:ascii="Times New Roman" w:hAnsi="Times New Roman" w:eastAsia="宋体" w:cs="Times New Roman"/>
                      <w:color w:val="1331F5"/>
                      <w:kern w:val="0"/>
                      <w:szCs w:val="21"/>
                    </w:rPr>
                    <w:t>沥青烟气</w:t>
                  </w:r>
                  <w:r>
                    <w:rPr>
                      <w:rFonts w:ascii="Times New Roman" w:hAnsi="Times New Roman" w:eastAsia="宋体" w:cs="Times New Roman"/>
                      <w:color w:val="1331F5"/>
                      <w:kern w:val="0"/>
                      <w:szCs w:val="21"/>
                    </w:rPr>
                    <w:t>经</w:t>
                  </w:r>
                  <w:r>
                    <w:rPr>
                      <w:rFonts w:hint="eastAsia" w:ascii="Times New Roman" w:hAnsi="Times New Roman" w:eastAsia="宋体" w:cs="Times New Roman"/>
                      <w:color w:val="1331F5"/>
                      <w:kern w:val="0"/>
                      <w:szCs w:val="21"/>
                    </w:rPr>
                    <w:t>“</w:t>
                  </w:r>
                  <w:r>
                    <w:rPr>
                      <w:rFonts w:ascii="Times New Roman" w:hAnsi="Times New Roman" w:eastAsia="宋体" w:cs="Times New Roman"/>
                      <w:color w:val="1331F5"/>
                      <w:kern w:val="0"/>
                      <w:szCs w:val="21"/>
                    </w:rPr>
                    <w:t>洗涤塔+电捕焦油器+等离子光解净化除尘器+活性炭吸附装置</w:t>
                  </w:r>
                  <w:r>
                    <w:rPr>
                      <w:rFonts w:hint="eastAsia" w:ascii="Times New Roman" w:hAnsi="Times New Roman" w:eastAsia="宋体" w:cs="Times New Roman"/>
                      <w:color w:val="1331F5"/>
                      <w:kern w:val="0"/>
                      <w:szCs w:val="21"/>
                    </w:rPr>
                    <w:t>”</w:t>
                  </w:r>
                  <w:r>
                    <w:rPr>
                      <w:rFonts w:ascii="Times New Roman" w:hAnsi="Times New Roman" w:eastAsia="宋体" w:cs="Times New Roman"/>
                      <w:color w:val="1331F5"/>
                      <w:kern w:val="0"/>
                      <w:szCs w:val="21"/>
                    </w:rPr>
                    <w:t>处理后通过</w:t>
                  </w:r>
                  <w:r>
                    <w:rPr>
                      <w:rFonts w:hint="eastAsia" w:ascii="Times New Roman" w:hAnsi="Times New Roman" w:eastAsia="宋体" w:cs="Times New Roman"/>
                      <w:color w:val="1331F5"/>
                      <w:kern w:val="0"/>
                      <w:szCs w:val="21"/>
                    </w:rPr>
                    <w:t>25</w:t>
                  </w:r>
                  <w:r>
                    <w:rPr>
                      <w:rFonts w:ascii="Times New Roman" w:hAnsi="Times New Roman" w:eastAsia="宋体" w:cs="Times New Roman"/>
                      <w:color w:val="1331F5"/>
                      <w:kern w:val="0"/>
                      <w:szCs w:val="21"/>
                    </w:rPr>
                    <w:t>m高排气筒排放</w:t>
                  </w:r>
                  <w:r>
                    <w:rPr>
                      <w:rFonts w:hint="eastAsia" w:ascii="Times New Roman" w:hAnsi="Times New Roman" w:eastAsia="宋体" w:cs="Times New Roman"/>
                      <w:color w:val="1331F5"/>
                      <w:kern w:val="0"/>
                      <w:szCs w:val="21"/>
                      <w:lang w:eastAsia="zh-CN"/>
                    </w:rPr>
                    <w:t>；乳化沥青出料、胶磨</w:t>
                  </w:r>
                  <w:r>
                    <w:rPr>
                      <w:rFonts w:hint="eastAsia" w:ascii="Times New Roman" w:hAnsi="Times New Roman" w:eastAsia="宋体" w:cs="Times New Roman"/>
                      <w:color w:val="1331F5"/>
                      <w:kern w:val="0"/>
                      <w:szCs w:val="21"/>
                      <w:lang w:val="en-US" w:eastAsia="zh-CN"/>
                    </w:rPr>
                    <w:t>工序产生的沥青烟气经</w:t>
                  </w:r>
                  <w:r>
                    <w:rPr>
                      <w:rFonts w:hint="eastAsia" w:ascii="Times New Roman" w:hAnsi="Times New Roman" w:eastAsia="宋体" w:cs="Times New Roman"/>
                      <w:color w:val="1331F5"/>
                      <w:kern w:val="0"/>
                      <w:szCs w:val="21"/>
                      <w:lang w:eastAsia="zh-CN"/>
                    </w:rPr>
                    <w:t>高效二级活性炭吸附装置</w:t>
                  </w:r>
                  <w:r>
                    <w:rPr>
                      <w:rFonts w:hint="eastAsia" w:ascii="Times New Roman" w:hAnsi="Times New Roman" w:eastAsia="宋体" w:cs="Times New Roman"/>
                      <w:color w:val="1331F5"/>
                      <w:kern w:val="0"/>
                      <w:szCs w:val="21"/>
                      <w:lang w:val="en-US" w:eastAsia="zh-CN"/>
                    </w:rPr>
                    <w:t>处理后通过</w:t>
                  </w:r>
                  <w:r>
                    <w:rPr>
                      <w:rFonts w:hint="eastAsia" w:ascii="Times New Roman" w:hAnsi="Times New Roman" w:eastAsia="宋体" w:cs="Times New Roman"/>
                      <w:color w:val="1331F5"/>
                      <w:kern w:val="0"/>
                      <w:szCs w:val="21"/>
                      <w:lang w:eastAsia="zh-CN"/>
                    </w:rPr>
                    <w:t>15m高排气筒</w:t>
                  </w:r>
                  <w:r>
                    <w:rPr>
                      <w:rFonts w:hint="eastAsia" w:ascii="Times New Roman" w:hAnsi="Times New Roman" w:eastAsia="宋体" w:cs="Times New Roman"/>
                      <w:color w:val="1331F5"/>
                      <w:kern w:val="0"/>
                      <w:szCs w:val="21"/>
                      <w:lang w:val="en-US" w:eastAsia="zh-CN"/>
                    </w:rPr>
                    <w:t>排放</w:t>
                  </w:r>
                  <w:r>
                    <w:rPr>
                      <w:rFonts w:hint="eastAsia" w:ascii="Times New Roman" w:hAnsi="Times New Roman" w:eastAsia="宋体" w:cs="Times New Roman"/>
                      <w:color w:val="1331F5"/>
                      <w:kern w:val="0"/>
                      <w:szCs w:val="21"/>
                      <w:lang w:eastAsia="zh-CN"/>
                    </w:rPr>
                    <w:t>。</w:t>
                  </w:r>
                </w:p>
                <w:p w14:paraId="00DFD5B8">
                  <w:pPr>
                    <w:rPr>
                      <w:rFonts w:ascii="Times New Roman" w:hAnsi="Times New Roman" w:eastAsia="宋体" w:cs="Times New Roman"/>
                      <w:kern w:val="0"/>
                      <w:szCs w:val="21"/>
                    </w:rPr>
                  </w:pPr>
                  <w:r>
                    <w:rPr>
                      <w:rFonts w:hint="eastAsia" w:ascii="Times New Roman" w:hAnsi="Times New Roman" w:eastAsia="宋体" w:cs="Times New Roman"/>
                      <w:kern w:val="0"/>
                      <w:szCs w:val="21"/>
                    </w:rPr>
                    <w:t>本项目运营期按照排污许可证自行检测要求开展定期检测工作。</w:t>
                  </w:r>
                </w:p>
                <w:p w14:paraId="2616B482">
                  <w:pPr>
                    <w:rPr>
                      <w:rFonts w:ascii="Times New Roman" w:hAnsi="Times New Roman" w:eastAsia="宋体" w:cs="Times New Roman"/>
                      <w:kern w:val="0"/>
                      <w:szCs w:val="21"/>
                    </w:rPr>
                  </w:pPr>
                  <w:r>
                    <w:rPr>
                      <w:rFonts w:hint="eastAsia" w:ascii="Times New Roman" w:hAnsi="Times New Roman" w:eastAsia="宋体" w:cs="Times New Roman"/>
                      <w:kern w:val="0"/>
                      <w:szCs w:val="21"/>
                    </w:rPr>
                    <w:t>本项目沥青、轻质柴油等均采用密闭精钢罐体贮存。</w:t>
                  </w:r>
                </w:p>
                <w:p w14:paraId="5017AFB3">
                  <w:pPr>
                    <w:rPr>
                      <w:rFonts w:hint="eastAsia" w:ascii="Times New Roman" w:hAnsi="Times New Roman" w:eastAsia="宋体" w:cs="Times New Roman"/>
                      <w:kern w:val="0"/>
                      <w:szCs w:val="21"/>
                      <w:lang w:eastAsia="zh-CN"/>
                    </w:rPr>
                  </w:pPr>
                  <w:r>
                    <w:rPr>
                      <w:rFonts w:hint="eastAsia" w:ascii="Times New Roman" w:hAnsi="Times New Roman" w:eastAsia="宋体" w:cs="Times New Roman"/>
                      <w:kern w:val="0"/>
                      <w:szCs w:val="21"/>
                    </w:rPr>
                    <w:t>本项目</w:t>
                  </w:r>
                  <w:r>
                    <w:rPr>
                      <w:rFonts w:hint="eastAsia" w:ascii="Times New Roman" w:hAnsi="Times New Roman" w:eastAsia="宋体" w:cs="Times New Roman"/>
                      <w:color w:val="0000FF"/>
                      <w:kern w:val="0"/>
                      <w:szCs w:val="21"/>
                    </w:rPr>
                    <w:t>生活污水（含食堂废水）经隔油池</w:t>
                  </w:r>
                  <w:r>
                    <w:rPr>
                      <w:rFonts w:hint="eastAsia" w:ascii="Times New Roman" w:hAnsi="Times New Roman" w:eastAsia="宋体" w:cs="Times New Roman"/>
                      <w:color w:val="0000FF"/>
                      <w:kern w:val="0"/>
                      <w:szCs w:val="21"/>
                      <w:lang w:eastAsia="zh-CN"/>
                    </w:rPr>
                    <w:t>、</w:t>
                  </w:r>
                  <w:r>
                    <w:rPr>
                      <w:rFonts w:hint="eastAsia" w:ascii="Times New Roman" w:hAnsi="Times New Roman" w:eastAsia="宋体" w:cs="Times New Roman"/>
                      <w:color w:val="0000FF"/>
                      <w:kern w:val="0"/>
                      <w:szCs w:val="21"/>
                    </w:rPr>
                    <w:t>化粪池预处理后，</w:t>
                  </w:r>
                  <w:r>
                    <w:rPr>
                      <w:rFonts w:hint="eastAsia" w:ascii="Times New Roman" w:hAnsi="Times New Roman" w:eastAsia="宋体" w:cs="Times New Roman"/>
                      <w:color w:val="0000FF"/>
                      <w:kern w:val="0"/>
                      <w:szCs w:val="21"/>
                      <w:lang w:val="en-US" w:eastAsia="zh-CN"/>
                    </w:rPr>
                    <w:t>暂</w:t>
                  </w:r>
                  <w:r>
                    <w:rPr>
                      <w:rFonts w:hint="eastAsia" w:ascii="Times New Roman" w:hAnsi="Times New Roman" w:eastAsia="宋体" w:cs="Times New Roman"/>
                      <w:color w:val="0000FF"/>
                      <w:kern w:val="0"/>
                      <w:szCs w:val="21"/>
                    </w:rPr>
                    <w:t>定期委托专业吸污车进行抽吸清运，</w:t>
                  </w:r>
                  <w:r>
                    <w:rPr>
                      <w:rFonts w:hint="eastAsia" w:ascii="Times New Roman" w:hAnsi="Times New Roman" w:eastAsia="宋体" w:cs="Times New Roman"/>
                      <w:color w:val="0000FF"/>
                      <w:kern w:val="0"/>
                      <w:szCs w:val="21"/>
                      <w:lang w:val="en-US" w:eastAsia="zh-CN"/>
                    </w:rPr>
                    <w:t>并跟踪去向</w:t>
                  </w:r>
                  <w:r>
                    <w:rPr>
                      <w:rFonts w:hint="eastAsia" w:ascii="Times New Roman" w:hAnsi="Times New Roman" w:eastAsia="宋体" w:cs="Times New Roman"/>
                      <w:color w:val="0000FF"/>
                      <w:kern w:val="0"/>
                      <w:szCs w:val="21"/>
                      <w:lang w:eastAsia="zh-CN"/>
                    </w:rPr>
                    <w:t>，</w:t>
                  </w:r>
                  <w:r>
                    <w:rPr>
                      <w:rFonts w:hint="eastAsia" w:ascii="Times New Roman" w:hAnsi="Times New Roman" w:eastAsia="宋体" w:cs="Times New Roman"/>
                      <w:color w:val="0000FF"/>
                      <w:kern w:val="0"/>
                      <w:szCs w:val="21"/>
                    </w:rPr>
                    <w:t>待凹凸棒石初级加工园区污水处理厂投入</w:t>
                  </w:r>
                  <w:r>
                    <w:rPr>
                      <w:rFonts w:hint="eastAsia" w:ascii="Times New Roman" w:hAnsi="Times New Roman" w:eastAsia="宋体" w:cs="Times New Roman"/>
                      <w:color w:val="0000FF"/>
                      <w:kern w:val="0"/>
                      <w:szCs w:val="21"/>
                      <w:lang w:val="en-US" w:eastAsia="zh-CN"/>
                    </w:rPr>
                    <w:t>稳定</w:t>
                  </w:r>
                  <w:r>
                    <w:rPr>
                      <w:rFonts w:hint="eastAsia" w:ascii="Times New Roman" w:hAnsi="Times New Roman" w:eastAsia="宋体" w:cs="Times New Roman"/>
                      <w:color w:val="0000FF"/>
                      <w:kern w:val="0"/>
                      <w:szCs w:val="21"/>
                    </w:rPr>
                    <w:t>运行后，排入该污水处理厂进行处理，无外排生产废水</w:t>
                  </w:r>
                  <w:r>
                    <w:rPr>
                      <w:rFonts w:hint="eastAsia" w:ascii="Times New Roman" w:hAnsi="Times New Roman" w:eastAsia="宋体" w:cs="Times New Roman"/>
                      <w:color w:val="0000FF"/>
                      <w:kern w:val="0"/>
                      <w:szCs w:val="21"/>
                      <w:lang w:eastAsia="zh-CN"/>
                    </w:rPr>
                    <w:t>。</w:t>
                  </w:r>
                </w:p>
                <w:p w14:paraId="37BC4E84">
                  <w:r>
                    <w:rPr>
                      <w:rFonts w:hint="eastAsia" w:ascii="Times New Roman" w:hAnsi="Times New Roman" w:eastAsia="宋体" w:cs="Times New Roman"/>
                      <w:kern w:val="0"/>
                      <w:szCs w:val="21"/>
                    </w:rPr>
                    <w:t>本项目有毒有害、易燃易爆危险物质存储量未超过其临界量，即Q&lt;1。本项目在正式投入运行前，应编制突发环境事件应急预案并报送张掖市生态环境局临泽分局备案。日常环境风险管控工作中，应加强职工培训、宣教工作，加强环境风险源巡检、排查、整改、监控，定期组织应急演练，杜绝加剧生态、环境问题的风险发生。</w:t>
                  </w:r>
                </w:p>
              </w:tc>
              <w:tc>
                <w:tcPr>
                  <w:tcW w:w="647" w:type="dxa"/>
                  <w:tcBorders>
                    <w:tl2br w:val="nil"/>
                    <w:tr2bl w:val="nil"/>
                  </w:tcBorders>
                  <w:vAlign w:val="center"/>
                </w:tcPr>
                <w:p w14:paraId="4E1CF013">
                  <w:pPr>
                    <w:jc w:val="center"/>
                    <w:rPr>
                      <w:rFonts w:ascii="Times New Roman" w:hAnsi="Times New Roman" w:eastAsia="宋体" w:cs="Times New Roman"/>
                      <w:bCs/>
                      <w:color w:val="FF0000"/>
                      <w:szCs w:val="21"/>
                    </w:rPr>
                  </w:pPr>
                  <w:r>
                    <w:rPr>
                      <w:rFonts w:hint="eastAsia" w:ascii="Times New Roman" w:hAnsi="Times New Roman" w:eastAsia="宋体" w:cs="Times New Roman"/>
                      <w:bCs/>
                      <w:szCs w:val="21"/>
                    </w:rPr>
                    <w:t>运营期落实要求后符合</w:t>
                  </w:r>
                </w:p>
              </w:tc>
            </w:tr>
            <w:tr w14:paraId="4E41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0" w:type="dxa"/>
                  <w:tcBorders>
                    <w:tl2br w:val="nil"/>
                    <w:tr2bl w:val="nil"/>
                  </w:tcBorders>
                  <w:vAlign w:val="center"/>
                </w:tcPr>
                <w:p w14:paraId="06A45F87">
                  <w:pPr>
                    <w:jc w:val="center"/>
                    <w:rPr>
                      <w:rFonts w:ascii="Times New Roman" w:hAnsi="Times New Roman" w:eastAsia="宋体" w:cs="Times New Roman"/>
                      <w:bCs/>
                      <w:color w:val="FF0000"/>
                      <w:szCs w:val="21"/>
                    </w:rPr>
                  </w:pPr>
                  <w:r>
                    <w:rPr>
                      <w:rFonts w:hint="eastAsia" w:ascii="Times New Roman" w:hAnsi="Times New Roman" w:eastAsia="宋体" w:cs="Times New Roman"/>
                      <w:b/>
                      <w:szCs w:val="21"/>
                    </w:rPr>
                    <w:t>环境准入条件</w:t>
                  </w:r>
                </w:p>
              </w:tc>
              <w:tc>
                <w:tcPr>
                  <w:tcW w:w="2904" w:type="dxa"/>
                  <w:tcBorders>
                    <w:tl2br w:val="nil"/>
                    <w:tr2bl w:val="nil"/>
                  </w:tcBorders>
                  <w:vAlign w:val="center"/>
                </w:tcPr>
                <w:p w14:paraId="6AF165AE">
                  <w:pPr>
                    <w:wordWrap w:val="0"/>
                    <w:topLinePunct/>
                    <w:rPr>
                      <w:rFonts w:ascii="Times New Roman" w:hAnsi="Times New Roman" w:eastAsia="宋体" w:cs="Times New Roman"/>
                      <w:bCs/>
                      <w:szCs w:val="21"/>
                    </w:rPr>
                  </w:pPr>
                  <w:bookmarkStart w:id="6" w:name="_Toc252246422"/>
                  <w:r>
                    <w:rPr>
                      <w:rFonts w:hint="eastAsia" w:ascii="Times New Roman" w:hAnsi="Times New Roman" w:eastAsia="宋体" w:cs="Times New Roman"/>
                      <w:bCs/>
                      <w:szCs w:val="21"/>
                    </w:rPr>
                    <w:t>3.限制和禁止引进的项目和行业</w:t>
                  </w:r>
                  <w:bookmarkEnd w:id="6"/>
                  <w:r>
                    <w:rPr>
                      <w:rFonts w:hint="eastAsia" w:ascii="Times New Roman" w:hAnsi="Times New Roman" w:eastAsia="宋体" w:cs="Times New Roman"/>
                      <w:bCs/>
                      <w:szCs w:val="21"/>
                    </w:rPr>
                    <w:t>：</w:t>
                  </w:r>
                </w:p>
                <w:p w14:paraId="49D6A16C">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对于达不到进区企业要求的建设项目不支持进入。主要体现为：</w:t>
                  </w:r>
                </w:p>
                <w:p w14:paraId="49FB8493">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（1）不符合工业园区产业定位、污染排放较大的行业。</w:t>
                  </w:r>
                </w:p>
                <w:p w14:paraId="5119DB29">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（2）高水耗、高物耗、高能耗、高环境风险的项目。</w:t>
                  </w:r>
                </w:p>
                <w:p w14:paraId="67F992FA">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（3）废水含难降解的有机污染物、“三致”污染物及重金属排放的项目。</w:t>
                  </w:r>
                </w:p>
                <w:p w14:paraId="6C886DEA">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（4）废水经预处理达不到污水处理厂接管标准的项目。</w:t>
                  </w:r>
                </w:p>
                <w:p w14:paraId="48ED95D4">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（5）工艺废气中含有难处理的、有毒有害物质的项目。</w:t>
                  </w:r>
                </w:p>
                <w:p w14:paraId="5D99CE8A">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（6）采用落后的生产工艺或生产设备，不符合国家相关产业政策、达不到规模经济的项目。这类项目包括：</w:t>
                  </w:r>
                </w:p>
                <w:p w14:paraId="70956CE1">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①国际上和国家各部门禁止或准备禁止生产的项目、明令淘汰项目；</w:t>
                  </w:r>
                </w:p>
                <w:p w14:paraId="2F7EF165">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②生产方式落后、高能耗、严重浪费资源和污染资源的项目；</w:t>
                  </w:r>
                </w:p>
                <w:p w14:paraId="33FF7AB2">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③污染严重，破坏自然生态和损害人体健康又无治理技术或难以治理的项目；</w:t>
                  </w:r>
                </w:p>
                <w:p w14:paraId="6B12D1AF">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④严禁引进不符合经济规模要求，经济效益差，污染严重的企业。在判断该类项目时要参考《关于进一步加强产业政策和信贷政策协调配合控制信贷风险有关问题的通知》发改产业[2004]746号、《产业结构调整指导目录（2019年本）》、《禁止外商投资产业目录》等国家法律、法规。</w:t>
                  </w:r>
                </w:p>
                <w:p w14:paraId="4C030A4E">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⑤严禁引入不符合行业准入条件的项目。</w:t>
                  </w:r>
                </w:p>
                <w:p w14:paraId="2BAF232F">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bCs/>
                      <w:szCs w:val="21"/>
                    </w:rPr>
                    <w:t>⑥不得引进《环境保护综合名录》中规定的“高污染、高环境风险”产品生产线和“重污染工艺”。</w:t>
                  </w:r>
                </w:p>
              </w:tc>
              <w:tc>
                <w:tcPr>
                  <w:tcW w:w="2451" w:type="dxa"/>
                  <w:tcBorders>
                    <w:tl2br w:val="nil"/>
                    <w:tr2bl w:val="nil"/>
                  </w:tcBorders>
                  <w:vAlign w:val="center"/>
                </w:tcPr>
                <w:p w14:paraId="78E59B89">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本项目全面落实国家和省市环保政策，严格执行环境影响评价制度、“三同时”制度、排污总量控制制度等，采用清洁生产工艺和设备。</w:t>
                  </w:r>
                </w:p>
                <w:p w14:paraId="1B8CD254">
                  <w:pPr>
                    <w:wordWrap w:val="0"/>
                    <w:topLinePunct/>
                    <w:rPr>
                      <w:rFonts w:ascii="Times New Roman" w:hAnsi="Times New Roman" w:eastAsia="宋体" w:cs="Times New Roman"/>
                      <w:bCs/>
                      <w:szCs w:val="21"/>
                    </w:rPr>
                  </w:pPr>
                  <w:r>
                    <w:rPr>
                      <w:rFonts w:hint="eastAsia" w:ascii="Times New Roman" w:hAnsi="Times New Roman" w:eastAsia="宋体" w:cs="Times New Roman"/>
                      <w:bCs/>
                      <w:color w:val="1331F5"/>
                      <w:szCs w:val="21"/>
                    </w:rPr>
                    <w:t>建设单位承诺安全设施、环保设施与主体工程同时设计、同时施工、同时投入生产和使用。</w:t>
                  </w:r>
                </w:p>
                <w:p w14:paraId="046DA83A">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本项目正式投产前，应向环境主管部门申领排污许可证，按证排污。</w:t>
                  </w:r>
                </w:p>
                <w:p w14:paraId="7DDB6606">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bCs/>
                      <w:szCs w:val="21"/>
                    </w:rPr>
                    <w:t>本项目运营过程中消耗的电能、水资源、轻质柴油等，不会突破区域资源利用上线的要求。</w:t>
                  </w:r>
                </w:p>
                <w:p w14:paraId="64E5F3C8">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本项目运营期严格执行本环评提出的各项污染防治措施，废气、废水和噪声均能达标排放，固体废物均能合理处置，不会对区域环境质量造成较大影响。</w:t>
                  </w:r>
                </w:p>
                <w:p w14:paraId="64C62662">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bCs/>
                      <w:szCs w:val="21"/>
                    </w:rPr>
                    <w:t>本项目基本符合园区环保准入条件。</w:t>
                  </w:r>
                </w:p>
              </w:tc>
              <w:tc>
                <w:tcPr>
                  <w:tcW w:w="647" w:type="dxa"/>
                  <w:tcBorders>
                    <w:tl2br w:val="nil"/>
                    <w:tr2bl w:val="nil"/>
                  </w:tcBorders>
                  <w:vAlign w:val="center"/>
                </w:tcPr>
                <w:p w14:paraId="20BB5891">
                  <w:pPr>
                    <w:jc w:val="center"/>
                    <w:rPr>
                      <w:rFonts w:ascii="Times New Roman" w:hAnsi="Times New Roman" w:eastAsia="宋体" w:cs="Times New Roman"/>
                      <w:bCs/>
                      <w:color w:val="FF0000"/>
                      <w:szCs w:val="21"/>
                    </w:rPr>
                  </w:pPr>
                  <w:r>
                    <w:rPr>
                      <w:rFonts w:hint="eastAsia" w:ascii="Times New Roman" w:hAnsi="Times New Roman" w:eastAsia="宋体" w:cs="Times New Roman"/>
                      <w:bCs/>
                      <w:szCs w:val="21"/>
                    </w:rPr>
                    <w:t>运营期落实要求后符合</w:t>
                  </w:r>
                </w:p>
              </w:tc>
            </w:tr>
            <w:tr w14:paraId="185E9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42" w:hRule="atLeast"/>
              </w:trPr>
              <w:tc>
                <w:tcPr>
                  <w:tcW w:w="390" w:type="dxa"/>
                  <w:vMerge w:val="restart"/>
                  <w:tcBorders>
                    <w:tl2br w:val="nil"/>
                    <w:tr2bl w:val="nil"/>
                  </w:tcBorders>
                  <w:vAlign w:val="center"/>
                </w:tcPr>
                <w:p w14:paraId="40E9D5F5">
                  <w:pPr>
                    <w:jc w:val="center"/>
                    <w:rPr>
                      <w:rFonts w:ascii="Times New Roman" w:hAnsi="Times New Roman" w:eastAsia="宋体" w:cs="Times New Roman"/>
                      <w:b/>
                      <w:color w:val="FF0000"/>
                      <w:szCs w:val="21"/>
                    </w:rPr>
                  </w:pPr>
                  <w:r>
                    <w:rPr>
                      <w:rFonts w:hint="eastAsia" w:ascii="Times New Roman" w:hAnsi="Times New Roman" w:eastAsia="宋体" w:cs="Times New Roman"/>
                      <w:b/>
                      <w:szCs w:val="21"/>
                    </w:rPr>
                    <w:t>生态环境准入要求</w:t>
                  </w:r>
                </w:p>
              </w:tc>
              <w:tc>
                <w:tcPr>
                  <w:tcW w:w="2904" w:type="dxa"/>
                  <w:tcBorders>
                    <w:tl2br w:val="nil"/>
                    <w:tr2bl w:val="nil"/>
                  </w:tcBorders>
                  <w:vAlign w:val="center"/>
                </w:tcPr>
                <w:p w14:paraId="65C1EBD9">
                  <w:pPr>
                    <w:wordWrap w:val="0"/>
                    <w:topLinePunct/>
                    <w:rPr>
                      <w:rFonts w:ascii="Times New Roman" w:hAnsi="Times New Roman" w:eastAsia="宋体" w:cs="Times New Roman"/>
                      <w:bCs/>
                      <w:szCs w:val="21"/>
                    </w:rPr>
                  </w:pPr>
                  <w:r>
                    <w:rPr>
                      <w:rFonts w:hint="eastAsia" w:ascii="Times New Roman" w:hAnsi="Times New Roman" w:eastAsia="宋体" w:cs="Times New Roman"/>
                      <w:b/>
                      <w:szCs w:val="21"/>
                    </w:rPr>
                    <w:t>（一）选址和规模要求。</w:t>
                  </w:r>
                  <w:r>
                    <w:rPr>
                      <w:rFonts w:hint="eastAsia" w:ascii="Times New Roman" w:hAnsi="Times New Roman" w:eastAsia="宋体" w:cs="Times New Roman"/>
                      <w:bCs/>
                      <w:szCs w:val="21"/>
                    </w:rPr>
                    <w:t>近期规划项目主要为农副产品加工、凹凸棒石相关产品加工、新型建材加工、仓储物流、商业服务、生态环境治理和基础设施建设，项目建设应符合《产业结构调整指导目录（2019年本）》。</w:t>
                  </w:r>
                </w:p>
                <w:p w14:paraId="5B81C77C">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bCs/>
                      <w:szCs w:val="21"/>
                    </w:rPr>
                    <w:t>对近期规划项目应严格按《建设项目环境影响评价分类管理名录》要求进行环境影响评价，做好环境管理工作；近期项目应严格按规划和规划环评提出的“三线一单”分区管控意见进行建设，严禁入驻不符合要求项目和违规建设。</w:t>
                  </w:r>
                </w:p>
              </w:tc>
              <w:tc>
                <w:tcPr>
                  <w:tcW w:w="2451" w:type="dxa"/>
                  <w:tcBorders>
                    <w:tl2br w:val="nil"/>
                    <w:tr2bl w:val="nil"/>
                  </w:tcBorders>
                  <w:vAlign w:val="center"/>
                </w:tcPr>
                <w:p w14:paraId="1CCED038">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根据《产业结构调整指导目录（2024年本）》，本项目不属于《产业结构调整指导目录（2024年本）》中鼓励类、限制类、淘汰类项目，鼓励类、限制类和淘汰类之外的，且符合国家有关法律、法规和政策规定的属于允许类，因此，本项目为允许类，符合国家产业政策要求。</w:t>
                  </w:r>
                </w:p>
                <w:p w14:paraId="4516A499">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bCs/>
                      <w:szCs w:val="21"/>
                    </w:rPr>
                    <w:t>本项目（一期工程）主要生产耐候性沥青混凝土</w:t>
                  </w:r>
                  <w:r>
                    <w:rPr>
                      <w:rFonts w:hint="eastAsia" w:ascii="Times New Roman" w:hAnsi="Times New Roman" w:eastAsia="宋体" w:cs="Times New Roman"/>
                      <w:bCs/>
                      <w:szCs w:val="21"/>
                      <w:lang w:val="en-US" w:eastAsia="zh-CN"/>
                    </w:rPr>
                    <w:t>及</w:t>
                  </w:r>
                  <w:r>
                    <w:rPr>
                      <w:rFonts w:hint="eastAsia" w:ascii="Times New Roman" w:hAnsi="Times New Roman" w:eastAsia="宋体" w:cs="Times New Roman"/>
                      <w:bCs/>
                      <w:color w:val="1331F5"/>
                      <w:szCs w:val="21"/>
                      <w:lang w:val="en-US" w:eastAsia="zh-CN"/>
                    </w:rPr>
                    <w:t>乳化沥青（年生产小时数50h）</w:t>
                  </w:r>
                  <w:r>
                    <w:rPr>
                      <w:rFonts w:hint="eastAsia" w:ascii="Times New Roman" w:hAnsi="Times New Roman" w:eastAsia="宋体" w:cs="Times New Roman"/>
                      <w:bCs/>
                      <w:color w:val="1331F5"/>
                      <w:szCs w:val="21"/>
                      <w:lang w:eastAsia="zh-CN"/>
                    </w:rPr>
                    <w:t>；</w:t>
                  </w:r>
                  <w:r>
                    <w:rPr>
                      <w:rFonts w:hint="eastAsia" w:ascii="Times New Roman" w:hAnsi="Times New Roman" w:eastAsia="宋体" w:cs="Times New Roman"/>
                      <w:bCs/>
                      <w:szCs w:val="21"/>
                    </w:rPr>
                    <w:t>耐候性沥青混凝土通过凹凸棒石进行改性，提升沥青混凝土的力学性能</w:t>
                  </w:r>
                  <w:r>
                    <w:rPr>
                      <w:rFonts w:hint="eastAsia" w:ascii="Times New Roman" w:hAnsi="Times New Roman" w:eastAsia="宋体" w:cs="Times New Roman"/>
                      <w:bCs/>
                      <w:szCs w:val="21"/>
                      <w:lang w:eastAsia="zh-CN"/>
                    </w:rPr>
                    <w:t>。</w:t>
                  </w:r>
                  <w:r>
                    <w:rPr>
                      <w:rFonts w:hint="eastAsia" w:ascii="Times New Roman" w:hAnsi="Times New Roman" w:eastAsia="宋体" w:cs="Times New Roman"/>
                      <w:bCs/>
                      <w:szCs w:val="21"/>
                    </w:rPr>
                    <w:t>因此，基本符合临泽工业园区(产业功能区)-凹凸棒石新材料产业园-初级加工区功能定位。</w:t>
                  </w:r>
                </w:p>
              </w:tc>
              <w:tc>
                <w:tcPr>
                  <w:tcW w:w="647" w:type="dxa"/>
                  <w:tcBorders>
                    <w:tl2br w:val="nil"/>
                    <w:tr2bl w:val="nil"/>
                  </w:tcBorders>
                  <w:vAlign w:val="center"/>
                </w:tcPr>
                <w:p w14:paraId="10B55A86">
                  <w:pPr>
                    <w:jc w:val="center"/>
                    <w:rPr>
                      <w:rFonts w:ascii="Times New Roman" w:hAnsi="Times New Roman" w:eastAsia="宋体" w:cs="Times New Roman"/>
                      <w:bCs/>
                      <w:color w:val="FF0000"/>
                      <w:szCs w:val="21"/>
                    </w:rPr>
                  </w:pPr>
                  <w:r>
                    <w:rPr>
                      <w:rFonts w:hint="eastAsia" w:ascii="Times New Roman" w:hAnsi="Times New Roman" w:eastAsia="宋体" w:cs="Times New Roman"/>
                      <w:bCs/>
                      <w:szCs w:val="21"/>
                    </w:rPr>
                    <w:t>符合</w:t>
                  </w:r>
                </w:p>
              </w:tc>
            </w:tr>
            <w:tr w14:paraId="2D6D9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390" w:type="dxa"/>
                  <w:vMerge w:val="continue"/>
                  <w:tcBorders>
                    <w:tl2br w:val="nil"/>
                    <w:tr2bl w:val="nil"/>
                  </w:tcBorders>
                  <w:vAlign w:val="center"/>
                </w:tcPr>
                <w:p w14:paraId="7EFF19FB">
                  <w:pPr>
                    <w:jc w:val="center"/>
                    <w:rPr>
                      <w:rFonts w:ascii="Times New Roman" w:hAnsi="Times New Roman" w:eastAsia="宋体" w:cs="Times New Roman"/>
                      <w:bCs/>
                      <w:color w:val="FF0000"/>
                      <w:szCs w:val="21"/>
                    </w:rPr>
                  </w:pPr>
                </w:p>
              </w:tc>
              <w:tc>
                <w:tcPr>
                  <w:tcW w:w="2904" w:type="dxa"/>
                  <w:tcBorders>
                    <w:tl2br w:val="nil"/>
                    <w:tr2bl w:val="nil"/>
                  </w:tcBorders>
                  <w:vAlign w:val="center"/>
                </w:tcPr>
                <w:p w14:paraId="1B94A247">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二）资源利用要求。结合县城国土空间规划，燃气由西气东输工程供给，其中国家级玉米种子产业园、凹凸棒石新材料产业园（初级加工区）、绿色食品加工产业园（屯泉片区）以及循环经济产业园燃气由县城现状燃气门站提供，绿色食品加工产业园（客运南站片区）、张掖（临泽）通航产业园、现代科技创新加工产业园燃气由规划的倪家营镇燃气门站提供。最大程度提高了园区燃气普及率，规划入区项目应燃用清洁能源，有利于从根本上解决大气环境结构性污染问题。</w:t>
                  </w:r>
                </w:p>
              </w:tc>
              <w:tc>
                <w:tcPr>
                  <w:tcW w:w="2451" w:type="dxa"/>
                  <w:tcBorders>
                    <w:tl2br w:val="nil"/>
                    <w:tr2bl w:val="nil"/>
                  </w:tcBorders>
                  <w:vAlign w:val="center"/>
                </w:tcPr>
                <w:p w14:paraId="30224D71">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bCs/>
                      <w:szCs w:val="21"/>
                    </w:rPr>
                    <w:t>本项目运营过程中消耗的电能、水资源、轻质柴油等，不会突破区域资源利用上线的要求。</w:t>
                  </w:r>
                </w:p>
                <w:p w14:paraId="2F01C51D">
                  <w:pPr>
                    <w:wordWrap w:val="0"/>
                    <w:topLinePunct/>
                    <w:rPr>
                      <w:rFonts w:ascii="Times New Roman" w:hAnsi="Times New Roman" w:eastAsia="宋体" w:cs="Times New Roman"/>
                      <w:color w:val="FF0000"/>
                      <w:szCs w:val="21"/>
                    </w:rPr>
                  </w:pPr>
                </w:p>
                <w:p w14:paraId="71F3B3F0">
                  <w:pPr>
                    <w:rPr>
                      <w:rFonts w:ascii="Times New Roman" w:hAnsi="Times New Roman" w:eastAsia="宋体" w:cs="Times New Roman"/>
                      <w:bCs/>
                      <w:color w:val="FF0000"/>
                      <w:szCs w:val="21"/>
                    </w:rPr>
                  </w:pPr>
                </w:p>
              </w:tc>
              <w:tc>
                <w:tcPr>
                  <w:tcW w:w="647" w:type="dxa"/>
                  <w:tcBorders>
                    <w:tl2br w:val="nil"/>
                    <w:tr2bl w:val="nil"/>
                  </w:tcBorders>
                  <w:vAlign w:val="center"/>
                </w:tcPr>
                <w:p w14:paraId="2D4AE630">
                  <w:pPr>
                    <w:jc w:val="center"/>
                    <w:rPr>
                      <w:rFonts w:ascii="Times New Roman" w:hAnsi="Times New Roman" w:eastAsia="宋体" w:cs="Times New Roman"/>
                      <w:bCs/>
                      <w:szCs w:val="21"/>
                    </w:rPr>
                  </w:pPr>
                  <w:r>
                    <w:rPr>
                      <w:rFonts w:hint="eastAsia" w:ascii="Times New Roman" w:hAnsi="Times New Roman" w:eastAsia="宋体" w:cs="Times New Roman"/>
                      <w:bCs/>
                      <w:szCs w:val="21"/>
                    </w:rPr>
                    <w:t>符合</w:t>
                  </w:r>
                </w:p>
              </w:tc>
            </w:tr>
            <w:tr w14:paraId="3A433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390" w:type="dxa"/>
                  <w:vMerge w:val="continue"/>
                  <w:tcBorders>
                    <w:tl2br w:val="nil"/>
                    <w:tr2bl w:val="nil"/>
                  </w:tcBorders>
                  <w:vAlign w:val="center"/>
                </w:tcPr>
                <w:p w14:paraId="614A82B4">
                  <w:pPr>
                    <w:jc w:val="center"/>
                    <w:rPr>
                      <w:rFonts w:ascii="Times New Roman" w:hAnsi="Times New Roman" w:eastAsia="宋体" w:cs="Times New Roman"/>
                      <w:bCs/>
                      <w:color w:val="FF0000"/>
                      <w:szCs w:val="21"/>
                    </w:rPr>
                  </w:pPr>
                </w:p>
              </w:tc>
              <w:tc>
                <w:tcPr>
                  <w:tcW w:w="2904" w:type="dxa"/>
                  <w:tcBorders>
                    <w:tl2br w:val="nil"/>
                    <w:tr2bl w:val="nil"/>
                  </w:tcBorders>
                  <w:vAlign w:val="center"/>
                </w:tcPr>
                <w:p w14:paraId="02852210">
                  <w:pPr>
                    <w:pStyle w:val="19"/>
                    <w:rPr>
                      <w:rFonts w:ascii="Times New Roman" w:hAnsi="Times New Roman" w:eastAsia="宋体" w:cs="Times New Roman"/>
                      <w:szCs w:val="21"/>
                    </w:rPr>
                  </w:pPr>
                  <w:r>
                    <w:rPr>
                      <w:rFonts w:hint="eastAsia" w:ascii="Times New Roman" w:hAnsi="Times New Roman" w:eastAsia="宋体" w:cs="Times New Roman"/>
                      <w:b w:val="0"/>
                      <w:kern w:val="2"/>
                      <w:szCs w:val="21"/>
                    </w:rPr>
                    <w:t>（三）污染物排放管控。近期规划项目，供热采用天然气、电能等清洁能源作为能源，锅炉应满意《锅炉大气污染物排放标准》（GB13271-2014）中的新建锅炉排放标准。项目废气排气应满足《大气污染物综合排放标准》（GB16297-96）的，执行其二级标准对新污染源大气污染物排放限值的要求。</w:t>
                  </w:r>
                </w:p>
              </w:tc>
              <w:tc>
                <w:tcPr>
                  <w:tcW w:w="2451" w:type="dxa"/>
                  <w:tcBorders>
                    <w:tl2br w:val="nil"/>
                    <w:tr2bl w:val="nil"/>
                  </w:tcBorders>
                  <w:vAlign w:val="center"/>
                </w:tcPr>
                <w:p w14:paraId="48787E27">
                  <w:pPr>
                    <w:wordWrap w:val="0"/>
                    <w:topLinePunct/>
                    <w:rPr>
                      <w:rFonts w:ascii="Times New Roman" w:hAnsi="Times New Roman" w:eastAsia="宋体" w:cs="Times New Roman"/>
                      <w:color w:val="FF0000"/>
                      <w:kern w:val="0"/>
                      <w:szCs w:val="21"/>
                    </w:rPr>
                  </w:pPr>
                </w:p>
                <w:p w14:paraId="518C7CCE">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bCs/>
                      <w:szCs w:val="21"/>
                    </w:rPr>
                    <w:t>本项目经采取废气污染防治可行技术后，能够满足《锅炉大气污染物排放标准》（GB13271-2014）中的新建锅炉排放标准及《大气污染物综合排放标准》（GB16297-96）的限值要求</w:t>
                  </w:r>
                </w:p>
              </w:tc>
              <w:tc>
                <w:tcPr>
                  <w:tcW w:w="647" w:type="dxa"/>
                  <w:tcBorders>
                    <w:tl2br w:val="nil"/>
                    <w:tr2bl w:val="nil"/>
                  </w:tcBorders>
                  <w:vAlign w:val="center"/>
                </w:tcPr>
                <w:p w14:paraId="159CC521">
                  <w:pPr>
                    <w:jc w:val="center"/>
                    <w:rPr>
                      <w:rFonts w:ascii="Times New Roman" w:hAnsi="Times New Roman" w:eastAsia="宋体" w:cs="Times New Roman"/>
                      <w:bCs/>
                      <w:szCs w:val="21"/>
                    </w:rPr>
                  </w:pPr>
                  <w:r>
                    <w:rPr>
                      <w:rFonts w:hint="eastAsia" w:ascii="Times New Roman" w:hAnsi="Times New Roman" w:eastAsia="宋体" w:cs="Times New Roman"/>
                      <w:bCs/>
                      <w:szCs w:val="21"/>
                    </w:rPr>
                    <w:t>运营期落实要求后符合</w:t>
                  </w:r>
                </w:p>
              </w:tc>
            </w:tr>
            <w:tr w14:paraId="144C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trPr>
              <w:tc>
                <w:tcPr>
                  <w:tcW w:w="390" w:type="dxa"/>
                  <w:tcBorders>
                    <w:tl2br w:val="nil"/>
                    <w:tr2bl w:val="nil"/>
                  </w:tcBorders>
                  <w:vAlign w:val="center"/>
                </w:tcPr>
                <w:p w14:paraId="3ED82D0D">
                  <w:pPr>
                    <w:jc w:val="center"/>
                    <w:rPr>
                      <w:rFonts w:ascii="Times New Roman" w:hAnsi="Times New Roman" w:eastAsia="宋体" w:cs="Times New Roman"/>
                      <w:bCs/>
                      <w:color w:val="FF0000"/>
                      <w:szCs w:val="21"/>
                    </w:rPr>
                  </w:pPr>
                </w:p>
              </w:tc>
              <w:tc>
                <w:tcPr>
                  <w:tcW w:w="2904" w:type="dxa"/>
                  <w:tcBorders>
                    <w:tl2br w:val="nil"/>
                    <w:tr2bl w:val="nil"/>
                  </w:tcBorders>
                  <w:vAlign w:val="center"/>
                </w:tcPr>
                <w:p w14:paraId="06451C33">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bCs/>
                      <w:szCs w:val="21"/>
                    </w:rPr>
                    <w:t>（四）环境风险防控。根据分析，近期规划项目主要为农副产品加工、凹凸棒石相关产品加工、新型建材加工、仓储物流、商业服务、生态环境治理和基础设施建设，项目不涉及易燃易爆、有毒有害物料。在具体项目建设过程中应，严格落实具体环评报告中提出的各项环境风险防范措施和要求。</w:t>
                  </w:r>
                </w:p>
              </w:tc>
              <w:tc>
                <w:tcPr>
                  <w:tcW w:w="2451" w:type="dxa"/>
                  <w:tcBorders>
                    <w:tl2br w:val="nil"/>
                    <w:tr2bl w:val="nil"/>
                  </w:tcBorders>
                  <w:vAlign w:val="center"/>
                </w:tcPr>
                <w:p w14:paraId="24578727">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kern w:val="0"/>
                      <w:szCs w:val="21"/>
                    </w:rPr>
                    <w:t>本项目有毒有害、易燃易爆危险物质存储量未超过其临界量</w:t>
                  </w:r>
                  <w:r>
                    <w:rPr>
                      <w:rFonts w:hint="eastAsia" w:ascii="Times New Roman" w:hAnsi="Times New Roman" w:eastAsia="宋体" w:cs="Times New Roman"/>
                      <w:b/>
                      <w:bCs/>
                      <w:kern w:val="0"/>
                      <w:szCs w:val="21"/>
                      <w:vertAlign w:val="superscript"/>
                    </w:rPr>
                    <w:t>3</w:t>
                  </w:r>
                  <w:r>
                    <w:rPr>
                      <w:rFonts w:hint="eastAsia" w:ascii="Times New Roman" w:hAnsi="Times New Roman" w:eastAsia="宋体" w:cs="Times New Roman"/>
                      <w:b/>
                      <w:bCs/>
                      <w:kern w:val="0"/>
                      <w:szCs w:val="21"/>
                    </w:rPr>
                    <w:t>，</w:t>
                  </w:r>
                  <w:r>
                    <w:rPr>
                      <w:rFonts w:hint="eastAsia" w:ascii="Times New Roman" w:hAnsi="Times New Roman" w:eastAsia="宋体" w:cs="Times New Roman"/>
                      <w:kern w:val="0"/>
                      <w:szCs w:val="21"/>
                    </w:rPr>
                    <w:t>即Q&lt;1。本项目在正式投入运行前，应编制突发环境事件应急预案并报送张掖市生态环境局临泽分局备案。日常环境风险管控工作中，应加强职工培训、宣教工作，加强环境风险源巡检、排查、整改、监控，定期组织应急演练，杜绝加剧生态、环境问题的风险发生。</w:t>
                  </w:r>
                </w:p>
              </w:tc>
              <w:tc>
                <w:tcPr>
                  <w:tcW w:w="647" w:type="dxa"/>
                  <w:tcBorders>
                    <w:tl2br w:val="nil"/>
                    <w:tr2bl w:val="nil"/>
                  </w:tcBorders>
                  <w:vAlign w:val="center"/>
                </w:tcPr>
                <w:p w14:paraId="4CE8A69A">
                  <w:pPr>
                    <w:jc w:val="center"/>
                    <w:rPr>
                      <w:rFonts w:ascii="Times New Roman" w:hAnsi="Times New Roman" w:eastAsia="宋体" w:cs="Times New Roman"/>
                      <w:bCs/>
                      <w:color w:val="FF0000"/>
                      <w:szCs w:val="21"/>
                    </w:rPr>
                  </w:pPr>
                  <w:r>
                    <w:rPr>
                      <w:rFonts w:hint="eastAsia" w:ascii="Times New Roman" w:hAnsi="Times New Roman" w:eastAsia="宋体" w:cs="Times New Roman"/>
                      <w:bCs/>
                      <w:szCs w:val="21"/>
                    </w:rPr>
                    <w:t>运营期落实要求后符合</w:t>
                  </w:r>
                </w:p>
              </w:tc>
            </w:tr>
            <w:tr w14:paraId="50EC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90" w:type="dxa"/>
                  <w:vMerge w:val="restart"/>
                  <w:tcBorders>
                    <w:tl2br w:val="nil"/>
                    <w:tr2bl w:val="nil"/>
                  </w:tcBorders>
                  <w:vAlign w:val="center"/>
                </w:tcPr>
                <w:p w14:paraId="4E5BC023">
                  <w:pPr>
                    <w:jc w:val="center"/>
                    <w:rPr>
                      <w:color w:val="FF0000"/>
                    </w:rPr>
                  </w:pPr>
                  <w:r>
                    <w:rPr>
                      <w:rFonts w:hint="eastAsia" w:ascii="Times New Roman" w:hAnsi="Times New Roman" w:eastAsia="宋体" w:cs="Times New Roman"/>
                      <w:b/>
                      <w:szCs w:val="21"/>
                    </w:rPr>
                    <w:t>审查意见符合性分析</w:t>
                  </w:r>
                </w:p>
              </w:tc>
              <w:tc>
                <w:tcPr>
                  <w:tcW w:w="2904" w:type="dxa"/>
                  <w:tcBorders>
                    <w:tl2br w:val="nil"/>
                    <w:tr2bl w:val="nil"/>
                  </w:tcBorders>
                  <w:vAlign w:val="center"/>
                </w:tcPr>
                <w:p w14:paraId="30E6D003">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二、国家级玉米种子加工产业园、绿色食品加工产业园(客运南站片区)和凹凸棒石新材料产业园(科技创新区)中5.9km²位于《张掖市生态环境准入清单(试行)》重点管控单元。凹凸棒石新材料产业园(科技创新区)中剩余0.85km²、凹凸棒石新材料产业园(初级加工区)、张掖(临泽)通航产业园、绿色食品加工产业园(屯泉片区)和循环经济产业园(宏鑫片区、华兴片区、蓼泉南沙窝片区)均位于一般管控单元，规划审批后应根据“三线一单”动态更新调整要求全部纳入重点管控单元。</w:t>
                  </w:r>
                </w:p>
              </w:tc>
              <w:tc>
                <w:tcPr>
                  <w:tcW w:w="2451" w:type="dxa"/>
                  <w:tcBorders>
                    <w:tl2br w:val="nil"/>
                    <w:tr2bl w:val="nil"/>
                  </w:tcBorders>
                  <w:vAlign w:val="center"/>
                </w:tcPr>
                <w:p w14:paraId="21C6E001">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bCs/>
                      <w:szCs w:val="21"/>
                    </w:rPr>
                    <w:t>本项目在空间布局约束、污染物排放管控、环境风险防控及资源开发利用效率等方面均能符合与省、市、县重点管控单元的管控要求。</w:t>
                  </w:r>
                </w:p>
              </w:tc>
              <w:tc>
                <w:tcPr>
                  <w:tcW w:w="647" w:type="dxa"/>
                  <w:tcBorders>
                    <w:tl2br w:val="nil"/>
                    <w:tr2bl w:val="nil"/>
                  </w:tcBorders>
                  <w:vAlign w:val="center"/>
                </w:tcPr>
                <w:p w14:paraId="658C42D4">
                  <w:pPr>
                    <w:jc w:val="center"/>
                    <w:rPr>
                      <w:rFonts w:ascii="Times New Roman" w:hAnsi="Times New Roman" w:eastAsia="宋体" w:cs="Times New Roman"/>
                      <w:bCs/>
                      <w:color w:val="FF0000"/>
                      <w:szCs w:val="21"/>
                    </w:rPr>
                  </w:pPr>
                  <w:r>
                    <w:rPr>
                      <w:rFonts w:hint="eastAsia" w:ascii="Times New Roman" w:hAnsi="Times New Roman" w:eastAsia="宋体" w:cs="Times New Roman"/>
                      <w:bCs/>
                      <w:szCs w:val="21"/>
                    </w:rPr>
                    <w:t>符合</w:t>
                  </w:r>
                </w:p>
              </w:tc>
            </w:tr>
            <w:tr w14:paraId="17F07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trPr>
              <w:tc>
                <w:tcPr>
                  <w:tcW w:w="390" w:type="dxa"/>
                  <w:vMerge w:val="continue"/>
                  <w:tcBorders>
                    <w:tl2br w:val="nil"/>
                    <w:tr2bl w:val="nil"/>
                  </w:tcBorders>
                  <w:vAlign w:val="center"/>
                </w:tcPr>
                <w:p w14:paraId="230C5490">
                  <w:pPr>
                    <w:jc w:val="center"/>
                    <w:rPr>
                      <w:rFonts w:ascii="Times New Roman" w:hAnsi="Times New Roman" w:eastAsia="宋体" w:cs="Times New Roman"/>
                      <w:bCs/>
                      <w:color w:val="FF0000"/>
                      <w:szCs w:val="21"/>
                    </w:rPr>
                  </w:pPr>
                </w:p>
              </w:tc>
              <w:tc>
                <w:tcPr>
                  <w:tcW w:w="2904" w:type="dxa"/>
                  <w:tcBorders>
                    <w:tl2br w:val="nil"/>
                    <w:tr2bl w:val="nil"/>
                  </w:tcBorders>
                  <w:vAlign w:val="center"/>
                </w:tcPr>
                <w:p w14:paraId="2B14ED22">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四、落实“三线一单”生态分区管控要求，推进产业结构和能源结构调整，优化用地结构，不断提高资源能源利用效率，加强污染物排放控制。</w:t>
                  </w:r>
                </w:p>
              </w:tc>
              <w:tc>
                <w:tcPr>
                  <w:tcW w:w="2451" w:type="dxa"/>
                  <w:tcBorders>
                    <w:tl2br w:val="nil"/>
                    <w:tr2bl w:val="nil"/>
                  </w:tcBorders>
                  <w:vAlign w:val="center"/>
                </w:tcPr>
                <w:p w14:paraId="5CD9FC81">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bCs/>
                      <w:szCs w:val="21"/>
                    </w:rPr>
                    <w:t>本项目在空间布局约束、污染物排放管控、环境风险防控及资源开发利用效率等方面均能符合与省、市、县重点管控单元的管控要求。</w:t>
                  </w:r>
                </w:p>
              </w:tc>
              <w:tc>
                <w:tcPr>
                  <w:tcW w:w="647" w:type="dxa"/>
                  <w:tcBorders>
                    <w:tl2br w:val="nil"/>
                    <w:tr2bl w:val="nil"/>
                  </w:tcBorders>
                  <w:vAlign w:val="center"/>
                </w:tcPr>
                <w:p w14:paraId="31B8C1D2">
                  <w:pPr>
                    <w:jc w:val="center"/>
                    <w:rPr>
                      <w:rFonts w:ascii="Times New Roman" w:hAnsi="Times New Roman" w:eastAsia="宋体" w:cs="Times New Roman"/>
                      <w:bCs/>
                      <w:color w:val="FF0000"/>
                      <w:szCs w:val="21"/>
                    </w:rPr>
                  </w:pPr>
                  <w:r>
                    <w:rPr>
                      <w:rFonts w:hint="eastAsia" w:ascii="Times New Roman" w:hAnsi="Times New Roman" w:eastAsia="宋体" w:cs="Times New Roman"/>
                      <w:bCs/>
                      <w:szCs w:val="21"/>
                    </w:rPr>
                    <w:t>符合</w:t>
                  </w:r>
                </w:p>
              </w:tc>
            </w:tr>
            <w:tr w14:paraId="28A66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trPr>
              <w:tc>
                <w:tcPr>
                  <w:tcW w:w="390" w:type="dxa"/>
                  <w:vMerge w:val="continue"/>
                  <w:tcBorders>
                    <w:tl2br w:val="nil"/>
                    <w:tr2bl w:val="nil"/>
                  </w:tcBorders>
                  <w:vAlign w:val="center"/>
                </w:tcPr>
                <w:p w14:paraId="7E2353D0">
                  <w:pPr>
                    <w:jc w:val="center"/>
                    <w:rPr>
                      <w:rFonts w:ascii="Times New Roman" w:hAnsi="Times New Roman" w:eastAsia="宋体" w:cs="Times New Roman"/>
                      <w:bCs/>
                      <w:color w:val="FF0000"/>
                      <w:szCs w:val="21"/>
                    </w:rPr>
                  </w:pPr>
                </w:p>
              </w:tc>
              <w:tc>
                <w:tcPr>
                  <w:tcW w:w="2904" w:type="dxa"/>
                  <w:tcBorders>
                    <w:tl2br w:val="nil"/>
                    <w:tr2bl w:val="nil"/>
                  </w:tcBorders>
                  <w:vAlign w:val="center"/>
                </w:tcPr>
                <w:p w14:paraId="2C534461">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bCs/>
                      <w:szCs w:val="21"/>
                    </w:rPr>
                    <w:t>环境准入清单：根据《张掖市“三线一单”生态环境分区管控方案》,结合园区发展规划，《报告书》提出了分区管控要求和入园项目行业准入清单。入园项目应符合规划空间布局、产业定位和建设项目环境准入等要求，严格执行建设项目环境影响评价、排污许可、污染物总量减排、环保“三同时”等环境保护法律法规和政策要求。加强对园区生态环境的分析评估，把好产业准入关，防止高耗能、高排放项目盲目发展，引导企业应用绿色技术，提高能效水平，促进园区发展向绿色低碳转型。</w:t>
                  </w:r>
                </w:p>
              </w:tc>
              <w:tc>
                <w:tcPr>
                  <w:tcW w:w="2451" w:type="dxa"/>
                  <w:tcBorders>
                    <w:tl2br w:val="nil"/>
                    <w:tr2bl w:val="nil"/>
                  </w:tcBorders>
                  <w:vAlign w:val="center"/>
                </w:tcPr>
                <w:p w14:paraId="117313C9">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本项目全面落实国家和省市环保政策，严格执行环境影响评价制度、“三同时”制度、排污总量控制制度等，采用清洁生产工艺和设备。</w:t>
                  </w:r>
                </w:p>
                <w:p w14:paraId="06CAB1A2">
                  <w:pPr>
                    <w:wordWrap w:val="0"/>
                    <w:topLinePunct/>
                    <w:rPr>
                      <w:rFonts w:ascii="Times New Roman" w:hAnsi="Times New Roman" w:eastAsia="宋体" w:cs="Times New Roman"/>
                      <w:bCs/>
                      <w:color w:val="1331F5"/>
                      <w:szCs w:val="21"/>
                    </w:rPr>
                  </w:pPr>
                  <w:r>
                    <w:rPr>
                      <w:rFonts w:hint="eastAsia" w:ascii="Times New Roman" w:hAnsi="Times New Roman" w:eastAsia="宋体" w:cs="Times New Roman"/>
                      <w:bCs/>
                      <w:color w:val="1331F5"/>
                      <w:szCs w:val="21"/>
                    </w:rPr>
                    <w:t>建设单位承诺安全设施、环保设施与主体工程同时设计、同时施工、同时投入生产和使用。</w:t>
                  </w:r>
                </w:p>
                <w:p w14:paraId="290D3C64">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本项目</w:t>
                  </w:r>
                  <w:r>
                    <w:rPr>
                      <w:rFonts w:hint="eastAsia" w:ascii="Times New Roman" w:hAnsi="Times New Roman" w:eastAsia="宋体" w:cs="Times New Roman"/>
                      <w:bCs/>
                      <w:color w:val="1331F5"/>
                      <w:szCs w:val="21"/>
                    </w:rPr>
                    <w:t>正式</w:t>
                  </w:r>
                  <w:r>
                    <w:rPr>
                      <w:rFonts w:hint="eastAsia" w:ascii="Times New Roman" w:hAnsi="Times New Roman" w:eastAsia="宋体" w:cs="Times New Roman"/>
                      <w:bCs/>
                      <w:szCs w:val="21"/>
                    </w:rPr>
                    <w:t>投产前，应向环境主管部门申领排污许可证，按证排污。</w:t>
                  </w:r>
                </w:p>
                <w:p w14:paraId="7BD28611">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bCs/>
                      <w:szCs w:val="21"/>
                    </w:rPr>
                    <w:t>本项目运营过程中消耗的电能、水资源、轻质柴油等，不会突破区域资源利用上线的要求。</w:t>
                  </w:r>
                </w:p>
                <w:p w14:paraId="566E2DCA">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bCs/>
                      <w:szCs w:val="21"/>
                    </w:rPr>
                    <w:t>本项目运营期严格执行本环评提出的各项污染防治措施，废气、废水和噪声均能达标排放，固体废物均能合理处置，不会对区域环境质量造成较大影响。</w:t>
                  </w:r>
                </w:p>
              </w:tc>
              <w:tc>
                <w:tcPr>
                  <w:tcW w:w="647" w:type="dxa"/>
                  <w:tcBorders>
                    <w:tl2br w:val="nil"/>
                    <w:tr2bl w:val="nil"/>
                  </w:tcBorders>
                  <w:vAlign w:val="center"/>
                </w:tcPr>
                <w:p w14:paraId="5BDF82B6">
                  <w:pPr>
                    <w:jc w:val="center"/>
                    <w:rPr>
                      <w:rFonts w:ascii="Times New Roman" w:hAnsi="Times New Roman" w:eastAsia="宋体" w:cs="Times New Roman"/>
                      <w:bCs/>
                      <w:color w:val="FF0000"/>
                      <w:szCs w:val="21"/>
                    </w:rPr>
                  </w:pPr>
                  <w:r>
                    <w:rPr>
                      <w:rFonts w:hint="eastAsia" w:ascii="Times New Roman" w:hAnsi="Times New Roman" w:eastAsia="宋体" w:cs="Times New Roman"/>
                      <w:bCs/>
                      <w:szCs w:val="21"/>
                    </w:rPr>
                    <w:t>运营期落实要求后符合</w:t>
                  </w:r>
                </w:p>
              </w:tc>
            </w:tr>
          </w:tbl>
          <w:p w14:paraId="1214EF53">
            <w:pPr>
              <w:autoSpaceDE w:val="0"/>
              <w:autoSpaceDN w:val="0"/>
              <w:adjustRightInd w:val="0"/>
              <w:snapToGrid w:val="0"/>
              <w:spacing w:line="360" w:lineRule="auto"/>
              <w:rPr>
                <w:rFonts w:ascii="Times New Roman" w:hAnsi="Times New Roman" w:eastAsia="宋体" w:cs="Times New Roman"/>
                <w:b/>
                <w:bCs/>
                <w:color w:val="FF0000"/>
                <w:sz w:val="24"/>
              </w:rPr>
            </w:pPr>
          </w:p>
        </w:tc>
      </w:tr>
      <w:tr w14:paraId="42050F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1816" w:type="dxa"/>
            <w:tcBorders>
              <w:tl2br w:val="nil"/>
              <w:tr2bl w:val="nil"/>
            </w:tcBorders>
            <w:tcMar>
              <w:left w:w="108" w:type="dxa"/>
              <w:right w:w="108" w:type="dxa"/>
            </w:tcMar>
            <w:vAlign w:val="center"/>
          </w:tcPr>
          <w:p w14:paraId="26BA2BE5">
            <w:pPr>
              <w:autoSpaceDE w:val="0"/>
              <w:autoSpaceDN w:val="0"/>
              <w:adjustRightInd w:val="0"/>
              <w:snapToGrid w:val="0"/>
              <w:jc w:val="center"/>
              <w:rPr>
                <w:rFonts w:ascii="Times New Roman" w:hAnsi="Times New Roman" w:cs="Times New Roman"/>
                <w:kern w:val="0"/>
                <w:sz w:val="24"/>
                <w:lang w:bidi="ar"/>
              </w:rPr>
            </w:pPr>
            <w:r>
              <w:rPr>
                <w:rFonts w:ascii="Times New Roman" w:hAnsi="Times New Roman" w:cs="Times New Roman"/>
                <w:kern w:val="0"/>
                <w:sz w:val="24"/>
                <w:lang w:bidi="ar"/>
              </w:rPr>
              <w:t>其</w:t>
            </w:r>
          </w:p>
          <w:p w14:paraId="4F32B4AD">
            <w:pPr>
              <w:autoSpaceDE w:val="0"/>
              <w:autoSpaceDN w:val="0"/>
              <w:adjustRightInd w:val="0"/>
              <w:snapToGrid w:val="0"/>
              <w:jc w:val="center"/>
              <w:rPr>
                <w:rFonts w:ascii="Times New Roman" w:hAnsi="Times New Roman" w:cs="Times New Roman"/>
                <w:kern w:val="0"/>
                <w:sz w:val="24"/>
                <w:lang w:bidi="ar"/>
              </w:rPr>
            </w:pPr>
            <w:r>
              <w:rPr>
                <w:rFonts w:ascii="Times New Roman" w:hAnsi="Times New Roman" w:cs="Times New Roman"/>
                <w:kern w:val="0"/>
                <w:sz w:val="24"/>
                <w:lang w:bidi="ar"/>
              </w:rPr>
              <w:t>他</w:t>
            </w:r>
          </w:p>
          <w:p w14:paraId="674A2B6F">
            <w:pPr>
              <w:autoSpaceDE w:val="0"/>
              <w:autoSpaceDN w:val="0"/>
              <w:adjustRightInd w:val="0"/>
              <w:snapToGrid w:val="0"/>
              <w:jc w:val="center"/>
              <w:rPr>
                <w:rFonts w:ascii="Times New Roman" w:hAnsi="Times New Roman" w:cs="Times New Roman"/>
                <w:kern w:val="0"/>
                <w:sz w:val="24"/>
                <w:lang w:bidi="ar"/>
              </w:rPr>
            </w:pPr>
            <w:r>
              <w:rPr>
                <w:rFonts w:ascii="Times New Roman" w:hAnsi="Times New Roman" w:cs="Times New Roman"/>
                <w:kern w:val="0"/>
                <w:sz w:val="24"/>
                <w:lang w:bidi="ar"/>
              </w:rPr>
              <w:t>符</w:t>
            </w:r>
          </w:p>
          <w:p w14:paraId="23713251">
            <w:pPr>
              <w:autoSpaceDE w:val="0"/>
              <w:autoSpaceDN w:val="0"/>
              <w:adjustRightInd w:val="0"/>
              <w:snapToGrid w:val="0"/>
              <w:jc w:val="center"/>
              <w:rPr>
                <w:rFonts w:ascii="Times New Roman" w:hAnsi="Times New Roman" w:cs="Times New Roman"/>
                <w:kern w:val="0"/>
                <w:sz w:val="24"/>
                <w:lang w:bidi="ar"/>
              </w:rPr>
            </w:pPr>
            <w:r>
              <w:rPr>
                <w:rFonts w:ascii="Times New Roman" w:hAnsi="Times New Roman" w:cs="Times New Roman"/>
                <w:kern w:val="0"/>
                <w:sz w:val="24"/>
                <w:lang w:bidi="ar"/>
              </w:rPr>
              <w:t>合</w:t>
            </w:r>
          </w:p>
          <w:p w14:paraId="48A423F8">
            <w:pPr>
              <w:autoSpaceDE w:val="0"/>
              <w:autoSpaceDN w:val="0"/>
              <w:adjustRightInd w:val="0"/>
              <w:snapToGrid w:val="0"/>
              <w:jc w:val="center"/>
              <w:rPr>
                <w:rFonts w:ascii="Times New Roman" w:hAnsi="Times New Roman" w:cs="Times New Roman"/>
                <w:kern w:val="0"/>
                <w:sz w:val="24"/>
                <w:lang w:bidi="ar"/>
              </w:rPr>
            </w:pPr>
            <w:r>
              <w:rPr>
                <w:rFonts w:ascii="Times New Roman" w:hAnsi="Times New Roman" w:cs="Times New Roman"/>
                <w:kern w:val="0"/>
                <w:sz w:val="24"/>
                <w:lang w:bidi="ar"/>
              </w:rPr>
              <w:t>性</w:t>
            </w:r>
          </w:p>
          <w:p w14:paraId="5C04B310">
            <w:pPr>
              <w:autoSpaceDE w:val="0"/>
              <w:autoSpaceDN w:val="0"/>
              <w:adjustRightInd w:val="0"/>
              <w:snapToGrid w:val="0"/>
              <w:jc w:val="center"/>
              <w:rPr>
                <w:rFonts w:ascii="Times New Roman" w:hAnsi="Times New Roman" w:cs="Times New Roman"/>
                <w:kern w:val="0"/>
                <w:sz w:val="24"/>
                <w:lang w:bidi="ar"/>
              </w:rPr>
            </w:pPr>
            <w:r>
              <w:rPr>
                <w:rFonts w:ascii="Times New Roman" w:hAnsi="Times New Roman" w:cs="Times New Roman"/>
                <w:kern w:val="0"/>
                <w:sz w:val="24"/>
                <w:lang w:bidi="ar"/>
              </w:rPr>
              <w:t>分</w:t>
            </w:r>
          </w:p>
          <w:p w14:paraId="3B566213">
            <w:pPr>
              <w:autoSpaceDE w:val="0"/>
              <w:autoSpaceDN w:val="0"/>
              <w:adjustRightInd w:val="0"/>
              <w:snapToGrid w:val="0"/>
              <w:jc w:val="center"/>
              <w:rPr>
                <w:rFonts w:ascii="Times New Roman" w:hAnsi="Times New Roman" w:cs="Times New Roman"/>
                <w:color w:val="FF0000"/>
                <w:kern w:val="0"/>
                <w:sz w:val="24"/>
              </w:rPr>
            </w:pPr>
            <w:r>
              <w:rPr>
                <w:rFonts w:ascii="Times New Roman" w:hAnsi="Times New Roman" w:cs="Times New Roman"/>
                <w:kern w:val="0"/>
                <w:sz w:val="24"/>
                <w:lang w:bidi="ar"/>
              </w:rPr>
              <w:t>析</w:t>
            </w:r>
          </w:p>
        </w:tc>
        <w:tc>
          <w:tcPr>
            <w:tcW w:w="6621" w:type="dxa"/>
            <w:gridSpan w:val="3"/>
            <w:tcBorders>
              <w:tl2br w:val="nil"/>
              <w:tr2bl w:val="nil"/>
            </w:tcBorders>
            <w:tcMar>
              <w:left w:w="108" w:type="dxa"/>
              <w:right w:w="108" w:type="dxa"/>
            </w:tcMar>
            <w:vAlign w:val="center"/>
          </w:tcPr>
          <w:p w14:paraId="7BFD5701">
            <w:pPr>
              <w:pStyle w:val="38"/>
              <w:spacing w:line="360" w:lineRule="auto"/>
              <w:ind w:firstLine="0"/>
              <w:jc w:val="left"/>
              <w:rPr>
                <w:rFonts w:ascii="Times New Roman" w:hAnsi="Times New Roman" w:eastAsia="宋体" w:cs="Times New Roman"/>
                <w:b/>
                <w:bCs/>
                <w:sz w:val="24"/>
              </w:rPr>
            </w:pPr>
            <w:r>
              <w:rPr>
                <w:rFonts w:hint="eastAsia" w:ascii="Times New Roman" w:hAnsi="Times New Roman" w:eastAsia="宋体" w:cs="Times New Roman"/>
                <w:b/>
                <w:bCs/>
                <w:sz w:val="24"/>
              </w:rPr>
              <w:t>1产业政策符合性分析</w:t>
            </w:r>
          </w:p>
          <w:p w14:paraId="40FFB4FA">
            <w:pPr>
              <w:pStyle w:val="38"/>
              <w:wordWrap w:val="0"/>
              <w:topLinePunct/>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本项目属</w:t>
            </w:r>
            <w:r>
              <w:rPr>
                <w:rFonts w:hint="eastAsia" w:ascii="Times New Roman" w:hAnsi="Times New Roman" w:cs="Times New Roman"/>
                <w:sz w:val="24"/>
              </w:rPr>
              <w:t>C3099其他非金属矿物制品制造；</w:t>
            </w:r>
            <w:r>
              <w:rPr>
                <w:rFonts w:hint="eastAsia" w:ascii="Times New Roman" w:hAnsi="Times New Roman" w:eastAsia="宋体" w:cs="Times New Roman"/>
                <w:sz w:val="24"/>
              </w:rPr>
              <w:t>根据《产业结构调整指导目录（2024年本）》，本项目不属于《产业结构调整指导目录（2024年本）》中鼓励类、限制类、淘汰类项目，鼓励类、限制类和淘汰类之外的，且符合国家有关法律、法规和政策规定的属于允许类，因此，本项目为允许类，符合国家产业政策要求。</w:t>
            </w:r>
          </w:p>
          <w:p w14:paraId="2CCEBF27">
            <w:pPr>
              <w:pStyle w:val="38"/>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本项目所涉及行业性、领域性、区域性等方面无《市场准入负面清单（2025年版）》中违规另设市场准入行政审批情况。</w:t>
            </w:r>
          </w:p>
          <w:p w14:paraId="1287F6F7">
            <w:pPr>
              <w:pStyle w:val="38"/>
              <w:spacing w:line="360" w:lineRule="auto"/>
              <w:ind w:firstLine="480" w:firstLineChars="200"/>
              <w:jc w:val="left"/>
              <w:rPr>
                <w:rFonts w:ascii="Times New Roman" w:hAnsi="Times New Roman" w:cs="Times New Roman"/>
                <w:color w:val="1331F5"/>
                <w:sz w:val="24"/>
              </w:rPr>
            </w:pPr>
            <w:r>
              <w:rPr>
                <w:rFonts w:hint="eastAsia" w:ascii="Times New Roman" w:hAnsi="Times New Roman" w:eastAsia="宋体" w:cs="Times New Roman"/>
                <w:color w:val="1331F5"/>
                <w:sz w:val="24"/>
              </w:rPr>
              <w:t>本项目已于</w:t>
            </w:r>
            <w:r>
              <w:rPr>
                <w:rFonts w:hint="eastAsia" w:ascii="Times New Roman" w:hAnsi="Times New Roman" w:eastAsia="宋体" w:cs="Times New Roman"/>
                <w:color w:val="1331F5"/>
                <w:sz w:val="24"/>
                <w:lang w:val="en-US" w:eastAsia="zh-CN"/>
              </w:rPr>
              <w:t>2025年10月11日以</w:t>
            </w:r>
            <w:r>
              <w:rPr>
                <w:rFonts w:hint="eastAsia" w:ascii="Times New Roman" w:hAnsi="Times New Roman" w:eastAsia="宋体" w:cs="Times New Roman"/>
                <w:color w:val="1331F5"/>
                <w:sz w:val="24"/>
                <w:lang w:eastAsia="zh-CN"/>
              </w:rPr>
              <w:t>“</w:t>
            </w:r>
            <w:r>
              <w:rPr>
                <w:rFonts w:hint="eastAsia" w:ascii="Times New Roman" w:hAnsi="Times New Roman" w:cs="Times New Roman"/>
                <w:color w:val="1331F5"/>
                <w:sz w:val="24"/>
              </w:rPr>
              <w:t>临发改（备）字〔2025〕106号</w:t>
            </w:r>
            <w:r>
              <w:rPr>
                <w:rFonts w:hint="eastAsia" w:ascii="Times New Roman" w:hAnsi="Times New Roman" w:cs="Times New Roman"/>
                <w:color w:val="1331F5"/>
                <w:sz w:val="24"/>
                <w:lang w:eastAsia="zh-CN"/>
              </w:rPr>
              <w:t>”</w:t>
            </w:r>
            <w:r>
              <w:rPr>
                <w:rFonts w:hint="eastAsia" w:ascii="Times New Roman" w:hAnsi="Times New Roman" w:cs="Times New Roman"/>
                <w:color w:val="1331F5"/>
                <w:sz w:val="24"/>
              </w:rPr>
              <w:t>在张掖市临泽县发展和改革局备案，因此本项目建设符合地方产业政策。</w:t>
            </w:r>
          </w:p>
          <w:p w14:paraId="051A1343">
            <w:pPr>
              <w:pStyle w:val="38"/>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综上，本项目符合国家及地方产业政策。</w:t>
            </w:r>
          </w:p>
          <w:p w14:paraId="0059F573">
            <w:pPr>
              <w:pStyle w:val="25"/>
              <w:spacing w:beforeAutospacing="0" w:afterAutospacing="0" w:line="360" w:lineRule="auto"/>
              <w:rPr>
                <w:rFonts w:hint="eastAsia" w:ascii="Times New Roman" w:hAnsi="Times New Roman"/>
                <w:b/>
                <w:bCs/>
                <w:color w:val="FF0000"/>
                <w:szCs w:val="24"/>
                <w:highlight w:val="none"/>
                <w:lang w:val="en-US" w:eastAsia="zh-CN"/>
              </w:rPr>
            </w:pPr>
            <w:r>
              <w:rPr>
                <w:rFonts w:hint="eastAsia" w:ascii="Times New Roman" w:hAnsi="Times New Roman" w:eastAsia="宋体" w:cs="Times New Roman"/>
                <w:b/>
                <w:bCs/>
                <w:color w:val="FF0000"/>
                <w:sz w:val="24"/>
                <w:highlight w:val="none"/>
                <w:lang w:val="en-US" w:eastAsia="zh-CN"/>
              </w:rPr>
              <w:t>2</w:t>
            </w:r>
            <w:r>
              <w:rPr>
                <w:rFonts w:hint="eastAsia" w:ascii="Times New Roman" w:hAnsi="Times New Roman" w:cs="Times New Roman"/>
                <w:b/>
                <w:bCs/>
                <w:color w:val="FF0000"/>
                <w:kern w:val="0"/>
                <w:sz w:val="24"/>
                <w:highlight w:val="none"/>
                <w:lang w:val="en-US" w:eastAsia="zh-CN"/>
              </w:rPr>
              <w:t>与《临泽县国土空间总体规划（2021-2035）》符合性分析</w:t>
            </w:r>
          </w:p>
          <w:p w14:paraId="521EFB57">
            <w:pPr>
              <w:pStyle w:val="38"/>
              <w:spacing w:line="360" w:lineRule="auto"/>
              <w:ind w:firstLine="480" w:firstLineChars="200"/>
              <w:jc w:val="left"/>
              <w:rPr>
                <w:rFonts w:hint="eastAsia" w:ascii="Times New Roman" w:hAnsi="Times New Roman" w:eastAsia="宋体" w:cs="Times New Roman"/>
                <w:color w:val="FF0000"/>
                <w:kern w:val="2"/>
                <w:sz w:val="24"/>
                <w:szCs w:val="24"/>
                <w:highlight w:val="none"/>
                <w:lang w:val="en-US" w:eastAsia="zh-CN" w:bidi="ar-SA"/>
              </w:rPr>
            </w:pPr>
            <w:r>
              <w:rPr>
                <w:rFonts w:hint="eastAsia" w:ascii="Times New Roman" w:hAnsi="Times New Roman" w:eastAsia="宋体" w:cs="Times New Roman"/>
                <w:color w:val="FF0000"/>
                <w:kern w:val="2"/>
                <w:sz w:val="24"/>
                <w:szCs w:val="24"/>
                <w:highlight w:val="none"/>
                <w:lang w:val="en-US" w:eastAsia="zh-CN" w:bidi="ar-SA"/>
              </w:rPr>
              <w:t>根据《临泽县国土空间总体规划（2021-2035）》，临泽县构建“一河两山三区，一核四廊多点”的国土空间总体开发保护格局。根据规划总体格局，项目所在区域位于临泽县东部区域，属于“北部荒漠防风固沙生态治理区-凹凸棒石产业园”，本项目依托临泽县丰富的凹凸棒石资源，利用凹凸棒石对沥青混凝土进行改性，属于依托当地特色资源发展的新型建材项目。本项目建设能够发挥当地凹凸棒石资源优势，推动资源优势向产业发展优势转化，与规划提出的“利用资源优势，发展多元化产业”、“依托本地特色资源的新兴产业体系，强化产业的本地根植性”的发展要求相符合。</w:t>
            </w:r>
          </w:p>
          <w:p w14:paraId="18C222BF">
            <w:pPr>
              <w:pStyle w:val="38"/>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FF0000"/>
                <w:sz w:val="24"/>
                <w:highlight w:val="none"/>
              </w:rPr>
            </w:pPr>
            <w:r>
              <w:rPr>
                <w:rFonts w:hint="eastAsia" w:ascii="Times New Roman" w:hAnsi="Times New Roman" w:eastAsia="宋体" w:cs="Times New Roman"/>
                <w:color w:val="FF0000"/>
                <w:sz w:val="24"/>
                <w:highlight w:val="none"/>
              </w:rPr>
              <w:t>从国土空间管控</w:t>
            </w:r>
            <w:r>
              <w:rPr>
                <w:rFonts w:hint="eastAsia" w:ascii="Times New Roman" w:hAnsi="Times New Roman" w:eastAsia="宋体" w:cs="Times New Roman"/>
                <w:color w:val="FF0000"/>
                <w:sz w:val="24"/>
                <w:highlight w:val="none"/>
                <w:lang w:val="en-US" w:eastAsia="zh-CN"/>
              </w:rPr>
              <w:t>要素</w:t>
            </w:r>
            <w:r>
              <w:rPr>
                <w:rFonts w:hint="eastAsia" w:ascii="Times New Roman" w:hAnsi="Times New Roman" w:eastAsia="宋体" w:cs="Times New Roman"/>
                <w:color w:val="FF0000"/>
                <w:sz w:val="24"/>
                <w:highlight w:val="none"/>
              </w:rPr>
              <w:t>要求方面分析，规划明确划定</w:t>
            </w:r>
            <w:r>
              <w:rPr>
                <w:rFonts w:hint="eastAsia" w:ascii="Times New Roman" w:hAnsi="Times New Roman" w:eastAsia="宋体" w:cs="Times New Roman"/>
                <w:color w:val="FF0000"/>
                <w:sz w:val="24"/>
                <w:highlight w:val="none"/>
                <w:lang w:eastAsia="zh-CN"/>
              </w:rPr>
              <w:t>“</w:t>
            </w:r>
            <w:r>
              <w:rPr>
                <w:rFonts w:hint="eastAsia" w:ascii="Times New Roman" w:hAnsi="Times New Roman" w:eastAsia="宋体" w:cs="Times New Roman"/>
                <w:color w:val="FF0000"/>
                <w:sz w:val="24"/>
                <w:highlight w:val="none"/>
                <w:lang w:val="en-US" w:eastAsia="zh-CN"/>
              </w:rPr>
              <w:t>永久基本农田、生态保护红线、城镇开发边界”三条控制线；根据本项目土地手续及现场调查情况，本项目不占用永久基本农田，不涉及生态保护红线，</w:t>
            </w:r>
            <w:r>
              <w:rPr>
                <w:rFonts w:hint="eastAsia" w:ascii="Times New Roman" w:hAnsi="Times New Roman" w:eastAsia="宋体" w:cs="Times New Roman"/>
                <w:color w:val="FF0000"/>
                <w:kern w:val="2"/>
                <w:sz w:val="24"/>
                <w:szCs w:val="24"/>
                <w:highlight w:val="none"/>
                <w:lang w:val="en-US" w:eastAsia="zh-CN" w:bidi="ar-SA"/>
              </w:rPr>
              <w:t>项目建设</w:t>
            </w:r>
            <w:r>
              <w:rPr>
                <w:rFonts w:hint="eastAsia" w:ascii="Times New Roman" w:hAnsi="Times New Roman" w:eastAsia="宋体" w:cs="Times New Roman"/>
                <w:color w:val="FF0000"/>
                <w:sz w:val="24"/>
                <w:highlight w:val="none"/>
                <w:lang w:val="en-US" w:eastAsia="zh-CN"/>
              </w:rPr>
              <w:t>符合</w:t>
            </w:r>
            <w:r>
              <w:rPr>
                <w:rFonts w:hint="eastAsia" w:ascii="Times New Roman" w:hAnsi="Times New Roman" w:eastAsia="宋体" w:cs="Times New Roman"/>
                <w:color w:val="FF0000"/>
                <w:sz w:val="24"/>
                <w:highlight w:val="none"/>
              </w:rPr>
              <w:t>国土空间管控</w:t>
            </w:r>
            <w:r>
              <w:rPr>
                <w:rFonts w:hint="eastAsia" w:ascii="Times New Roman" w:hAnsi="Times New Roman" w:eastAsia="宋体" w:cs="Times New Roman"/>
                <w:color w:val="FF0000"/>
                <w:sz w:val="24"/>
                <w:highlight w:val="none"/>
                <w:lang w:val="en-US" w:eastAsia="zh-CN"/>
              </w:rPr>
              <w:t>要素</w:t>
            </w:r>
            <w:r>
              <w:rPr>
                <w:rFonts w:hint="eastAsia" w:ascii="Times New Roman" w:hAnsi="Times New Roman" w:eastAsia="宋体" w:cs="Times New Roman"/>
                <w:color w:val="FF0000"/>
                <w:sz w:val="24"/>
                <w:highlight w:val="none"/>
              </w:rPr>
              <w:t>要求。</w:t>
            </w:r>
          </w:p>
          <w:p w14:paraId="7BA4B7F3">
            <w:pPr>
              <w:pStyle w:val="38"/>
              <w:spacing w:line="360" w:lineRule="auto"/>
              <w:ind w:firstLine="480" w:firstLineChars="200"/>
              <w:jc w:val="left"/>
              <w:rPr>
                <w:rFonts w:hint="eastAsia" w:ascii="Times New Roman" w:hAnsi="Times New Roman" w:eastAsia="宋体" w:cs="Times New Roman"/>
                <w:color w:val="FF0000"/>
                <w:kern w:val="2"/>
                <w:sz w:val="24"/>
                <w:szCs w:val="24"/>
                <w:highlight w:val="none"/>
                <w:lang w:val="en-US" w:eastAsia="zh-CN" w:bidi="ar-SA"/>
              </w:rPr>
            </w:pPr>
            <w:r>
              <w:rPr>
                <w:rFonts w:hint="eastAsia" w:ascii="Times New Roman" w:hAnsi="Times New Roman" w:eastAsia="宋体" w:cs="Times New Roman"/>
                <w:color w:val="FF0000"/>
                <w:kern w:val="2"/>
                <w:sz w:val="24"/>
                <w:szCs w:val="24"/>
                <w:highlight w:val="none"/>
                <w:lang w:val="en-US" w:eastAsia="zh-CN" w:bidi="ar-SA"/>
              </w:rPr>
              <w:t>本项目选址位于临泽县东部区域，属于北部荒漠防风固沙生态治理区，不涉及生态保护红线、自然保护区等生态敏感区域。项目运营期通过配套建设环保污染防治工程，提高污染防治水平，降低环境风险，减少对周边环境的不良影响，不会损害区域生态服务功能，符合规划提出的维护生态安全格局和绿色发展的要求。</w:t>
            </w:r>
          </w:p>
          <w:p w14:paraId="52FC6486">
            <w:pPr>
              <w:pStyle w:val="38"/>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FF0000"/>
                <w:kern w:val="2"/>
                <w:sz w:val="24"/>
                <w:szCs w:val="24"/>
                <w:lang w:val="en-US" w:eastAsia="zh-CN" w:bidi="ar-SA"/>
              </w:rPr>
              <w:t>综上，本项目建设符合《临泽县国土空间总体规划（2021-2035）》提出的产业发展格局和国土空间管控要素要求，本项目不涉及生态保护红线、不占用永久基本农田，不会对区域生态安全格局造成明显不利影响，与规划要求相符合。</w:t>
            </w:r>
          </w:p>
          <w:p w14:paraId="5461A74A">
            <w:pPr>
              <w:pStyle w:val="38"/>
              <w:spacing w:line="360" w:lineRule="auto"/>
              <w:ind w:firstLine="0"/>
              <w:jc w:val="left"/>
              <w:rPr>
                <w:rFonts w:ascii="Times New Roman" w:hAnsi="Times New Roman" w:eastAsia="宋体" w:cs="Times New Roman"/>
                <w:b/>
                <w:bCs/>
                <w:sz w:val="24"/>
              </w:rPr>
            </w:pPr>
            <w:r>
              <w:rPr>
                <w:rFonts w:hint="eastAsia" w:ascii="Times New Roman" w:hAnsi="Times New Roman" w:eastAsia="宋体" w:cs="Times New Roman"/>
                <w:b/>
                <w:bCs/>
                <w:sz w:val="24"/>
                <w:lang w:val="en-US" w:eastAsia="zh-CN"/>
              </w:rPr>
              <w:t>3</w:t>
            </w:r>
            <w:r>
              <w:rPr>
                <w:rFonts w:ascii="Times New Roman" w:hAnsi="Times New Roman" w:eastAsia="宋体" w:cs="Times New Roman"/>
                <w:b/>
                <w:bCs/>
                <w:sz w:val="24"/>
              </w:rPr>
              <w:t>选址合理性分析</w:t>
            </w:r>
          </w:p>
          <w:p w14:paraId="415B9355">
            <w:pPr>
              <w:pStyle w:val="38"/>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本项目选址位置位于临泽工业园区(产业功能区)-凹凸棒石新材料产业园（初级加工区）。本项目租赁甘肃凯西生态环境工程有限公司土地开展生产活动，用地权属甘肃凯西生态环境工程有限公司（本项目租赁地块权属甘肃凯西生态环境工程有限公司所有，2021年3月11日，甘肃凯西生态环境工程有限公司将此地块长期租赁</w:t>
            </w:r>
            <w:r>
              <w:rPr>
                <w:rFonts w:hint="eastAsia" w:ascii="Times New Roman" w:hAnsi="Times New Roman" w:eastAsia="宋体" w:cs="Times New Roman"/>
                <w:sz w:val="24"/>
                <w:lang w:val="en-US" w:eastAsia="zh-CN"/>
              </w:rPr>
              <w:t>给</w:t>
            </w:r>
            <w:r>
              <w:rPr>
                <w:rFonts w:hint="eastAsia" w:ascii="Times New Roman" w:hAnsi="Times New Roman" w:eastAsia="宋体" w:cs="Times New Roman"/>
                <w:sz w:val="24"/>
              </w:rPr>
              <w:t>临泽县奋君矿业有限公司，征得甘肃凯西生态环境工程有限公司同意后，临泽县奋君矿业有限公司将此地块租赁给本项目建设单位，即甘肃聚联新型材料有限公司），权属清晰明确(租赁协议、土地证详见附件5)。</w:t>
            </w:r>
          </w:p>
          <w:p w14:paraId="712FE85C">
            <w:pPr>
              <w:pStyle w:val="38"/>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根据《临泽工业园区(产业功能区) 发展规划（2022-2035年）》—凹凸棒石新材料产业园（初级加工区）用地规划布局（凹凸棒石新材料产业园（初级加工区）士地利用规划图），本项目所处位置属三类工业用地（位置关系详见附图2），故本项目用地性质符合要求。</w:t>
            </w:r>
          </w:p>
          <w:p w14:paraId="55F2125F">
            <w:pPr>
              <w:pStyle w:val="38"/>
              <w:spacing w:line="360" w:lineRule="auto"/>
              <w:ind w:firstLine="480" w:firstLineChars="200"/>
              <w:jc w:val="left"/>
              <w:rPr>
                <w:rFonts w:ascii="Times New Roman" w:hAnsi="Times New Roman" w:eastAsia="宋体" w:cs="Times New Roman"/>
                <w:color w:val="auto"/>
                <w:sz w:val="24"/>
              </w:rPr>
            </w:pPr>
            <w:r>
              <w:rPr>
                <w:rFonts w:hint="eastAsia" w:ascii="Times New Roman" w:hAnsi="Times New Roman" w:eastAsia="宋体" w:cs="Times New Roman"/>
                <w:sz w:val="24"/>
              </w:rPr>
              <w:t>本项目占地范围内无风景名胜区、自然保护区、饮用水水源地、基本农田保护区、耕地、湿地等环境保护目标（征询项目用地建议意见的回函详见附件6）；本项目厂区周边500m范围内无环境保护</w:t>
            </w:r>
            <w:r>
              <w:rPr>
                <w:rFonts w:hint="eastAsia" w:ascii="Times New Roman" w:hAnsi="Times New Roman" w:eastAsia="宋体" w:cs="Times New Roman"/>
                <w:color w:val="auto"/>
                <w:sz w:val="24"/>
              </w:rPr>
              <w:t>目标，距离本项目最近的大气环境保护目标为西侧1.1km处的板桥村。本项目选址建设位置已避开人口稠密区、居民区、学校、医院等，并避开高压线路及高大树木，与通讯线路、光缆保持一定距离。</w:t>
            </w:r>
          </w:p>
          <w:p w14:paraId="42B7B794">
            <w:pPr>
              <w:pStyle w:val="38"/>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color w:val="auto"/>
                <w:sz w:val="24"/>
              </w:rPr>
              <w:t>本项目废气经采取污染防治可行技术后均可达标排放，</w:t>
            </w:r>
            <w:r>
              <w:rPr>
                <w:rFonts w:hint="eastAsia" w:ascii="Times New Roman" w:hAnsi="Times New Roman" w:eastAsia="宋体" w:cs="Times New Roman"/>
                <w:color w:val="0000FF"/>
                <w:sz w:val="24"/>
              </w:rPr>
              <w:t>生活污水（含食堂废水）经隔油池</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化粪池预处理后，</w:t>
            </w:r>
            <w:r>
              <w:rPr>
                <w:rFonts w:hint="eastAsia" w:ascii="Times New Roman" w:hAnsi="Times New Roman" w:eastAsia="宋体" w:cs="Times New Roman"/>
                <w:color w:val="0000FF"/>
                <w:sz w:val="24"/>
                <w:lang w:val="en-US" w:eastAsia="zh-CN"/>
              </w:rPr>
              <w:t>暂</w:t>
            </w:r>
            <w:r>
              <w:rPr>
                <w:rFonts w:hint="eastAsia" w:ascii="Times New Roman" w:hAnsi="Times New Roman" w:eastAsia="宋体" w:cs="Times New Roman"/>
                <w:color w:val="0000FF"/>
                <w:sz w:val="24"/>
              </w:rPr>
              <w:t>定期委托专业吸污车进行抽吸清运，</w:t>
            </w:r>
            <w:r>
              <w:rPr>
                <w:rFonts w:hint="eastAsia" w:ascii="Times New Roman" w:hAnsi="Times New Roman" w:eastAsia="宋体" w:cs="Times New Roman"/>
                <w:color w:val="0000FF"/>
                <w:sz w:val="24"/>
                <w:lang w:val="en-US" w:eastAsia="zh-CN"/>
              </w:rPr>
              <w:t>并跟踪去向</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待凹凸棒石初级加工园区污水处理厂投入</w:t>
            </w:r>
            <w:r>
              <w:rPr>
                <w:rFonts w:hint="eastAsia" w:ascii="Times New Roman" w:hAnsi="Times New Roman" w:eastAsia="宋体" w:cs="Times New Roman"/>
                <w:color w:val="0000FF"/>
                <w:sz w:val="24"/>
                <w:lang w:val="en-US" w:eastAsia="zh-CN"/>
              </w:rPr>
              <w:t>稳定</w:t>
            </w:r>
            <w:r>
              <w:rPr>
                <w:rFonts w:hint="eastAsia" w:ascii="Times New Roman" w:hAnsi="Times New Roman" w:eastAsia="宋体" w:cs="Times New Roman"/>
                <w:color w:val="0000FF"/>
                <w:sz w:val="24"/>
              </w:rPr>
              <w:t>运行后，排入该污水处理厂进行处理；</w:t>
            </w:r>
            <w:r>
              <w:rPr>
                <w:rFonts w:hint="eastAsia" w:ascii="Times New Roman" w:hAnsi="Times New Roman" w:eastAsia="宋体" w:cs="Times New Roman"/>
                <w:sz w:val="24"/>
              </w:rPr>
              <w:t>各类固体废物均遵循减量化、无害化、综合利用的原则得到妥善处置，对周边环境影响较小；本项目建设不会使得区域环境功能发生改变。</w:t>
            </w:r>
          </w:p>
          <w:p w14:paraId="1D0A8647">
            <w:pPr>
              <w:pStyle w:val="38"/>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rPr>
              <w:t>本项目位于临泽工业园区(产业功能区)-凹凸棒石新材料产业园（初级加工区），道路网完善，满足企业交通运输需求。本项目生产所需用水、用电均能正常接入、供给，无特殊环境制约因素。综上所述，项目选址合理可行。</w:t>
            </w:r>
          </w:p>
          <w:p w14:paraId="37CE1FA5">
            <w:pPr>
              <w:pStyle w:val="25"/>
              <w:wordWrap w:val="0"/>
              <w:topLinePunct/>
              <w:spacing w:beforeAutospacing="0" w:afterAutospacing="0" w:line="360" w:lineRule="auto"/>
              <w:rPr>
                <w:rFonts w:hint="default" w:ascii="Times New Roman" w:hAnsi="Times New Roman"/>
                <w:b/>
                <w:bCs/>
              </w:rPr>
            </w:pPr>
            <w:r>
              <w:rPr>
                <w:rFonts w:hint="eastAsia" w:ascii="Times New Roman" w:hAnsi="Times New Roman"/>
                <w:b/>
                <w:bCs/>
                <w:lang w:val="en-US" w:eastAsia="zh-CN"/>
              </w:rPr>
              <w:t>4</w:t>
            </w:r>
            <w:r>
              <w:rPr>
                <w:rFonts w:hint="default" w:ascii="Times New Roman" w:hAnsi="Times New Roman"/>
                <w:b/>
                <w:bCs/>
              </w:rPr>
              <w:t>与《高污染燃料目录》（国环规大气</w:t>
            </w:r>
            <w:r>
              <w:rPr>
                <w:rFonts w:ascii="Times New Roman" w:hAnsi="Times New Roman"/>
                <w:b/>
                <w:bCs/>
              </w:rPr>
              <w:t>[2017]</w:t>
            </w:r>
            <w:r>
              <w:rPr>
                <w:rFonts w:hint="default" w:ascii="Times New Roman" w:hAnsi="Times New Roman"/>
                <w:b/>
                <w:bCs/>
              </w:rPr>
              <w:t>2号）符合性分析</w:t>
            </w:r>
          </w:p>
          <w:p w14:paraId="79A0CC36">
            <w:pPr>
              <w:pStyle w:val="25"/>
              <w:wordWrap w:val="0"/>
              <w:topLinePunct/>
              <w:spacing w:beforeAutospacing="0" w:afterAutospacing="0" w:line="360" w:lineRule="auto"/>
              <w:ind w:firstLine="480" w:firstLineChars="200"/>
              <w:rPr>
                <w:rFonts w:hint="default" w:ascii="Times New Roman" w:hAnsi="Times New Roman"/>
              </w:rPr>
            </w:pPr>
            <w:r>
              <w:rPr>
                <w:rFonts w:ascii="Times New Roman" w:hAnsi="Times New Roman"/>
              </w:rPr>
              <w:t>该</w:t>
            </w:r>
            <w:r>
              <w:rPr>
                <w:rFonts w:hint="default" w:ascii="Times New Roman" w:hAnsi="Times New Roman"/>
              </w:rPr>
              <w:t>文件指出禁燃区不得使用高污染燃料，根据《高污染燃料目录》（国环规大气</w:t>
            </w:r>
            <w:r>
              <w:rPr>
                <w:rFonts w:ascii="Times New Roman" w:hAnsi="Times New Roman"/>
              </w:rPr>
              <w:t>[2017]</w:t>
            </w:r>
            <w:r>
              <w:rPr>
                <w:rFonts w:hint="default" w:ascii="Times New Roman" w:hAnsi="Times New Roman"/>
              </w:rPr>
              <w:t>2号），本项目使用燃料</w:t>
            </w:r>
            <w:r>
              <w:rPr>
                <w:rFonts w:ascii="Times New Roman" w:hAnsi="Times New Roman"/>
              </w:rPr>
              <w:t>为</w:t>
            </w:r>
            <w:r>
              <w:rPr>
                <w:rFonts w:hint="default" w:ascii="Times New Roman" w:hAnsi="Times New Roman"/>
              </w:rPr>
              <w:t>轻质柴油</w:t>
            </w:r>
            <w:r>
              <w:rPr>
                <w:rFonts w:ascii="Times New Roman" w:hAnsi="Times New Roman"/>
              </w:rPr>
              <w:t>，</w:t>
            </w:r>
            <w:r>
              <w:rPr>
                <w:rFonts w:hint="default" w:ascii="Times New Roman" w:hAnsi="Times New Roman"/>
              </w:rPr>
              <w:t>不属于石油焦、油页岩、原油、重油、渣油、煤焦油，不属于高污染燃料，故符合《高污染燃料目录》（国环规大气</w:t>
            </w:r>
            <w:r>
              <w:rPr>
                <w:rFonts w:ascii="Times New Roman" w:hAnsi="Times New Roman"/>
              </w:rPr>
              <w:t>[2017]</w:t>
            </w:r>
            <w:r>
              <w:rPr>
                <w:rFonts w:hint="default" w:ascii="Times New Roman" w:hAnsi="Times New Roman"/>
              </w:rPr>
              <w:t>2号）要求。</w:t>
            </w:r>
          </w:p>
          <w:p w14:paraId="28C73A91">
            <w:pPr>
              <w:pStyle w:val="25"/>
              <w:wordWrap w:val="0"/>
              <w:topLinePunct/>
              <w:spacing w:beforeAutospacing="0" w:afterAutospacing="0" w:line="360" w:lineRule="auto"/>
              <w:rPr>
                <w:rFonts w:hint="default" w:ascii="Times New Roman" w:hAnsi="Times New Roman"/>
                <w:b/>
                <w:bCs/>
              </w:rPr>
            </w:pPr>
            <w:r>
              <w:rPr>
                <w:rFonts w:hint="eastAsia" w:ascii="Times New Roman" w:hAnsi="Times New Roman"/>
                <w:b/>
                <w:bCs/>
                <w:lang w:val="en-US" w:eastAsia="zh-CN"/>
              </w:rPr>
              <w:t>5</w:t>
            </w:r>
            <w:r>
              <w:rPr>
                <w:rFonts w:hint="default" w:ascii="Times New Roman" w:hAnsi="Times New Roman"/>
                <w:b/>
                <w:bCs/>
              </w:rPr>
              <w:t>与《工业炉窑大气污染综合治理方案》（环大气〔2019〕56号）符合性分析</w:t>
            </w:r>
          </w:p>
          <w:p w14:paraId="7E1E8565">
            <w:pPr>
              <w:pStyle w:val="25"/>
              <w:wordWrap w:val="0"/>
              <w:topLinePunct/>
              <w:spacing w:beforeAutospacing="0" w:afterAutospacing="0" w:line="360" w:lineRule="auto"/>
              <w:jc w:val="both"/>
              <w:rPr>
                <w:rFonts w:hint="default" w:ascii="Times New Roman" w:hAnsi="Times New Roman"/>
                <w:b/>
                <w:bCs/>
                <w:snapToGrid w:val="0"/>
                <w:szCs w:val="24"/>
              </w:rPr>
            </w:pPr>
            <w:r>
              <w:rPr>
                <w:rFonts w:hint="default" w:ascii="Times New Roman" w:hAnsi="Times New Roman"/>
                <w:b/>
                <w:bCs/>
                <w:snapToGrid w:val="0"/>
                <w:szCs w:val="24"/>
              </w:rPr>
              <w:t>表1-</w:t>
            </w:r>
            <w:r>
              <w:rPr>
                <w:rFonts w:ascii="Times New Roman" w:hAnsi="Times New Roman"/>
                <w:b/>
                <w:bCs/>
                <w:snapToGrid w:val="0"/>
                <w:szCs w:val="24"/>
              </w:rPr>
              <w:t>3</w:t>
            </w:r>
            <w:r>
              <w:rPr>
                <w:rFonts w:hint="default" w:ascii="Times New Roman" w:hAnsi="Times New Roman"/>
                <w:b/>
                <w:bCs/>
                <w:snapToGrid w:val="0"/>
                <w:szCs w:val="24"/>
              </w:rPr>
              <w:t xml:space="preserve"> 与《工业炉窑大气污染综合治理方案》符合性分析</w:t>
            </w:r>
            <w:r>
              <w:rPr>
                <w:rFonts w:ascii="Times New Roman" w:hAnsi="Times New Roman"/>
                <w:b/>
                <w:bCs/>
                <w:snapToGrid w:val="0"/>
                <w:szCs w:val="24"/>
              </w:rPr>
              <w:t>表</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43"/>
              <w:gridCol w:w="2350"/>
              <w:gridCol w:w="702"/>
            </w:tblGrid>
            <w:tr w14:paraId="6D286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1" w:hRule="atLeast"/>
              </w:trPr>
              <w:tc>
                <w:tcPr>
                  <w:tcW w:w="2613" w:type="pct"/>
                  <w:tcBorders>
                    <w:tl2br w:val="nil"/>
                    <w:tr2bl w:val="nil"/>
                  </w:tcBorders>
                  <w:vAlign w:val="center"/>
                </w:tcPr>
                <w:p w14:paraId="73F060C9">
                  <w:pPr>
                    <w:keepLines/>
                    <w:widowControl/>
                    <w:jc w:val="center"/>
                    <w:rPr>
                      <w:rFonts w:hint="eastAsia" w:ascii="宋体" w:hAnsi="宋体" w:eastAsia="宋体" w:cs="宋体"/>
                      <w:b/>
                      <w:szCs w:val="21"/>
                    </w:rPr>
                  </w:pPr>
                  <w:r>
                    <w:rPr>
                      <w:rFonts w:hint="eastAsia" w:ascii="宋体" w:hAnsi="宋体" w:eastAsia="宋体" w:cs="宋体"/>
                      <w:b/>
                      <w:szCs w:val="21"/>
                    </w:rPr>
                    <w:t>治理方案要求</w:t>
                  </w:r>
                </w:p>
              </w:tc>
              <w:tc>
                <w:tcPr>
                  <w:tcW w:w="1836" w:type="pct"/>
                  <w:tcBorders>
                    <w:tl2br w:val="nil"/>
                    <w:tr2bl w:val="nil"/>
                  </w:tcBorders>
                  <w:vAlign w:val="center"/>
                </w:tcPr>
                <w:p w14:paraId="67BDEAD7">
                  <w:pPr>
                    <w:keepLines/>
                    <w:widowControl/>
                    <w:jc w:val="center"/>
                    <w:rPr>
                      <w:rFonts w:hint="eastAsia" w:ascii="宋体" w:hAnsi="宋体" w:eastAsia="宋体" w:cs="宋体"/>
                      <w:b/>
                      <w:szCs w:val="21"/>
                    </w:rPr>
                  </w:pPr>
                  <w:r>
                    <w:rPr>
                      <w:rFonts w:hint="eastAsia" w:ascii="宋体" w:hAnsi="宋体" w:eastAsia="宋体" w:cs="宋体"/>
                      <w:b/>
                      <w:szCs w:val="21"/>
                    </w:rPr>
                    <w:t>本项目符合性分析</w:t>
                  </w:r>
                </w:p>
              </w:tc>
              <w:tc>
                <w:tcPr>
                  <w:tcW w:w="549" w:type="pct"/>
                  <w:tcBorders>
                    <w:tl2br w:val="nil"/>
                    <w:tr2bl w:val="nil"/>
                  </w:tcBorders>
                  <w:vAlign w:val="center"/>
                </w:tcPr>
                <w:p w14:paraId="7BE722A1">
                  <w:pPr>
                    <w:keepLines/>
                    <w:widowControl/>
                    <w:jc w:val="center"/>
                    <w:rPr>
                      <w:rFonts w:hint="eastAsia" w:ascii="宋体" w:hAnsi="宋体" w:eastAsia="宋体" w:cs="宋体"/>
                      <w:b/>
                      <w:szCs w:val="21"/>
                    </w:rPr>
                  </w:pPr>
                  <w:r>
                    <w:rPr>
                      <w:rFonts w:hint="eastAsia" w:ascii="宋体" w:hAnsi="宋体" w:eastAsia="宋体" w:cs="宋体"/>
                      <w:b/>
                      <w:szCs w:val="21"/>
                    </w:rPr>
                    <w:t>符合性</w:t>
                  </w:r>
                </w:p>
              </w:tc>
            </w:tr>
            <w:tr w14:paraId="28956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2613" w:type="pct"/>
                  <w:tcBorders>
                    <w:tl2br w:val="nil"/>
                    <w:tr2bl w:val="nil"/>
                  </w:tcBorders>
                  <w:vAlign w:val="center"/>
                </w:tcPr>
                <w:p w14:paraId="4173F29A">
                  <w:pPr>
                    <w:keepLines/>
                    <w:widowControl/>
                    <w:wordWrap w:val="0"/>
                    <w:topLinePunct/>
                    <w:jc w:val="left"/>
                    <w:rPr>
                      <w:rFonts w:hint="eastAsia" w:ascii="宋体" w:hAnsi="宋体" w:eastAsia="宋体" w:cs="宋体"/>
                      <w:szCs w:val="21"/>
                    </w:rPr>
                  </w:pPr>
                  <w:r>
                    <w:rPr>
                      <w:rFonts w:hint="eastAsia" w:ascii="宋体" w:hAnsi="宋体" w:eastAsia="宋体" w:cs="宋体"/>
                      <w:color w:val="000000"/>
                      <w:kern w:val="0"/>
                      <w:szCs w:val="21"/>
                      <w:lang w:bidi="ar"/>
                    </w:rPr>
                    <w:t>加大产业结构调整力度。严格建设项目环境准入。新建涉工业炉窑的建设项目，原则上要入园区，配套建设高效环保治理设施。重点区域严格控制涉工业炉窑建设项目，严禁新增钢铁、焦化、电解铝、铸造、水泥和平板玻璃等产能；严格执行钢铁、水泥、平板玻璃等行业产能置换实施办法；原则上禁止新建燃料类煤气发生炉（园区现有企业统一建设的清洁煤制气中心除外）。</w:t>
                  </w:r>
                </w:p>
              </w:tc>
              <w:tc>
                <w:tcPr>
                  <w:tcW w:w="1836" w:type="pct"/>
                  <w:tcBorders>
                    <w:tl2br w:val="nil"/>
                    <w:tr2bl w:val="nil"/>
                  </w:tcBorders>
                  <w:vAlign w:val="center"/>
                </w:tcPr>
                <w:p w14:paraId="182ED6E3">
                  <w:pPr>
                    <w:pStyle w:val="116"/>
                    <w:keepLines/>
                    <w:widowControl/>
                    <w:spacing w:line="240" w:lineRule="auto"/>
                    <w:rPr>
                      <w:rFonts w:hint="eastAsia" w:ascii="宋体" w:hAnsi="宋体" w:eastAsia="宋体" w:cs="宋体"/>
                      <w:szCs w:val="21"/>
                    </w:rPr>
                  </w:pPr>
                  <w:r>
                    <w:rPr>
                      <w:rFonts w:hint="eastAsia" w:ascii="宋体" w:hAnsi="宋体" w:eastAsia="宋体" w:cs="宋体"/>
                      <w:szCs w:val="21"/>
                    </w:rPr>
                    <w:t>本项目属于沥青混凝土</w:t>
                  </w:r>
                  <w:r>
                    <w:rPr>
                      <w:rFonts w:hint="eastAsia" w:ascii="宋体" w:hAnsi="宋体" w:eastAsia="宋体" w:cs="宋体"/>
                      <w:color w:val="1331F5"/>
                      <w:szCs w:val="21"/>
                      <w:lang w:eastAsia="zh-CN"/>
                    </w:rPr>
                    <w:t>、</w:t>
                  </w:r>
                  <w:r>
                    <w:rPr>
                      <w:rFonts w:hint="eastAsia" w:ascii="宋体" w:hAnsi="宋体" w:eastAsia="宋体" w:cs="宋体"/>
                      <w:color w:val="1331F5"/>
                      <w:szCs w:val="21"/>
                      <w:lang w:val="en-US" w:eastAsia="zh-CN"/>
                    </w:rPr>
                    <w:t>乳化沥青</w:t>
                  </w:r>
                  <w:r>
                    <w:rPr>
                      <w:rFonts w:hint="eastAsia" w:ascii="宋体" w:hAnsi="宋体" w:eastAsia="宋体" w:cs="宋体"/>
                      <w:color w:val="1331F5"/>
                      <w:szCs w:val="21"/>
                    </w:rPr>
                    <w:t>制造项目；</w:t>
                  </w:r>
                  <w:r>
                    <w:rPr>
                      <w:rFonts w:hint="eastAsia" w:ascii="宋体" w:hAnsi="宋体" w:eastAsia="宋体" w:cs="宋体"/>
                      <w:szCs w:val="21"/>
                    </w:rPr>
                    <w:t>本环评已按照相关规范要求提出废气污染防治可行技术，建设单位运营期</w:t>
                  </w:r>
                  <w:r>
                    <w:rPr>
                      <w:rFonts w:hint="eastAsia" w:ascii="宋体" w:hAnsi="宋体" w:eastAsia="宋体" w:cs="宋体"/>
                      <w:color w:val="000000"/>
                      <w:szCs w:val="21"/>
                      <w:lang w:bidi="ar"/>
                    </w:rPr>
                    <w:t>配套建设高效环保治理设施</w:t>
                  </w:r>
                </w:p>
              </w:tc>
              <w:tc>
                <w:tcPr>
                  <w:tcW w:w="549" w:type="pct"/>
                  <w:tcBorders>
                    <w:tl2br w:val="nil"/>
                    <w:tr2bl w:val="nil"/>
                  </w:tcBorders>
                  <w:vAlign w:val="center"/>
                </w:tcPr>
                <w:p w14:paraId="57F68D3E">
                  <w:pPr>
                    <w:pStyle w:val="116"/>
                    <w:keepLines/>
                    <w:widowControl/>
                    <w:spacing w:line="240" w:lineRule="auto"/>
                    <w:rPr>
                      <w:rFonts w:hint="eastAsia" w:ascii="宋体" w:hAnsi="宋体" w:eastAsia="宋体" w:cs="宋体"/>
                      <w:szCs w:val="21"/>
                    </w:rPr>
                  </w:pPr>
                  <w:r>
                    <w:rPr>
                      <w:rFonts w:hint="eastAsia" w:ascii="Times New Roman" w:hAnsi="Times New Roman" w:eastAsia="宋体" w:cs="Times New Roman"/>
                      <w:bCs/>
                      <w:szCs w:val="21"/>
                    </w:rPr>
                    <w:t>运营期落实要求后符合</w:t>
                  </w:r>
                </w:p>
              </w:tc>
            </w:tr>
            <w:tr w14:paraId="5B22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2613" w:type="pct"/>
                  <w:tcBorders>
                    <w:tl2br w:val="nil"/>
                    <w:tr2bl w:val="nil"/>
                  </w:tcBorders>
                  <w:vAlign w:val="center"/>
                </w:tcPr>
                <w:p w14:paraId="06C3B819">
                  <w:pPr>
                    <w:keepLines/>
                    <w:widowControl/>
                    <w:wordWrap w:val="0"/>
                    <w:topLinePunct/>
                    <w:jc w:val="left"/>
                    <w:rPr>
                      <w:rFonts w:hint="eastAsia" w:ascii="宋体" w:hAnsi="宋体" w:eastAsia="宋体" w:cs="宋体"/>
                      <w:szCs w:val="21"/>
                    </w:rPr>
                  </w:pPr>
                  <w:r>
                    <w:rPr>
                      <w:rFonts w:hint="eastAsia" w:ascii="宋体" w:hAnsi="宋体" w:eastAsia="宋体" w:cs="宋体"/>
                      <w:color w:val="000000"/>
                      <w:kern w:val="0"/>
                      <w:szCs w:val="21"/>
                      <w:lang w:bidi="ar"/>
                    </w:rPr>
                    <w:t>实施污染深度治理。推进工业炉窑全面达标排放。已有行业排放标准的工业炉窑，严格执行行业排放标准相关规定，配套建设高效脱硫脱硝除尘设施，确保稳定达标排放。已制定更严格地方排放标准的，按地方标准执行。重点区域钢铁、水泥、焦化、石化、化工、有色等行业，二氧化硫、氮氧化物、颗粒物、挥发性有机物（VOC</w:t>
                  </w:r>
                  <w:r>
                    <w:rPr>
                      <w:rFonts w:hint="eastAsia" w:ascii="宋体" w:hAnsi="宋体" w:eastAsia="宋体" w:cs="宋体"/>
                      <w:color w:val="000000"/>
                      <w:kern w:val="0"/>
                      <w:szCs w:val="21"/>
                      <w:vertAlign w:val="subscript"/>
                      <w:lang w:bidi="ar"/>
                    </w:rPr>
                    <w:t>s</w:t>
                  </w:r>
                  <w:r>
                    <w:rPr>
                      <w:rFonts w:hint="eastAsia" w:ascii="宋体" w:hAnsi="宋体" w:eastAsia="宋体" w:cs="宋体"/>
                      <w:color w:val="000000"/>
                      <w:kern w:val="0"/>
                      <w:szCs w:val="21"/>
                      <w:lang w:bidi="ar"/>
                    </w:rPr>
                    <w:t>）排放全面执行大气污染物特别排放限值。已核发排污许可证的，应严格执行许可要求。</w:t>
                  </w:r>
                </w:p>
              </w:tc>
              <w:tc>
                <w:tcPr>
                  <w:tcW w:w="1836" w:type="pct"/>
                  <w:tcBorders>
                    <w:tl2br w:val="nil"/>
                    <w:tr2bl w:val="nil"/>
                  </w:tcBorders>
                  <w:vAlign w:val="center"/>
                </w:tcPr>
                <w:p w14:paraId="1D7A405F">
                  <w:pPr>
                    <w:wordWrap w:val="0"/>
                    <w:topLinePunct/>
                    <w:rPr>
                      <w:rFonts w:ascii="Times New Roman" w:hAnsi="Times New Roman" w:eastAsia="宋体" w:cs="Times New Roman"/>
                      <w:bCs/>
                      <w:szCs w:val="21"/>
                    </w:rPr>
                  </w:pPr>
                  <w:r>
                    <w:rPr>
                      <w:rFonts w:hint="eastAsia" w:ascii="Times New Roman" w:hAnsi="Times New Roman" w:eastAsia="宋体" w:cs="Times New Roman"/>
                      <w:bCs/>
                      <w:color w:val="1331F5"/>
                      <w:szCs w:val="21"/>
                    </w:rPr>
                    <w:t>本项目属于沥青混凝土</w:t>
                  </w:r>
                  <w:r>
                    <w:rPr>
                      <w:rFonts w:hint="eastAsia" w:ascii="Times New Roman" w:hAnsi="Times New Roman" w:eastAsia="宋体" w:cs="Times New Roman"/>
                      <w:bCs/>
                      <w:color w:val="1331F5"/>
                      <w:szCs w:val="21"/>
                      <w:lang w:eastAsia="zh-CN"/>
                    </w:rPr>
                    <w:t>、</w:t>
                  </w:r>
                  <w:r>
                    <w:rPr>
                      <w:rFonts w:hint="eastAsia" w:ascii="Times New Roman" w:hAnsi="Times New Roman" w:eastAsia="宋体" w:cs="Times New Roman"/>
                      <w:bCs/>
                      <w:color w:val="1331F5"/>
                      <w:szCs w:val="21"/>
                      <w:lang w:val="en-US" w:eastAsia="zh-CN"/>
                    </w:rPr>
                    <w:t>乳化沥青</w:t>
                  </w:r>
                  <w:r>
                    <w:rPr>
                      <w:rFonts w:hint="eastAsia" w:ascii="Times New Roman" w:hAnsi="Times New Roman" w:eastAsia="宋体" w:cs="Times New Roman"/>
                      <w:bCs/>
                      <w:szCs w:val="21"/>
                    </w:rPr>
                    <w:t>制造项目，根据《排污许可证申请与核发技术规范 石墨及其他非金属矿物制品制造》（HJ1119-2020），烘干滚筒配套燃烧器产生的燃油废气中SO</w:t>
                  </w:r>
                  <w:r>
                    <w:rPr>
                      <w:rFonts w:hint="eastAsia" w:ascii="Times New Roman" w:hAnsi="Times New Roman" w:eastAsia="宋体" w:cs="Times New Roman"/>
                      <w:bCs/>
                      <w:szCs w:val="21"/>
                      <w:vertAlign w:val="subscript"/>
                    </w:rPr>
                    <w:t>2</w:t>
                  </w:r>
                  <w:r>
                    <w:rPr>
                      <w:rFonts w:hint="eastAsia" w:ascii="Times New Roman" w:hAnsi="Times New Roman" w:eastAsia="宋体" w:cs="Times New Roman"/>
                      <w:bCs/>
                      <w:szCs w:val="21"/>
                    </w:rPr>
                    <w:t>、颗粒物、NO</w:t>
                  </w:r>
                  <w:r>
                    <w:rPr>
                      <w:rFonts w:hint="eastAsia" w:ascii="Times New Roman" w:hAnsi="Times New Roman" w:eastAsia="宋体" w:cs="Times New Roman"/>
                      <w:bCs/>
                      <w:szCs w:val="21"/>
                      <w:vertAlign w:val="subscript"/>
                      <w:lang w:val="en-US" w:eastAsia="zh-CN"/>
                    </w:rPr>
                    <w:t>x</w:t>
                  </w:r>
                  <w:r>
                    <w:rPr>
                      <w:rFonts w:hint="eastAsia" w:ascii="Times New Roman" w:hAnsi="Times New Roman" w:eastAsia="宋体" w:cs="Times New Roman"/>
                      <w:bCs/>
                      <w:szCs w:val="21"/>
                    </w:rPr>
                    <w:t>排放浓度及排放速率执行《大气污染物综合排放标准》（GB16297-1996）表2中二级标准要求。</w:t>
                  </w:r>
                </w:p>
                <w:p w14:paraId="76043335">
                  <w:pPr>
                    <w:wordWrap w:val="0"/>
                    <w:topLinePunct/>
                    <w:rPr>
                      <w:rFonts w:hint="eastAsia" w:ascii="宋体" w:hAnsi="宋体" w:eastAsia="宋体" w:cs="宋体"/>
                      <w:szCs w:val="21"/>
                    </w:rPr>
                  </w:pPr>
                  <w:r>
                    <w:rPr>
                      <w:rFonts w:hint="eastAsia" w:ascii="Times New Roman" w:hAnsi="Times New Roman" w:eastAsia="宋体" w:cs="Times New Roman"/>
                      <w:bCs/>
                      <w:szCs w:val="21"/>
                    </w:rPr>
                    <w:t>本项目烘干燃烧器燃油废气经蜗壳除尘+布袋除尘器处理后通过22m高排气筒排放，污染物排放浓度能够满足《大气污染物综合排放标准》（GB16297-1996）表2中二级标准要求。</w:t>
                  </w:r>
                </w:p>
              </w:tc>
              <w:tc>
                <w:tcPr>
                  <w:tcW w:w="549" w:type="pct"/>
                  <w:tcBorders>
                    <w:tl2br w:val="nil"/>
                    <w:tr2bl w:val="nil"/>
                  </w:tcBorders>
                  <w:vAlign w:val="center"/>
                </w:tcPr>
                <w:p w14:paraId="1A2D6906">
                  <w:pPr>
                    <w:pStyle w:val="116"/>
                    <w:keepLines/>
                    <w:widowControl/>
                    <w:spacing w:line="240" w:lineRule="auto"/>
                    <w:rPr>
                      <w:rFonts w:hint="eastAsia" w:ascii="宋体" w:hAnsi="宋体" w:eastAsia="宋体" w:cs="宋体"/>
                      <w:szCs w:val="21"/>
                    </w:rPr>
                  </w:pPr>
                  <w:r>
                    <w:rPr>
                      <w:rFonts w:hint="eastAsia" w:ascii="Times New Roman" w:hAnsi="Times New Roman" w:eastAsia="宋体" w:cs="Times New Roman"/>
                      <w:bCs/>
                      <w:szCs w:val="21"/>
                    </w:rPr>
                    <w:t>运营期落实要求后符合</w:t>
                  </w:r>
                </w:p>
              </w:tc>
            </w:tr>
            <w:tr w14:paraId="3A9F7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13" w:type="pct"/>
                  <w:tcBorders>
                    <w:tl2br w:val="nil"/>
                    <w:tr2bl w:val="nil"/>
                  </w:tcBorders>
                  <w:vAlign w:val="center"/>
                </w:tcPr>
                <w:p w14:paraId="611B2C21">
                  <w:pPr>
                    <w:keepLines/>
                    <w:widowControl/>
                    <w:wordWrap w:val="0"/>
                    <w:topLinePunct/>
                    <w:jc w:val="left"/>
                    <w:rPr>
                      <w:rFonts w:hint="eastAsia" w:ascii="宋体" w:hAnsi="宋体" w:eastAsia="宋体" w:cs="宋体"/>
                      <w:szCs w:val="21"/>
                    </w:rPr>
                  </w:pPr>
                  <w:r>
                    <w:rPr>
                      <w:rFonts w:hint="eastAsia" w:ascii="宋体" w:hAnsi="宋体" w:eastAsia="宋体" w:cs="宋体"/>
                      <w:color w:val="000000"/>
                      <w:kern w:val="0"/>
                      <w:szCs w:val="21"/>
                      <w:lang w:bidi="ar"/>
                    </w:rPr>
                    <w:t>加强排污许可管理。按照排污许可管理名录规定按期完成涉工业炉窑行业排污许可证核发。开展固定污染源排污许可清理整顿工作，“核发一个行业、清理一个行业、达标一个行业、规范一个行业”。加大依证监管执法和处罚力度，确保排污单位落实持证排污、按证排污的环境管理主体责任。对无证排污、超标超总量排放以及逃避监管方式排放大气污染物的，依法予以停产整治，情节严重的，报经有批准权的人民政府批准，责令停业、关闭。建立企业信用记录，对于无证排污、不按规定提交执行报告和严重超标超总量排污的，纳入全国信用信息共享平台，通过“信用中国”等网站定期向社会公布。</w:t>
                  </w:r>
                </w:p>
              </w:tc>
              <w:tc>
                <w:tcPr>
                  <w:tcW w:w="1836" w:type="pct"/>
                  <w:tcBorders>
                    <w:tl2br w:val="nil"/>
                    <w:tr2bl w:val="nil"/>
                  </w:tcBorders>
                  <w:vAlign w:val="center"/>
                </w:tcPr>
                <w:p w14:paraId="6A78DE01">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本项目正式投产前，应向环境主管部门申领排污许可证，按证排污。</w:t>
                  </w:r>
                </w:p>
                <w:p w14:paraId="39E9BB68">
                  <w:pPr>
                    <w:pStyle w:val="116"/>
                    <w:keepLines/>
                    <w:widowControl/>
                    <w:spacing w:line="240" w:lineRule="auto"/>
                    <w:jc w:val="both"/>
                    <w:rPr>
                      <w:rFonts w:hint="eastAsia" w:ascii="宋体" w:hAnsi="宋体" w:eastAsia="宋体" w:cs="宋体"/>
                      <w:szCs w:val="21"/>
                    </w:rPr>
                  </w:pPr>
                </w:p>
              </w:tc>
              <w:tc>
                <w:tcPr>
                  <w:tcW w:w="549" w:type="pct"/>
                  <w:tcBorders>
                    <w:tl2br w:val="nil"/>
                    <w:tr2bl w:val="nil"/>
                  </w:tcBorders>
                  <w:vAlign w:val="center"/>
                </w:tcPr>
                <w:p w14:paraId="56C765F6">
                  <w:pPr>
                    <w:pStyle w:val="116"/>
                    <w:keepLines/>
                    <w:widowControl/>
                    <w:spacing w:line="240" w:lineRule="auto"/>
                    <w:rPr>
                      <w:rFonts w:hint="eastAsia" w:ascii="宋体" w:hAnsi="宋体" w:eastAsia="宋体" w:cs="宋体"/>
                      <w:szCs w:val="21"/>
                    </w:rPr>
                  </w:pPr>
                  <w:r>
                    <w:rPr>
                      <w:rFonts w:hint="eastAsia" w:ascii="Times New Roman" w:hAnsi="Times New Roman" w:eastAsia="宋体" w:cs="Times New Roman"/>
                      <w:bCs/>
                      <w:szCs w:val="21"/>
                    </w:rPr>
                    <w:t>运营期落实要求后符合</w:t>
                  </w:r>
                </w:p>
              </w:tc>
            </w:tr>
          </w:tbl>
          <w:p w14:paraId="13CEC400">
            <w:pPr>
              <w:pStyle w:val="25"/>
              <w:wordWrap w:val="0"/>
              <w:topLinePunct/>
              <w:spacing w:beforeAutospacing="0" w:afterAutospacing="0" w:line="360" w:lineRule="auto"/>
              <w:rPr>
                <w:rFonts w:hint="default" w:ascii="Times New Roman" w:hAnsi="Times New Roman"/>
                <w:b/>
                <w:bCs/>
              </w:rPr>
            </w:pPr>
            <w:r>
              <w:rPr>
                <w:rFonts w:hint="eastAsia" w:ascii="Times New Roman" w:hAnsi="Times New Roman"/>
                <w:b/>
                <w:bCs/>
                <w:lang w:val="en-US" w:eastAsia="zh-CN"/>
              </w:rPr>
              <w:t>6</w:t>
            </w:r>
            <w:r>
              <w:rPr>
                <w:rFonts w:hint="default" w:ascii="Times New Roman" w:hAnsi="Times New Roman"/>
                <w:b/>
                <w:bCs/>
              </w:rPr>
              <w:t>与《重点行业挥发性有机物综合治理方案》（环大气[2019]53号）符合性分析</w:t>
            </w:r>
          </w:p>
          <w:p w14:paraId="7E420093">
            <w:pPr>
              <w:wordWrap w:val="0"/>
              <w:topLinePunct/>
              <w:spacing w:line="360" w:lineRule="auto"/>
              <w:ind w:firstLine="482" w:firstLineChars="200"/>
              <w:rPr>
                <w:rFonts w:ascii="Times New Roman" w:hAnsi="Times New Roman" w:eastAsia="宋体" w:cs="Times New Roman"/>
                <w:bCs/>
                <w:sz w:val="24"/>
                <w:shd w:val="clear" w:color="auto" w:fill="FFFFFF"/>
              </w:rPr>
            </w:pPr>
            <w:r>
              <w:rPr>
                <w:rFonts w:ascii="Times New Roman" w:hAnsi="Times New Roman" w:eastAsia="宋体" w:cs="Times New Roman"/>
                <w:b/>
                <w:bCs/>
                <w:sz w:val="24"/>
              </w:rPr>
              <w:t>《重点行业挥发性有机物综合治理方案》</w:t>
            </w:r>
            <w:r>
              <w:rPr>
                <w:rFonts w:hint="eastAsia" w:ascii="Times New Roman" w:hAnsi="Times New Roman" w:eastAsia="宋体" w:cs="Times New Roman"/>
                <w:b/>
                <w:bCs/>
                <w:sz w:val="24"/>
              </w:rPr>
              <w:t>：“</w:t>
            </w:r>
            <w:r>
              <w:rPr>
                <w:rFonts w:ascii="Times New Roman" w:hAnsi="Times New Roman" w:eastAsia="宋体" w:cs="Times New Roman"/>
                <w:bCs/>
                <w:sz w:val="24"/>
                <w:shd w:val="clear" w:color="auto" w:fill="FFFFFF"/>
              </w:rPr>
              <w:t>推进建设适宜高效的治污设施。企业新建治污设施或对现有治污设施实施改造</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应依据排放废气的浓度</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组分</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风量，温度</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湿度</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压力，以及生产工况等，合理选择治理技术。鼓励企业采用多种技术的组合工艺，提高VOC</w:t>
            </w:r>
            <w:r>
              <w:rPr>
                <w:rFonts w:ascii="Times New Roman" w:hAnsi="Times New Roman" w:eastAsia="宋体" w:cs="Times New Roman"/>
                <w:bCs/>
                <w:sz w:val="24"/>
                <w:shd w:val="clear" w:color="auto" w:fill="FFFFFF"/>
                <w:vertAlign w:val="subscript"/>
              </w:rPr>
              <w:t xml:space="preserve">s </w:t>
            </w:r>
            <w:r>
              <w:rPr>
                <w:rFonts w:ascii="Times New Roman" w:hAnsi="Times New Roman" w:eastAsia="宋体" w:cs="Times New Roman"/>
                <w:bCs/>
                <w:sz w:val="24"/>
                <w:shd w:val="clear" w:color="auto" w:fill="FFFFFF"/>
              </w:rPr>
              <w:t>治理效率。低浓度</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大风量废气，宜采用沸石转轮吸附</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活性炭吸附</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减风增浓等浓缩技术</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提高VOC</w:t>
            </w:r>
            <w:r>
              <w:rPr>
                <w:rFonts w:ascii="Times New Roman" w:hAnsi="Times New Roman" w:eastAsia="宋体" w:cs="Times New Roman"/>
                <w:bCs/>
                <w:sz w:val="24"/>
                <w:shd w:val="clear" w:color="auto" w:fill="FFFFFF"/>
                <w:vertAlign w:val="subscript"/>
              </w:rPr>
              <w:t xml:space="preserve">s </w:t>
            </w:r>
            <w:r>
              <w:rPr>
                <w:rFonts w:ascii="Times New Roman" w:hAnsi="Times New Roman" w:eastAsia="宋体" w:cs="Times New Roman"/>
                <w:bCs/>
                <w:sz w:val="24"/>
                <w:shd w:val="clear" w:color="auto" w:fill="FFFFFF"/>
              </w:rPr>
              <w:t>浓度后净化处理；高浓度废气</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优先进行溶剂回收</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难以回收的</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宜采用高温焚烧</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催化燃烧等技术。油气（溶剂）回收宜采用冷凝+吸附</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吸附+吸收</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膜分离+吸附等技术。低温等离子</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光催化</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光氧化技术主要适用于恶臭异味等治理；生物法主要适用于低浓度VOCs 废气治理和恶臭异味治理</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非水溶性的VOCs 废气禁止采用水或水溶液喷淋吸收处理。采用一次性活性炭吸附技术的，应定期更换活性炭，废旧活性炭应再生或处理处置。有条件的工业园区和产业集群等，推广集中喷涂、溶剂集中回收、活性炭集中再生等，加强资源共享，提高 VOCs 治理效率</w:t>
            </w:r>
            <w:r>
              <w:rPr>
                <w:rFonts w:hint="eastAsia" w:ascii="Times New Roman" w:hAnsi="Times New Roman" w:eastAsia="宋体" w:cs="Times New Roman"/>
                <w:b/>
                <w:sz w:val="24"/>
                <w:shd w:val="clear" w:color="auto" w:fill="FFFFFF"/>
              </w:rPr>
              <w:t>”</w:t>
            </w:r>
            <w:r>
              <w:rPr>
                <w:rFonts w:ascii="Times New Roman" w:hAnsi="Times New Roman" w:eastAsia="宋体" w:cs="Times New Roman"/>
                <w:bCs/>
                <w:sz w:val="24"/>
                <w:shd w:val="clear" w:color="auto" w:fill="FFFFFF"/>
              </w:rPr>
              <w:t>。</w:t>
            </w:r>
          </w:p>
          <w:p w14:paraId="292FA9ED">
            <w:pPr>
              <w:wordWrap w:val="0"/>
              <w:topLinePunct/>
              <w:spacing w:line="360" w:lineRule="auto"/>
              <w:ind w:firstLine="480" w:firstLineChars="200"/>
              <w:rPr>
                <w:rFonts w:hint="eastAsia" w:ascii="Times New Roman" w:hAnsi="Times New Roman" w:eastAsia="宋体" w:cs="Times New Roman"/>
                <w:bCs/>
                <w:color w:val="1331F5"/>
                <w:sz w:val="24"/>
                <w:shd w:val="clear" w:color="auto" w:fill="FFFFFF"/>
                <w:lang w:eastAsia="zh-CN"/>
              </w:rPr>
            </w:pPr>
            <w:r>
              <w:rPr>
                <w:rFonts w:ascii="Times New Roman" w:hAnsi="Times New Roman" w:eastAsia="宋体" w:cs="Times New Roman"/>
                <w:bCs/>
                <w:sz w:val="24"/>
                <w:shd w:val="clear" w:color="auto" w:fill="FFFFFF"/>
              </w:rPr>
              <w:t xml:space="preserve"> 本项目所用原辅材料不属于高VOCs含量原辅材料，项目不属于石化、化工、包装印刷、工业涂装等高VOCs排放建设企业。本项目产品</w:t>
            </w:r>
            <w:r>
              <w:rPr>
                <w:rFonts w:ascii="Times New Roman" w:hAnsi="Times New Roman" w:eastAsia="宋体" w:cs="Times New Roman"/>
                <w:bCs/>
                <w:color w:val="1331F5"/>
                <w:sz w:val="24"/>
                <w:shd w:val="clear" w:color="auto" w:fill="FFFFFF"/>
              </w:rPr>
              <w:t>为沥青混凝土</w:t>
            </w:r>
            <w:r>
              <w:rPr>
                <w:rFonts w:hint="eastAsia" w:ascii="Times New Roman" w:hAnsi="Times New Roman" w:eastAsia="宋体" w:cs="Times New Roman"/>
                <w:bCs/>
                <w:color w:val="1331F5"/>
                <w:sz w:val="24"/>
                <w:shd w:val="clear" w:color="auto" w:fill="FFFFFF"/>
                <w:lang w:eastAsia="zh-CN"/>
              </w:rPr>
              <w:t>、</w:t>
            </w:r>
            <w:r>
              <w:rPr>
                <w:rFonts w:hint="eastAsia" w:ascii="Times New Roman" w:hAnsi="Times New Roman" w:eastAsia="宋体" w:cs="Times New Roman"/>
                <w:bCs/>
                <w:color w:val="1331F5"/>
                <w:sz w:val="24"/>
                <w:shd w:val="clear" w:color="auto" w:fill="FFFFFF"/>
                <w:lang w:val="en-US" w:eastAsia="zh-CN"/>
              </w:rPr>
              <w:t>乳化沥青</w:t>
            </w:r>
            <w:r>
              <w:rPr>
                <w:rFonts w:ascii="Times New Roman" w:hAnsi="Times New Roman" w:eastAsia="宋体" w:cs="Times New Roman"/>
                <w:bCs/>
                <w:color w:val="1331F5"/>
                <w:sz w:val="24"/>
                <w:shd w:val="clear" w:color="auto" w:fill="FFFFFF"/>
              </w:rPr>
              <w:t>，</w:t>
            </w:r>
            <w:r>
              <w:rPr>
                <w:rFonts w:ascii="Times New Roman" w:hAnsi="Times New Roman" w:eastAsia="宋体" w:cs="Times New Roman"/>
                <w:bCs/>
                <w:sz w:val="24"/>
                <w:shd w:val="clear" w:color="auto" w:fill="FFFFFF"/>
              </w:rPr>
              <w:t>涉VOCs物料主要为沥青，均储存于密闭的储罐内。</w:t>
            </w:r>
            <w:r>
              <w:rPr>
                <w:rFonts w:ascii="Times New Roman" w:hAnsi="Times New Roman" w:eastAsia="宋体" w:cs="Times New Roman"/>
                <w:bCs/>
                <w:color w:val="1331F5"/>
                <w:sz w:val="24"/>
                <w:shd w:val="clear" w:color="auto" w:fill="FFFFFF"/>
              </w:rPr>
              <w:t>本项目</w:t>
            </w:r>
            <w:r>
              <w:rPr>
                <w:rFonts w:hint="eastAsia" w:ascii="Times New Roman" w:hAnsi="Times New Roman" w:eastAsia="宋体" w:cs="Times New Roman"/>
                <w:bCs/>
                <w:color w:val="1331F5"/>
                <w:sz w:val="24"/>
                <w:shd w:val="clear" w:color="auto" w:fill="FFFFFF"/>
                <w:lang w:val="en-US" w:eastAsia="zh-CN"/>
              </w:rPr>
              <w:t>沥青混凝土</w:t>
            </w:r>
            <w:r>
              <w:rPr>
                <w:rFonts w:ascii="Times New Roman" w:hAnsi="Times New Roman" w:eastAsia="宋体" w:cs="Times New Roman"/>
                <w:bCs/>
                <w:color w:val="1331F5"/>
                <w:sz w:val="24"/>
                <w:shd w:val="clear" w:color="auto" w:fill="FFFFFF"/>
              </w:rPr>
              <w:t>生产过程中产生的</w:t>
            </w:r>
            <w:r>
              <w:rPr>
                <w:rFonts w:hint="eastAsia" w:ascii="Times New Roman" w:hAnsi="Times New Roman" w:eastAsia="宋体" w:cs="Times New Roman"/>
                <w:bCs/>
                <w:color w:val="1331F5"/>
                <w:sz w:val="24"/>
                <w:shd w:val="clear" w:color="auto" w:fill="FFFFFF"/>
              </w:rPr>
              <w:t>沥青烟气</w:t>
            </w:r>
            <w:r>
              <w:rPr>
                <w:rFonts w:ascii="Times New Roman" w:hAnsi="Times New Roman" w:eastAsia="宋体" w:cs="Times New Roman"/>
                <w:bCs/>
                <w:color w:val="1331F5"/>
                <w:sz w:val="24"/>
                <w:shd w:val="clear" w:color="auto" w:fill="FFFFFF"/>
              </w:rPr>
              <w:t>经</w:t>
            </w:r>
            <w:r>
              <w:rPr>
                <w:rFonts w:hint="eastAsia" w:ascii="Times New Roman" w:hAnsi="Times New Roman" w:eastAsia="宋体" w:cs="Times New Roman"/>
                <w:bCs/>
                <w:color w:val="1331F5"/>
                <w:sz w:val="24"/>
                <w:shd w:val="clear" w:color="auto" w:fill="FFFFFF"/>
              </w:rPr>
              <w:t>“</w:t>
            </w:r>
            <w:r>
              <w:rPr>
                <w:rFonts w:ascii="Times New Roman" w:hAnsi="Times New Roman" w:eastAsia="宋体" w:cs="Times New Roman"/>
                <w:bCs/>
                <w:color w:val="1331F5"/>
                <w:sz w:val="24"/>
                <w:shd w:val="clear" w:color="auto" w:fill="FFFFFF"/>
              </w:rPr>
              <w:t>洗涤塔+电捕焦油器+等离子光解净化除尘器+活性炭吸附装置</w:t>
            </w:r>
            <w:r>
              <w:rPr>
                <w:rFonts w:hint="eastAsia" w:ascii="Times New Roman" w:hAnsi="Times New Roman" w:eastAsia="宋体" w:cs="Times New Roman"/>
                <w:bCs/>
                <w:color w:val="1331F5"/>
                <w:sz w:val="24"/>
                <w:shd w:val="clear" w:color="auto" w:fill="FFFFFF"/>
              </w:rPr>
              <w:t>”</w:t>
            </w:r>
            <w:r>
              <w:rPr>
                <w:rFonts w:ascii="Times New Roman" w:hAnsi="Times New Roman" w:eastAsia="宋体" w:cs="Times New Roman"/>
                <w:bCs/>
                <w:color w:val="1331F5"/>
                <w:sz w:val="24"/>
                <w:shd w:val="clear" w:color="auto" w:fill="FFFFFF"/>
              </w:rPr>
              <w:t>处理后通过</w:t>
            </w:r>
            <w:r>
              <w:rPr>
                <w:rFonts w:hint="eastAsia" w:ascii="Times New Roman" w:hAnsi="Times New Roman" w:eastAsia="宋体" w:cs="Times New Roman"/>
                <w:bCs/>
                <w:color w:val="1331F5"/>
                <w:sz w:val="24"/>
                <w:shd w:val="clear" w:color="auto" w:fill="FFFFFF"/>
              </w:rPr>
              <w:t>25</w:t>
            </w:r>
            <w:r>
              <w:rPr>
                <w:rFonts w:ascii="Times New Roman" w:hAnsi="Times New Roman" w:eastAsia="宋体" w:cs="Times New Roman"/>
                <w:bCs/>
                <w:color w:val="1331F5"/>
                <w:sz w:val="24"/>
                <w:shd w:val="clear" w:color="auto" w:fill="FFFFFF"/>
              </w:rPr>
              <w:t>m高排气筒排放</w:t>
            </w:r>
            <w:r>
              <w:rPr>
                <w:rFonts w:hint="eastAsia" w:ascii="Times New Roman" w:hAnsi="Times New Roman" w:eastAsia="宋体" w:cs="Times New Roman"/>
                <w:bCs/>
                <w:color w:val="1331F5"/>
                <w:sz w:val="24"/>
                <w:shd w:val="clear" w:color="auto" w:fill="FFFFFF"/>
                <w:lang w:eastAsia="zh-CN"/>
              </w:rPr>
              <w:t>；乳化沥青出料、胶磨</w:t>
            </w:r>
            <w:r>
              <w:rPr>
                <w:rFonts w:hint="eastAsia" w:ascii="Times New Roman" w:hAnsi="Times New Roman" w:eastAsia="宋体" w:cs="Times New Roman"/>
                <w:bCs/>
                <w:color w:val="1331F5"/>
                <w:sz w:val="24"/>
                <w:shd w:val="clear" w:color="auto" w:fill="FFFFFF"/>
                <w:lang w:val="en-US" w:eastAsia="zh-CN"/>
              </w:rPr>
              <w:t>工序产生的沥青烟气经</w:t>
            </w:r>
            <w:r>
              <w:rPr>
                <w:rFonts w:hint="eastAsia" w:ascii="Times New Roman" w:hAnsi="Times New Roman" w:eastAsia="宋体" w:cs="Times New Roman"/>
                <w:bCs/>
                <w:color w:val="1331F5"/>
                <w:sz w:val="24"/>
                <w:shd w:val="clear" w:color="auto" w:fill="FFFFFF"/>
                <w:lang w:eastAsia="zh-CN"/>
              </w:rPr>
              <w:t>高效二级活性炭吸附装置</w:t>
            </w:r>
            <w:r>
              <w:rPr>
                <w:rFonts w:hint="eastAsia" w:ascii="Times New Roman" w:hAnsi="Times New Roman" w:eastAsia="宋体" w:cs="Times New Roman"/>
                <w:bCs/>
                <w:color w:val="1331F5"/>
                <w:sz w:val="24"/>
                <w:shd w:val="clear" w:color="auto" w:fill="FFFFFF"/>
                <w:lang w:val="en-US" w:eastAsia="zh-CN"/>
              </w:rPr>
              <w:t>处理后通过</w:t>
            </w:r>
            <w:r>
              <w:rPr>
                <w:rFonts w:hint="eastAsia" w:ascii="Times New Roman" w:hAnsi="Times New Roman" w:eastAsia="宋体" w:cs="Times New Roman"/>
                <w:bCs/>
                <w:color w:val="1331F5"/>
                <w:sz w:val="24"/>
                <w:shd w:val="clear" w:color="auto" w:fill="FFFFFF"/>
                <w:lang w:eastAsia="zh-CN"/>
              </w:rPr>
              <w:t>15m高排气筒</w:t>
            </w:r>
            <w:r>
              <w:rPr>
                <w:rFonts w:hint="eastAsia" w:ascii="Times New Roman" w:hAnsi="Times New Roman" w:eastAsia="宋体" w:cs="Times New Roman"/>
                <w:bCs/>
                <w:color w:val="1331F5"/>
                <w:sz w:val="24"/>
                <w:shd w:val="clear" w:color="auto" w:fill="FFFFFF"/>
                <w:lang w:val="en-US" w:eastAsia="zh-CN"/>
              </w:rPr>
              <w:t>排放</w:t>
            </w:r>
            <w:r>
              <w:rPr>
                <w:rFonts w:hint="eastAsia" w:ascii="Times New Roman" w:hAnsi="Times New Roman" w:eastAsia="宋体" w:cs="Times New Roman"/>
                <w:bCs/>
                <w:color w:val="1331F5"/>
                <w:sz w:val="24"/>
                <w:shd w:val="clear" w:color="auto" w:fill="FFFFFF"/>
                <w:lang w:eastAsia="zh-CN"/>
              </w:rPr>
              <w:t>。</w:t>
            </w:r>
          </w:p>
          <w:p w14:paraId="451CF9AB">
            <w:pPr>
              <w:wordWrap w:val="0"/>
              <w:topLinePunct/>
              <w:spacing w:line="360" w:lineRule="auto"/>
              <w:ind w:firstLine="480" w:firstLineChars="200"/>
              <w:rPr>
                <w:rFonts w:ascii="Times New Roman" w:hAnsi="Times New Roman" w:eastAsia="宋体" w:cs="Times New Roman"/>
                <w:bCs/>
                <w:sz w:val="24"/>
                <w:shd w:val="clear" w:color="auto" w:fill="FFFFFF"/>
              </w:rPr>
            </w:pPr>
            <w:r>
              <w:rPr>
                <w:rFonts w:ascii="Times New Roman" w:hAnsi="Times New Roman" w:eastAsia="宋体" w:cs="Times New Roman"/>
                <w:bCs/>
                <w:sz w:val="24"/>
                <w:shd w:val="clear" w:color="auto" w:fill="FFFFFF"/>
              </w:rPr>
              <w:t>综上，本项目采取</w:t>
            </w:r>
            <w:r>
              <w:rPr>
                <w:rFonts w:hint="eastAsia" w:ascii="Times New Roman" w:hAnsi="Times New Roman" w:eastAsia="宋体" w:cs="Times New Roman"/>
                <w:bCs/>
                <w:sz w:val="24"/>
                <w:shd w:val="clear" w:color="auto" w:fill="FFFFFF"/>
                <w:lang w:val="en-US" w:eastAsia="zh-CN"/>
              </w:rPr>
              <w:t>的</w:t>
            </w:r>
            <w:r>
              <w:rPr>
                <w:rFonts w:ascii="Times New Roman" w:hAnsi="Times New Roman" w:eastAsia="宋体" w:cs="Times New Roman"/>
                <w:bCs/>
                <w:sz w:val="24"/>
                <w:shd w:val="clear" w:color="auto" w:fill="FFFFFF"/>
              </w:rPr>
              <w:t>污染防治</w:t>
            </w:r>
            <w:r>
              <w:rPr>
                <w:rFonts w:hint="eastAsia" w:ascii="Times New Roman" w:hAnsi="Times New Roman" w:eastAsia="宋体" w:cs="Times New Roman"/>
                <w:bCs/>
                <w:sz w:val="24"/>
                <w:shd w:val="clear" w:color="auto" w:fill="FFFFFF"/>
                <w:lang w:val="en-US" w:eastAsia="zh-CN"/>
              </w:rPr>
              <w:t>设施</w:t>
            </w:r>
            <w:r>
              <w:rPr>
                <w:rFonts w:ascii="Times New Roman" w:hAnsi="Times New Roman" w:eastAsia="宋体" w:cs="Times New Roman"/>
                <w:bCs/>
                <w:sz w:val="24"/>
                <w:shd w:val="clear" w:color="auto" w:fill="FFFFFF"/>
              </w:rPr>
              <w:t>符合《重点行业挥发性有机物综合治理方案》要求。</w:t>
            </w:r>
          </w:p>
          <w:p w14:paraId="3EFD7F56">
            <w:pPr>
              <w:spacing w:line="360" w:lineRule="auto"/>
              <w:rPr>
                <w:rFonts w:hint="default" w:ascii="Times New Roman" w:hAnsi="Times New Roman" w:eastAsia="宋体" w:cs="Times New Roman"/>
                <w:b/>
                <w:bCs/>
                <w:snapToGrid w:val="0"/>
                <w:color w:val="auto"/>
                <w:kern w:val="0"/>
                <w:sz w:val="24"/>
                <w:lang w:val="en-US" w:eastAsia="zh-CN"/>
              </w:rPr>
            </w:pPr>
            <w:r>
              <w:rPr>
                <w:rFonts w:hint="eastAsia" w:ascii="Times New Roman" w:hAnsi="Times New Roman" w:eastAsia="宋体" w:cs="Times New Roman"/>
                <w:b/>
                <w:bCs/>
                <w:snapToGrid w:val="0"/>
                <w:color w:val="auto"/>
                <w:kern w:val="0"/>
                <w:sz w:val="24"/>
                <w:lang w:val="en-US" w:eastAsia="zh-CN"/>
              </w:rPr>
              <w:t>7与环境分区管控符合性分析</w:t>
            </w:r>
          </w:p>
          <w:p w14:paraId="1CBBE4C8">
            <w:pPr>
              <w:wordWrap w:val="0"/>
              <w:topLinePunct/>
              <w:spacing w:line="360" w:lineRule="auto"/>
              <w:ind w:firstLine="482" w:firstLineChars="200"/>
              <w:rPr>
                <w:rFonts w:ascii="Times New Roman" w:hAnsi="Times New Roman" w:eastAsia="宋体" w:cs="Times New Roman"/>
                <w:bCs/>
                <w:sz w:val="24"/>
                <w:shd w:val="clear" w:color="auto" w:fill="FFFFFF"/>
              </w:rPr>
            </w:pPr>
            <w:r>
              <w:rPr>
                <w:rFonts w:hint="eastAsia" w:ascii="Times New Roman" w:hAnsi="Times New Roman" w:eastAsia="宋体" w:cs="Times New Roman"/>
                <w:b/>
                <w:sz w:val="24"/>
                <w:shd w:val="clear" w:color="auto" w:fill="FFFFFF"/>
              </w:rPr>
              <w:t>(1)</w:t>
            </w:r>
            <w:r>
              <w:rPr>
                <w:rFonts w:hint="eastAsia" w:ascii="Times New Roman" w:hAnsi="Times New Roman" w:eastAsia="宋体" w:cs="Times New Roman"/>
                <w:bCs/>
                <w:sz w:val="24"/>
                <w:shd w:val="clear" w:color="auto" w:fill="FFFFFF"/>
              </w:rPr>
              <w:t>根据《甘肃省生态环境厅关于实施“三线一单”生态环境分区管控动态更新成果的通知》（甘环发【2024】18号，2024年2月22日更新），甘肃省共划定环境管控单元952个，分为优先保护单元、重点管控单元和一般管控单元三类，实施分类管控。</w:t>
            </w:r>
          </w:p>
          <w:p w14:paraId="6F449DCD">
            <w:pPr>
              <w:wordWrap w:val="0"/>
              <w:topLinePunct/>
              <w:spacing w:line="360" w:lineRule="auto"/>
              <w:ind w:firstLine="482" w:firstLineChars="200"/>
              <w:rPr>
                <w:rFonts w:ascii="Times New Roman" w:hAnsi="Times New Roman" w:eastAsia="宋体" w:cs="Times New Roman"/>
                <w:bCs/>
                <w:sz w:val="24"/>
                <w:shd w:val="clear" w:color="auto" w:fill="FFFFFF"/>
              </w:rPr>
            </w:pPr>
            <w:r>
              <w:rPr>
                <w:rFonts w:hint="eastAsia" w:ascii="Times New Roman" w:hAnsi="Times New Roman" w:eastAsia="宋体" w:cs="Times New Roman"/>
                <w:b/>
                <w:sz w:val="24"/>
                <w:shd w:val="clear" w:color="auto" w:fill="FFFFFF"/>
              </w:rPr>
              <w:t>(2)</w:t>
            </w:r>
            <w:r>
              <w:rPr>
                <w:rFonts w:hint="eastAsia" w:ascii="Times New Roman" w:hAnsi="Times New Roman" w:eastAsia="宋体" w:cs="Times New Roman"/>
                <w:bCs/>
                <w:sz w:val="24"/>
                <w:shd w:val="clear" w:color="auto" w:fill="FFFFFF"/>
              </w:rPr>
              <w:t>根据《张掖市生态环境局关于实施“三线一单”生态环境分区管控动态更新成果的通知》（张环发【2024］10号），全市更新后共划定环境管控单元63个，分为优先保护单元（37个）、重点管控单元（21个）和一般管控单元（5个）三类，实施分类管控。</w:t>
            </w:r>
          </w:p>
          <w:p w14:paraId="3666B6D0">
            <w:pPr>
              <w:wordWrap w:val="0"/>
              <w:topLinePunct/>
              <w:spacing w:line="360" w:lineRule="auto"/>
              <w:ind w:firstLine="480" w:firstLineChars="200"/>
              <w:rPr>
                <w:rFonts w:ascii="Times New Roman" w:hAnsi="Times New Roman" w:eastAsia="宋体" w:cs="Times New Roman"/>
                <w:bCs/>
                <w:sz w:val="24"/>
                <w:shd w:val="clear" w:color="auto" w:fill="FFFFFF"/>
              </w:rPr>
            </w:pPr>
            <w:r>
              <w:rPr>
                <w:rFonts w:ascii="Times New Roman" w:hAnsi="Times New Roman" w:eastAsia="宋体" w:cs="Times New Roman"/>
                <w:bCs/>
                <w:sz w:val="24"/>
                <w:shd w:val="clear" w:color="auto" w:fill="FFFFFF"/>
              </w:rPr>
              <w:t>本项目涉及的环境管控单元属临泽县重点管控单元ZH62072320002—临泽工业园区</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该管控单元的要求是</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该区域是经济社会高质量发展的主要承载区，主要推进产业结构和能源结构调整，优化交通结构和用地结构，不断提高资源能源利用效率，加强污染物排放控制和环境风险防控，解决突出生态环境问题</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。本项目</w:t>
            </w:r>
            <w:r>
              <w:rPr>
                <w:rFonts w:hint="eastAsia" w:ascii="Times New Roman" w:hAnsi="Times New Roman" w:eastAsia="宋体" w:cs="Times New Roman"/>
                <w:bCs/>
                <w:sz w:val="24"/>
                <w:shd w:val="clear" w:color="auto" w:fill="FFFFFF"/>
              </w:rPr>
              <w:t>建设、运营</w:t>
            </w:r>
            <w:r>
              <w:rPr>
                <w:rFonts w:ascii="Times New Roman" w:hAnsi="Times New Roman" w:eastAsia="宋体" w:cs="Times New Roman"/>
                <w:bCs/>
                <w:sz w:val="24"/>
                <w:shd w:val="clear" w:color="auto" w:fill="FFFFFF"/>
              </w:rPr>
              <w:t>过程</w:t>
            </w:r>
            <w:r>
              <w:rPr>
                <w:rFonts w:hint="eastAsia" w:ascii="Times New Roman" w:hAnsi="Times New Roman" w:eastAsia="宋体" w:cs="Times New Roman"/>
                <w:bCs/>
                <w:sz w:val="24"/>
                <w:shd w:val="clear" w:color="auto" w:fill="FFFFFF"/>
              </w:rPr>
              <w:t>中将严格</w:t>
            </w:r>
            <w:r>
              <w:rPr>
                <w:rFonts w:ascii="Times New Roman" w:hAnsi="Times New Roman" w:eastAsia="宋体" w:cs="Times New Roman"/>
                <w:bCs/>
                <w:sz w:val="24"/>
                <w:shd w:val="clear" w:color="auto" w:fill="FFFFFF"/>
              </w:rPr>
              <w:t>落实各项环保</w:t>
            </w:r>
            <w:r>
              <w:rPr>
                <w:rFonts w:hint="eastAsia" w:ascii="Times New Roman" w:hAnsi="Times New Roman" w:eastAsia="宋体" w:cs="Times New Roman"/>
                <w:bCs/>
                <w:sz w:val="24"/>
                <w:shd w:val="clear" w:color="auto" w:fill="FFFFFF"/>
              </w:rPr>
              <w:t>污染防治设施、</w:t>
            </w:r>
            <w:r>
              <w:rPr>
                <w:rFonts w:ascii="Times New Roman" w:hAnsi="Times New Roman" w:eastAsia="宋体" w:cs="Times New Roman"/>
                <w:bCs/>
                <w:sz w:val="24"/>
                <w:shd w:val="clear" w:color="auto" w:fill="FFFFFF"/>
              </w:rPr>
              <w:t>措施要求</w:t>
            </w:r>
            <w:r>
              <w:rPr>
                <w:rFonts w:hint="eastAsia" w:ascii="Times New Roman" w:hAnsi="Times New Roman" w:eastAsia="宋体" w:cs="Times New Roman"/>
                <w:bCs/>
                <w:sz w:val="24"/>
                <w:shd w:val="clear" w:color="auto" w:fill="FFFFFF"/>
              </w:rPr>
              <w:t>，促使污染物均达标排放</w:t>
            </w:r>
            <w:r>
              <w:rPr>
                <w:rFonts w:ascii="Times New Roman" w:hAnsi="Times New Roman" w:eastAsia="宋体" w:cs="Times New Roman"/>
                <w:bCs/>
                <w:sz w:val="24"/>
                <w:shd w:val="clear" w:color="auto" w:fill="FFFFFF"/>
              </w:rPr>
              <w:t>。</w:t>
            </w:r>
          </w:p>
          <w:p w14:paraId="1D800E6D">
            <w:pPr>
              <w:wordWrap w:val="0"/>
              <w:topLinePunct/>
              <w:spacing w:line="360" w:lineRule="auto"/>
              <w:ind w:firstLine="482" w:firstLineChars="200"/>
              <w:rPr>
                <w:rFonts w:ascii="Times New Roman" w:hAnsi="Times New Roman" w:eastAsia="宋体" w:cs="Times New Roman"/>
                <w:bCs/>
                <w:color w:val="auto"/>
                <w:sz w:val="24"/>
                <w:shd w:val="clear" w:color="auto" w:fill="FFFFFF"/>
              </w:rPr>
            </w:pPr>
            <w:r>
              <w:rPr>
                <w:rFonts w:hint="eastAsia" w:ascii="Times New Roman" w:hAnsi="Times New Roman" w:eastAsia="宋体" w:cs="Times New Roman"/>
                <w:b/>
                <w:color w:val="auto"/>
                <w:sz w:val="24"/>
                <w:shd w:val="clear" w:color="auto" w:fill="FFFFFF"/>
              </w:rPr>
              <w:t>(3)</w:t>
            </w:r>
            <w:r>
              <w:rPr>
                <w:rFonts w:ascii="Times New Roman" w:hAnsi="Times New Roman" w:eastAsia="宋体" w:cs="Times New Roman"/>
                <w:bCs/>
                <w:color w:val="auto"/>
                <w:sz w:val="24"/>
                <w:shd w:val="clear" w:color="auto" w:fill="FFFFFF"/>
              </w:rPr>
              <w:t>本项目与</w:t>
            </w:r>
            <w:r>
              <w:rPr>
                <w:rFonts w:hint="eastAsia" w:ascii="Times New Roman" w:hAnsi="Times New Roman" w:eastAsia="宋体" w:cs="Times New Roman"/>
                <w:bCs/>
                <w:color w:val="auto"/>
                <w:sz w:val="24"/>
                <w:shd w:val="clear" w:color="auto" w:fill="FFFFFF"/>
              </w:rPr>
              <w:t>“</w:t>
            </w:r>
            <w:r>
              <w:rPr>
                <w:rFonts w:hint="eastAsia" w:ascii="Times New Roman" w:hAnsi="Times New Roman" w:eastAsia="宋体" w:cs="Times New Roman"/>
                <w:bCs/>
                <w:color w:val="auto"/>
                <w:sz w:val="24"/>
                <w:shd w:val="clear" w:color="auto" w:fill="FFFFFF"/>
                <w:lang w:val="en-US" w:eastAsia="zh-CN"/>
              </w:rPr>
              <w:t>环境分区管控</w:t>
            </w:r>
            <w:r>
              <w:rPr>
                <w:rFonts w:hint="eastAsia" w:ascii="Times New Roman" w:hAnsi="Times New Roman" w:eastAsia="宋体" w:cs="Times New Roman"/>
                <w:bCs/>
                <w:color w:val="auto"/>
                <w:sz w:val="24"/>
                <w:shd w:val="clear" w:color="auto" w:fill="FFFFFF"/>
              </w:rPr>
              <w:t>”</w:t>
            </w:r>
            <w:r>
              <w:rPr>
                <w:rFonts w:ascii="Times New Roman" w:hAnsi="Times New Roman" w:eastAsia="宋体" w:cs="Times New Roman"/>
                <w:bCs/>
                <w:color w:val="auto"/>
                <w:sz w:val="24"/>
                <w:shd w:val="clear" w:color="auto" w:fill="FFFFFF"/>
              </w:rPr>
              <w:t>相符性分析如下</w:t>
            </w:r>
          </w:p>
          <w:p w14:paraId="54B61C4D">
            <w:pPr>
              <w:wordWrap w:val="0"/>
              <w:topLinePunct/>
              <w:spacing w:line="360" w:lineRule="auto"/>
              <w:ind w:firstLine="482" w:firstLineChars="200"/>
              <w:rPr>
                <w:rFonts w:ascii="Times New Roman" w:hAnsi="Times New Roman" w:eastAsia="宋体" w:cs="Times New Roman"/>
                <w:bCs/>
                <w:sz w:val="24"/>
                <w:shd w:val="clear" w:color="auto" w:fill="FFFFFF"/>
              </w:rPr>
            </w:pPr>
            <w:r>
              <w:rPr>
                <w:rFonts w:ascii="Times New Roman" w:hAnsi="Times New Roman" w:eastAsia="宋体" w:cs="Times New Roman"/>
                <w:b/>
                <w:sz w:val="24"/>
                <w:shd w:val="clear" w:color="auto" w:fill="FFFFFF"/>
              </w:rPr>
              <w:t>生态保护红线：</w:t>
            </w:r>
            <w:r>
              <w:rPr>
                <w:rFonts w:ascii="Times New Roman" w:hAnsi="Times New Roman" w:eastAsia="宋体" w:cs="Times New Roman"/>
                <w:bCs/>
                <w:sz w:val="24"/>
                <w:shd w:val="clear" w:color="auto" w:fill="FFFFFF"/>
              </w:rPr>
              <w:t>指在生态空间范围内具有特殊重要生态功能</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必须强制性严格保护的区域，是保障和维护国家生态安全的底线和生命线</w:t>
            </w:r>
            <w:r>
              <w:rPr>
                <w:rFonts w:hint="eastAsia" w:ascii="Times New Roman" w:hAnsi="Times New Roman" w:eastAsia="宋体" w:cs="Times New Roman"/>
                <w:bCs/>
                <w:sz w:val="24"/>
                <w:shd w:val="clear" w:color="auto" w:fill="FFFFFF"/>
              </w:rPr>
              <w:t>。</w:t>
            </w:r>
          </w:p>
          <w:p w14:paraId="6968925B">
            <w:pPr>
              <w:wordWrap w:val="0"/>
              <w:topLinePunct/>
              <w:spacing w:line="360" w:lineRule="auto"/>
              <w:ind w:firstLine="480" w:firstLineChars="200"/>
              <w:rPr>
                <w:rFonts w:ascii="Times New Roman" w:hAnsi="Times New Roman" w:eastAsia="宋体" w:cs="Times New Roman"/>
                <w:bCs/>
                <w:sz w:val="24"/>
                <w:shd w:val="clear" w:color="auto" w:fill="FFFFFF"/>
              </w:rPr>
            </w:pPr>
            <w:r>
              <w:rPr>
                <w:rFonts w:ascii="Times New Roman" w:hAnsi="Times New Roman" w:eastAsia="宋体" w:cs="Times New Roman"/>
                <w:bCs/>
                <w:sz w:val="24"/>
                <w:shd w:val="clear" w:color="auto" w:fill="FFFFFF"/>
              </w:rPr>
              <w:t>根据</w:t>
            </w:r>
            <w:r>
              <w:rPr>
                <w:rFonts w:hint="eastAsia" w:ascii="Times New Roman" w:hAnsi="Times New Roman" w:eastAsia="宋体" w:cs="Times New Roman"/>
                <w:bCs/>
                <w:sz w:val="24"/>
                <w:shd w:val="clear" w:color="auto" w:fill="FFFFFF"/>
              </w:rPr>
              <w:t>&lt;</w:t>
            </w:r>
            <w:r>
              <w:rPr>
                <w:rFonts w:ascii="Times New Roman" w:hAnsi="Times New Roman" w:eastAsia="宋体" w:cs="Times New Roman"/>
                <w:bCs/>
                <w:sz w:val="24"/>
                <w:shd w:val="clear" w:color="auto" w:fill="FFFFFF"/>
              </w:rPr>
              <w:t>关于印发《生态保护红线划定指南》的通知（环办生态[2017]48号）</w:t>
            </w:r>
            <w:r>
              <w:rPr>
                <w:rFonts w:hint="eastAsia" w:ascii="Times New Roman" w:hAnsi="Times New Roman" w:eastAsia="宋体" w:cs="Times New Roman"/>
                <w:bCs/>
                <w:sz w:val="24"/>
                <w:shd w:val="clear" w:color="auto" w:fill="FFFFFF"/>
              </w:rPr>
              <w:t>&gt;中</w:t>
            </w:r>
            <w:r>
              <w:rPr>
                <w:rFonts w:ascii="Times New Roman" w:hAnsi="Times New Roman" w:eastAsia="宋体" w:cs="Times New Roman"/>
                <w:bCs/>
                <w:sz w:val="24"/>
                <w:shd w:val="clear" w:color="auto" w:fill="FFFFFF"/>
              </w:rPr>
              <w:t>生态保护红线划定原则</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本项目</w:t>
            </w:r>
            <w:r>
              <w:rPr>
                <w:rFonts w:hint="eastAsia" w:ascii="Times New Roman" w:hAnsi="Times New Roman" w:eastAsia="宋体" w:cs="Times New Roman"/>
                <w:bCs/>
                <w:sz w:val="24"/>
                <w:shd w:val="clear" w:color="auto" w:fill="FFFFFF"/>
              </w:rPr>
              <w:t>所处位置</w:t>
            </w:r>
            <w:r>
              <w:rPr>
                <w:rFonts w:ascii="Times New Roman" w:hAnsi="Times New Roman" w:eastAsia="宋体" w:cs="Times New Roman"/>
                <w:bCs/>
                <w:sz w:val="24"/>
                <w:shd w:val="clear" w:color="auto" w:fill="FFFFFF"/>
              </w:rPr>
              <w:t>不涉及《生态保护红线划定指南》中的相关区域；其次根据《张掖市国土空间总体规划</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2021-2035年</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张掖市生态保护红线主要分布在祁连山国家公园、甘肃祁连山国家级自然保护区、张掖黑河湿地国家级自然保护区、甘肃张掖国家地质公园、甘肃张掖国家湿地公园、黑河及两侧滩地、重要水源地和湖泊湿地等地区，本项目</w:t>
            </w:r>
            <w:r>
              <w:rPr>
                <w:rFonts w:hint="eastAsia" w:ascii="Times New Roman" w:hAnsi="Times New Roman" w:eastAsia="宋体" w:cs="Times New Roman"/>
                <w:bCs/>
                <w:sz w:val="24"/>
                <w:shd w:val="clear" w:color="auto" w:fill="FFFFFF"/>
              </w:rPr>
              <w:t>所处位置</w:t>
            </w:r>
            <w:r>
              <w:rPr>
                <w:rFonts w:ascii="Times New Roman" w:hAnsi="Times New Roman" w:eastAsia="宋体" w:cs="Times New Roman"/>
                <w:bCs/>
                <w:sz w:val="24"/>
                <w:shd w:val="clear" w:color="auto" w:fill="FFFFFF"/>
              </w:rPr>
              <w:t>不</w:t>
            </w:r>
            <w:r>
              <w:rPr>
                <w:rFonts w:hint="eastAsia" w:ascii="Times New Roman" w:hAnsi="Times New Roman" w:eastAsia="宋体" w:cs="Times New Roman"/>
                <w:bCs/>
                <w:sz w:val="24"/>
                <w:shd w:val="clear" w:color="auto" w:fill="FFFFFF"/>
              </w:rPr>
              <w:t>处于上述</w:t>
            </w:r>
            <w:r>
              <w:rPr>
                <w:rFonts w:ascii="Times New Roman" w:hAnsi="Times New Roman" w:eastAsia="宋体" w:cs="Times New Roman"/>
                <w:bCs/>
                <w:sz w:val="24"/>
                <w:shd w:val="clear" w:color="auto" w:fill="FFFFFF"/>
              </w:rPr>
              <w:t>区域内</w:t>
            </w:r>
            <w:r>
              <w:rPr>
                <w:rFonts w:hint="eastAsia" w:ascii="Times New Roman" w:hAnsi="Times New Roman" w:eastAsia="宋体" w:cs="Times New Roman"/>
                <w:bCs/>
                <w:sz w:val="24"/>
                <w:shd w:val="clear" w:color="auto" w:fill="FFFFFF"/>
              </w:rPr>
              <w:t>。</w:t>
            </w:r>
          </w:p>
          <w:p w14:paraId="6BC3ABD6">
            <w:pPr>
              <w:wordWrap w:val="0"/>
              <w:topLinePunct/>
              <w:spacing w:line="360" w:lineRule="auto"/>
              <w:ind w:firstLine="480" w:firstLineChars="200"/>
              <w:rPr>
                <w:rFonts w:ascii="Times New Roman" w:hAnsi="Times New Roman" w:eastAsia="宋体" w:cs="Times New Roman"/>
                <w:bCs/>
                <w:sz w:val="24"/>
                <w:shd w:val="clear" w:color="auto" w:fill="FFFFFF"/>
              </w:rPr>
            </w:pPr>
            <w:r>
              <w:rPr>
                <w:rFonts w:ascii="Times New Roman" w:hAnsi="Times New Roman" w:eastAsia="宋体" w:cs="Times New Roman"/>
                <w:bCs/>
                <w:sz w:val="24"/>
                <w:shd w:val="clear" w:color="auto" w:fill="FFFFFF"/>
              </w:rPr>
              <w:t>根据在甘肃省生态环境分区管控公众服务平台</w:t>
            </w:r>
            <w:r>
              <w:rPr>
                <w:rFonts w:hint="eastAsia" w:ascii="Times New Roman" w:hAnsi="Times New Roman" w:eastAsia="宋体" w:cs="Times New Roman"/>
                <w:bCs/>
                <w:sz w:val="24"/>
                <w:shd w:val="clear" w:color="auto" w:fill="FFFFFF"/>
              </w:rPr>
              <w:t>的</w:t>
            </w:r>
            <w:r>
              <w:rPr>
                <w:rFonts w:ascii="Times New Roman" w:hAnsi="Times New Roman" w:eastAsia="宋体" w:cs="Times New Roman"/>
                <w:bCs/>
                <w:sz w:val="24"/>
                <w:shd w:val="clear" w:color="auto" w:fill="FFFFFF"/>
              </w:rPr>
              <w:t>核查结果，本项目涉及的环境管控单元属临泽县重点管控单元ZH62072320004—临泽县城镇空间（核查结果详见附件</w:t>
            </w:r>
            <w:r>
              <w:rPr>
                <w:rFonts w:hint="eastAsia" w:ascii="Times New Roman" w:hAnsi="Times New Roman" w:eastAsia="宋体" w:cs="Times New Roman"/>
                <w:bCs/>
                <w:sz w:val="24"/>
                <w:shd w:val="clear" w:color="auto" w:fill="FFFFFF"/>
              </w:rPr>
              <w:t>7</w:t>
            </w:r>
            <w:r>
              <w:rPr>
                <w:rFonts w:ascii="Times New Roman" w:hAnsi="Times New Roman" w:eastAsia="宋体" w:cs="Times New Roman"/>
                <w:bCs/>
                <w:sz w:val="24"/>
                <w:shd w:val="clear" w:color="auto" w:fill="FFFFFF"/>
              </w:rPr>
              <w:t>）</w:t>
            </w:r>
            <w:r>
              <w:rPr>
                <w:rFonts w:hint="eastAsia" w:ascii="Times New Roman" w:hAnsi="Times New Roman" w:eastAsia="宋体" w:cs="Times New Roman"/>
                <w:bCs/>
                <w:sz w:val="24"/>
                <w:shd w:val="clear" w:color="auto" w:fill="FFFFFF"/>
              </w:rPr>
              <w:t>，经与张掖市生态环境局临泽分局校核结合本项目建设位置处于</w:t>
            </w:r>
            <w:r>
              <w:rPr>
                <w:rFonts w:hint="eastAsia" w:ascii="Times New Roman" w:hAnsi="Times New Roman" w:eastAsia="宋体" w:cs="Times New Roman"/>
                <w:sz w:val="24"/>
              </w:rPr>
              <w:t>临泽工业园区(产业功能区)-凹凸棒石新材料产业园-初级加工区</w:t>
            </w:r>
            <w:r>
              <w:rPr>
                <w:rFonts w:hint="eastAsia" w:ascii="Times New Roman" w:hAnsi="Times New Roman" w:cs="Times New Roman"/>
                <w:sz w:val="24"/>
              </w:rPr>
              <w:t>，综合判定其属于</w:t>
            </w:r>
            <w:r>
              <w:rPr>
                <w:rFonts w:ascii="Times New Roman" w:hAnsi="Times New Roman" w:eastAsia="宋体" w:cs="Times New Roman"/>
                <w:bCs/>
                <w:sz w:val="24"/>
                <w:shd w:val="clear" w:color="auto" w:fill="FFFFFF"/>
              </w:rPr>
              <w:t>临泽县重点管控单元ZH62072320002—临泽工业园区</w:t>
            </w:r>
            <w:r>
              <w:rPr>
                <w:rFonts w:hint="eastAsia" w:ascii="Times New Roman" w:hAnsi="Times New Roman" w:eastAsia="宋体" w:cs="Times New Roman"/>
                <w:bCs/>
                <w:sz w:val="24"/>
                <w:shd w:val="clear" w:color="auto" w:fill="FFFFFF"/>
                <w:lang w:eastAsia="zh-CN"/>
              </w:rPr>
              <w:t>；</w:t>
            </w:r>
            <w:r>
              <w:rPr>
                <w:rFonts w:ascii="Times New Roman" w:hAnsi="Times New Roman" w:eastAsia="宋体" w:cs="Times New Roman"/>
                <w:bCs/>
                <w:sz w:val="24"/>
                <w:shd w:val="clear" w:color="auto" w:fill="FFFFFF"/>
              </w:rPr>
              <w:t>不涉及生态保护红线。</w:t>
            </w:r>
          </w:p>
          <w:p w14:paraId="4CA41778">
            <w:pPr>
              <w:wordWrap w:val="0"/>
              <w:topLinePunct/>
              <w:spacing w:line="360" w:lineRule="auto"/>
              <w:ind w:firstLine="480" w:firstLineChars="200"/>
              <w:rPr>
                <w:rFonts w:ascii="Times New Roman" w:hAnsi="Times New Roman" w:eastAsia="宋体" w:cs="Times New Roman"/>
                <w:bCs/>
                <w:sz w:val="24"/>
                <w:shd w:val="clear" w:color="auto" w:fill="FFFFFF"/>
              </w:rPr>
            </w:pPr>
            <w:r>
              <w:rPr>
                <w:rFonts w:ascii="Times New Roman" w:hAnsi="Times New Roman" w:eastAsia="宋体" w:cs="Times New Roman"/>
                <w:bCs/>
                <w:sz w:val="24"/>
                <w:shd w:val="clear" w:color="auto" w:fill="FFFFFF"/>
              </w:rPr>
              <w:t>综上所述，本项目</w:t>
            </w:r>
            <w:r>
              <w:rPr>
                <w:rFonts w:hint="eastAsia" w:ascii="Times New Roman" w:hAnsi="Times New Roman" w:eastAsia="宋体" w:cs="Times New Roman"/>
                <w:bCs/>
                <w:sz w:val="24"/>
                <w:shd w:val="clear" w:color="auto" w:fill="FFFFFF"/>
              </w:rPr>
              <w:t>建设位置</w:t>
            </w:r>
            <w:r>
              <w:rPr>
                <w:rFonts w:ascii="Times New Roman" w:hAnsi="Times New Roman" w:eastAsia="宋体" w:cs="Times New Roman"/>
                <w:bCs/>
                <w:sz w:val="24"/>
                <w:shd w:val="clear" w:color="auto" w:fill="FFFFFF"/>
              </w:rPr>
              <w:t>不涉及生态保护红线区域</w:t>
            </w:r>
            <w:r>
              <w:rPr>
                <w:rFonts w:hint="eastAsia" w:ascii="Times New Roman" w:hAnsi="Times New Roman" w:eastAsia="宋体" w:cs="Times New Roman"/>
                <w:bCs/>
                <w:sz w:val="24"/>
                <w:shd w:val="clear" w:color="auto" w:fill="FFFFFF"/>
              </w:rPr>
              <w:t>，与生态保护红线的要求不冲突。</w:t>
            </w:r>
          </w:p>
          <w:p w14:paraId="4E2531A2">
            <w:pPr>
              <w:wordWrap w:val="0"/>
              <w:topLinePunct/>
              <w:spacing w:line="360" w:lineRule="auto"/>
              <w:ind w:firstLine="482" w:firstLineChars="200"/>
              <w:rPr>
                <w:rFonts w:ascii="Times New Roman" w:hAnsi="Times New Roman" w:eastAsia="宋体" w:cs="Times New Roman"/>
                <w:bCs/>
                <w:sz w:val="24"/>
                <w:shd w:val="clear" w:color="auto" w:fill="FFFFFF"/>
              </w:rPr>
            </w:pPr>
            <w:r>
              <w:rPr>
                <w:rFonts w:ascii="Times New Roman" w:hAnsi="Times New Roman" w:eastAsia="宋体" w:cs="Times New Roman"/>
                <w:b/>
                <w:sz w:val="24"/>
                <w:shd w:val="clear" w:color="auto" w:fill="FFFFFF"/>
              </w:rPr>
              <w:t>环境质量底线：</w:t>
            </w:r>
            <w:r>
              <w:rPr>
                <w:rFonts w:ascii="Times New Roman" w:hAnsi="Times New Roman" w:eastAsia="宋体" w:cs="Times New Roman"/>
                <w:bCs/>
                <w:sz w:val="24"/>
                <w:shd w:val="clear" w:color="auto" w:fill="FFFFFF"/>
              </w:rPr>
              <w:t>指按照水、大气、土壤环境质量不断优化的原则，结合环境质量现状和相关规划、功能区划要求，考虑环境质量改善潜力，确定的分区域分阶段环境质量目标及相应的环境管控、污染物排放控制等要求。</w:t>
            </w:r>
          </w:p>
          <w:p w14:paraId="03EDE1EE">
            <w:pPr>
              <w:wordWrap w:val="0"/>
              <w:topLinePunct/>
              <w:spacing w:line="360" w:lineRule="auto"/>
              <w:ind w:firstLine="480" w:firstLineChars="200"/>
              <w:rPr>
                <w:rFonts w:ascii="Times New Roman" w:hAnsi="Times New Roman" w:eastAsia="宋体" w:cs="Times New Roman"/>
                <w:bCs/>
                <w:sz w:val="24"/>
                <w:shd w:val="clear" w:color="auto" w:fill="FFFFFF"/>
              </w:rPr>
            </w:pPr>
            <w:r>
              <w:rPr>
                <w:rFonts w:ascii="Times New Roman" w:hAnsi="Times New Roman" w:eastAsia="宋体" w:cs="Times New Roman"/>
                <w:bCs/>
                <w:sz w:val="24"/>
                <w:shd w:val="clear" w:color="auto" w:fill="FFFFFF"/>
              </w:rPr>
              <w:t>根据</w:t>
            </w:r>
            <w:r>
              <w:rPr>
                <w:rFonts w:hint="eastAsia" w:ascii="Times New Roman" w:hAnsi="Times New Roman" w:eastAsia="宋体" w:cs="Times New Roman"/>
                <w:sz w:val="24"/>
              </w:rPr>
              <w:t>甘肃省生态环境厅官网公示的2025年《甘肃省生态环境状况公报》数据，</w:t>
            </w:r>
            <w:r>
              <w:rPr>
                <w:rFonts w:ascii="Times New Roman" w:hAnsi="Times New Roman" w:eastAsia="宋体" w:cs="Times New Roman"/>
                <w:bCs/>
                <w:sz w:val="24"/>
                <w:shd w:val="clear" w:color="auto" w:fill="FFFFFF"/>
              </w:rPr>
              <w:t>本项目所在区域环境质量状况良好；本项目运营期严格执行本环评提出的污染防治措施，本项目废气、废水和噪声均能达标排放，固体废物均能合理处置，对区域环境质量影响</w:t>
            </w:r>
            <w:r>
              <w:rPr>
                <w:rFonts w:hint="eastAsia" w:ascii="Times New Roman" w:hAnsi="Times New Roman" w:eastAsia="宋体" w:cs="Times New Roman"/>
                <w:bCs/>
                <w:sz w:val="24"/>
                <w:shd w:val="clear" w:color="auto" w:fill="FFFFFF"/>
              </w:rPr>
              <w:t>较小</w:t>
            </w:r>
            <w:r>
              <w:rPr>
                <w:rFonts w:ascii="Times New Roman" w:hAnsi="Times New Roman" w:eastAsia="宋体" w:cs="Times New Roman"/>
                <w:bCs/>
                <w:sz w:val="24"/>
                <w:shd w:val="clear" w:color="auto" w:fill="FFFFFF"/>
              </w:rPr>
              <w:t>。符合</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环境质量底线</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的要求。</w:t>
            </w:r>
          </w:p>
          <w:p w14:paraId="58012547">
            <w:pPr>
              <w:wordWrap w:val="0"/>
              <w:topLinePunct/>
              <w:spacing w:line="360" w:lineRule="auto"/>
              <w:ind w:firstLine="482" w:firstLineChars="200"/>
              <w:rPr>
                <w:rFonts w:ascii="Times New Roman" w:hAnsi="Times New Roman" w:eastAsia="宋体" w:cs="Times New Roman"/>
                <w:bCs/>
                <w:sz w:val="24"/>
                <w:shd w:val="clear" w:color="auto" w:fill="FFFFFF"/>
              </w:rPr>
            </w:pPr>
            <w:r>
              <w:rPr>
                <w:rFonts w:ascii="Times New Roman" w:hAnsi="Times New Roman" w:eastAsia="宋体" w:cs="Times New Roman"/>
                <w:b/>
                <w:sz w:val="24"/>
                <w:shd w:val="clear" w:color="auto" w:fill="FFFFFF"/>
              </w:rPr>
              <w:t>资源利用上线：</w:t>
            </w:r>
            <w:r>
              <w:rPr>
                <w:rFonts w:ascii="Times New Roman" w:hAnsi="Times New Roman" w:eastAsia="宋体" w:cs="Times New Roman"/>
                <w:bCs/>
                <w:sz w:val="24"/>
                <w:shd w:val="clear" w:color="auto" w:fill="FFFFFF"/>
              </w:rPr>
              <w:t>指按照自然资源资产</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只能增值、不能贬值</w:t>
            </w:r>
            <w:r>
              <w:rPr>
                <w:rFonts w:hint="eastAsia" w:ascii="Times New Roman" w:hAnsi="Times New Roman" w:eastAsia="宋体" w:cs="Times New Roman"/>
                <w:bCs/>
                <w:sz w:val="24"/>
                <w:shd w:val="clear" w:color="auto" w:fill="FFFFFF"/>
              </w:rPr>
              <w:t>”</w:t>
            </w:r>
            <w:r>
              <w:rPr>
                <w:rFonts w:ascii="Times New Roman" w:hAnsi="Times New Roman" w:eastAsia="宋体" w:cs="Times New Roman"/>
                <w:bCs/>
                <w:sz w:val="24"/>
                <w:shd w:val="clear" w:color="auto" w:fill="FFFFFF"/>
              </w:rPr>
              <w:t>的原则，以保障生态安全和改善环境质量为目的，利用自然资源资产负债表，结合自然资源开发管控，提出的分区域分阶段的资源开发利用总量、强度、效率等上线管控要求。</w:t>
            </w:r>
          </w:p>
          <w:p w14:paraId="3EFFE903">
            <w:pPr>
              <w:wordWrap w:val="0"/>
              <w:topLinePunct/>
              <w:spacing w:line="360" w:lineRule="auto"/>
              <w:ind w:firstLine="480" w:firstLineChars="200"/>
              <w:rPr>
                <w:rFonts w:ascii="Times New Roman" w:hAnsi="Times New Roman" w:eastAsia="宋体" w:cs="Times New Roman"/>
                <w:bCs/>
                <w:sz w:val="24"/>
                <w:shd w:val="clear" w:color="auto" w:fill="FFFFFF"/>
              </w:rPr>
            </w:pPr>
            <w:r>
              <w:rPr>
                <w:rFonts w:ascii="Times New Roman" w:hAnsi="Times New Roman" w:eastAsia="宋体" w:cs="Times New Roman"/>
                <w:bCs/>
                <w:sz w:val="24"/>
                <w:shd w:val="clear" w:color="auto" w:fill="FFFFFF"/>
              </w:rPr>
              <w:t>本项目运营过程中消耗电能、水资源、</w:t>
            </w:r>
            <w:r>
              <w:rPr>
                <w:rFonts w:hint="eastAsia" w:ascii="Times New Roman" w:hAnsi="Times New Roman" w:eastAsia="宋体" w:cs="Times New Roman"/>
                <w:bCs/>
                <w:sz w:val="24"/>
                <w:shd w:val="clear" w:color="auto" w:fill="FFFFFF"/>
              </w:rPr>
              <w:t>轻质柴油</w:t>
            </w:r>
            <w:r>
              <w:rPr>
                <w:rFonts w:ascii="Times New Roman" w:hAnsi="Times New Roman" w:eastAsia="宋体" w:cs="Times New Roman"/>
                <w:bCs/>
                <w:sz w:val="24"/>
                <w:shd w:val="clear" w:color="auto" w:fill="FFFFFF"/>
              </w:rPr>
              <w:t>等</w:t>
            </w:r>
            <w:r>
              <w:rPr>
                <w:rFonts w:hint="eastAsia" w:ascii="Times New Roman" w:hAnsi="Times New Roman" w:eastAsia="宋体" w:cs="Times New Roman"/>
                <w:bCs/>
                <w:sz w:val="24"/>
                <w:shd w:val="clear" w:color="auto" w:fill="FFFFFF"/>
              </w:rPr>
              <w:t>资源能源</w:t>
            </w:r>
            <w:r>
              <w:rPr>
                <w:rFonts w:ascii="Times New Roman" w:hAnsi="Times New Roman" w:eastAsia="宋体" w:cs="Times New Roman"/>
                <w:bCs/>
                <w:sz w:val="24"/>
                <w:shd w:val="clear" w:color="auto" w:fill="FFFFFF"/>
              </w:rPr>
              <w:t>，但消耗资源量相对区域资源利用总量来说较小，不会突破区域资源利用上线的要求。</w:t>
            </w:r>
          </w:p>
          <w:p w14:paraId="73764F77">
            <w:pPr>
              <w:wordWrap w:val="0"/>
              <w:topLinePunct/>
              <w:spacing w:line="360" w:lineRule="auto"/>
              <w:ind w:firstLine="482" w:firstLineChars="200"/>
              <w:rPr>
                <w:rFonts w:ascii="Times New Roman" w:hAnsi="Times New Roman" w:eastAsia="宋体" w:cs="Times New Roman"/>
                <w:bCs/>
                <w:sz w:val="24"/>
                <w:shd w:val="clear" w:color="auto" w:fill="FFFFFF"/>
              </w:rPr>
            </w:pPr>
            <w:r>
              <w:rPr>
                <w:rFonts w:ascii="Times New Roman" w:hAnsi="Times New Roman" w:eastAsia="宋体" w:cs="Times New Roman"/>
                <w:b/>
                <w:sz w:val="24"/>
                <w:shd w:val="clear" w:color="auto" w:fill="FFFFFF"/>
              </w:rPr>
              <w:t>环境准入清单：</w:t>
            </w:r>
            <w:r>
              <w:rPr>
                <w:rFonts w:ascii="Times New Roman" w:hAnsi="Times New Roman" w:eastAsia="宋体" w:cs="Times New Roman"/>
                <w:bCs/>
                <w:sz w:val="24"/>
                <w:shd w:val="clear" w:color="auto" w:fill="FFFFFF"/>
              </w:rPr>
              <w:t>本项目涉及的环境管控单元属临泽县重点管控单元ZH62072320002—临泽工业园区。</w:t>
            </w:r>
            <w:r>
              <w:rPr>
                <w:rFonts w:hint="eastAsia" w:ascii="Times New Roman" w:hAnsi="Times New Roman" w:eastAsia="宋体" w:cs="Times New Roman"/>
                <w:bCs/>
                <w:sz w:val="24"/>
                <w:shd w:val="clear" w:color="auto" w:fill="FFFFFF"/>
              </w:rPr>
              <w:t>根据</w:t>
            </w:r>
            <w:r>
              <w:rPr>
                <w:rFonts w:ascii="Times New Roman" w:hAnsi="Times New Roman" w:eastAsia="宋体" w:cs="Times New Roman"/>
                <w:bCs/>
                <w:sz w:val="24"/>
                <w:shd w:val="clear" w:color="auto" w:fill="FFFFFF"/>
              </w:rPr>
              <w:t>《张掖市生态环境准入清单》，本项目在空间布局约束、污染物排放管控、环境风险防控及资源开发利用效率等方面均能符合与省、市、县重点管控单元的管控要求。</w:t>
            </w:r>
          </w:p>
          <w:p w14:paraId="37C299E0">
            <w:pPr>
              <w:wordWrap w:val="0"/>
              <w:topLinePunct/>
              <w:spacing w:line="360" w:lineRule="auto"/>
              <w:ind w:firstLine="480" w:firstLineChars="200"/>
              <w:rPr>
                <w:rFonts w:ascii="Times New Roman" w:hAnsi="Times New Roman" w:eastAsia="宋体" w:cs="Times New Roman"/>
                <w:bCs/>
                <w:color w:val="FF0000"/>
                <w:sz w:val="24"/>
                <w:shd w:val="clear" w:color="auto" w:fill="FFFFFF"/>
              </w:rPr>
            </w:pPr>
            <w:r>
              <w:rPr>
                <w:rFonts w:ascii="Times New Roman" w:hAnsi="Times New Roman" w:eastAsia="宋体" w:cs="Times New Roman"/>
                <w:bCs/>
                <w:color w:val="1331F5"/>
                <w:sz w:val="24"/>
                <w:shd w:val="clear" w:color="auto" w:fill="FFFFFF"/>
              </w:rPr>
              <w:t>因此</w:t>
            </w:r>
            <w:r>
              <w:rPr>
                <w:rFonts w:hint="eastAsia" w:ascii="Times New Roman" w:hAnsi="Times New Roman" w:eastAsia="宋体" w:cs="Times New Roman"/>
                <w:bCs/>
                <w:color w:val="1331F5"/>
                <w:sz w:val="24"/>
                <w:shd w:val="clear" w:color="auto" w:fill="FFFFFF"/>
              </w:rPr>
              <w:t>本</w:t>
            </w:r>
            <w:r>
              <w:rPr>
                <w:rFonts w:ascii="Times New Roman" w:hAnsi="Times New Roman" w:eastAsia="宋体" w:cs="Times New Roman"/>
                <w:bCs/>
                <w:color w:val="1331F5"/>
                <w:sz w:val="24"/>
                <w:shd w:val="clear" w:color="auto" w:fill="FFFFFF"/>
              </w:rPr>
              <w:t>项目建设符合</w:t>
            </w:r>
            <w:r>
              <w:rPr>
                <w:rFonts w:hint="eastAsia" w:ascii="Times New Roman" w:hAnsi="Times New Roman" w:eastAsia="宋体" w:cs="Times New Roman"/>
                <w:bCs/>
                <w:color w:val="1331F5"/>
                <w:sz w:val="24"/>
                <w:shd w:val="clear" w:color="auto" w:fill="FFFFFF"/>
              </w:rPr>
              <w:t>《甘肃省生态环境厅关于实施“三线一单”生态环境分区管控动态更新成果的通知》（甘环发【2024】18号）、《张掖市生态环境局关于实施“三线一单”生态环境分区管控动态更新成果的通知》（张环发【2024］10号）中</w:t>
            </w:r>
            <w:r>
              <w:rPr>
                <w:rFonts w:hint="eastAsia" w:ascii="Times New Roman" w:hAnsi="Times New Roman" w:eastAsia="宋体" w:cs="Times New Roman"/>
                <w:bCs/>
                <w:color w:val="1331F5"/>
                <w:sz w:val="24"/>
                <w:shd w:val="clear" w:color="auto" w:fill="FFFFFF"/>
                <w:lang w:val="en-US" w:eastAsia="zh-CN"/>
              </w:rPr>
              <w:t>环境分区</w:t>
            </w:r>
            <w:r>
              <w:rPr>
                <w:rFonts w:hint="eastAsia" w:ascii="Times New Roman" w:hAnsi="Times New Roman" w:eastAsia="宋体" w:cs="Times New Roman"/>
                <w:bCs/>
                <w:color w:val="1331F5"/>
                <w:sz w:val="24"/>
                <w:shd w:val="clear" w:color="auto" w:fill="FFFFFF"/>
              </w:rPr>
              <w:t>管控要求</w:t>
            </w:r>
            <w:r>
              <w:rPr>
                <w:rFonts w:ascii="Times New Roman" w:hAnsi="Times New Roman" w:eastAsia="宋体" w:cs="Times New Roman"/>
                <w:bCs/>
                <w:color w:val="1331F5"/>
                <w:sz w:val="24"/>
                <w:shd w:val="clear" w:color="auto" w:fill="FFFFFF"/>
              </w:rPr>
              <w:t>。</w:t>
            </w:r>
          </w:p>
          <w:p w14:paraId="7A9AF838">
            <w:pPr>
              <w:wordWrap w:val="0"/>
              <w:topLinePunct/>
              <w:spacing w:line="360" w:lineRule="auto"/>
              <w:ind w:firstLine="480" w:firstLineChars="200"/>
              <w:rPr>
                <w:rFonts w:ascii="Times New Roman" w:hAnsi="Times New Roman" w:eastAsia="宋体" w:cs="Times New Roman"/>
                <w:bCs/>
                <w:sz w:val="24"/>
                <w:shd w:val="clear" w:color="auto" w:fill="FFFFFF"/>
              </w:rPr>
            </w:pPr>
            <w:r>
              <w:rPr>
                <w:rFonts w:ascii="Times New Roman" w:hAnsi="Times New Roman" w:eastAsia="宋体" w:cs="Times New Roman"/>
                <w:bCs/>
                <w:sz w:val="24"/>
                <w:shd w:val="clear" w:color="auto" w:fill="FFFFFF"/>
              </w:rPr>
              <w:t>项目与重点管控单元管控要求</w:t>
            </w:r>
            <w:r>
              <w:rPr>
                <w:rFonts w:hint="eastAsia" w:ascii="Times New Roman" w:hAnsi="Times New Roman" w:eastAsia="宋体" w:cs="Times New Roman"/>
                <w:bCs/>
                <w:sz w:val="24"/>
                <w:shd w:val="clear" w:color="auto" w:fill="FFFFFF"/>
              </w:rPr>
              <w:t>符合性</w:t>
            </w:r>
            <w:r>
              <w:rPr>
                <w:rFonts w:ascii="Times New Roman" w:hAnsi="Times New Roman" w:eastAsia="宋体" w:cs="Times New Roman"/>
                <w:bCs/>
                <w:sz w:val="24"/>
                <w:shd w:val="clear" w:color="auto" w:fill="FFFFFF"/>
              </w:rPr>
              <w:t>具体见表1-</w:t>
            </w:r>
            <w:r>
              <w:rPr>
                <w:rFonts w:hint="eastAsia" w:ascii="Times New Roman" w:hAnsi="Times New Roman" w:eastAsia="宋体" w:cs="Times New Roman"/>
                <w:bCs/>
                <w:sz w:val="24"/>
                <w:shd w:val="clear" w:color="auto" w:fill="FFFFFF"/>
              </w:rPr>
              <w:t>4</w:t>
            </w:r>
            <w:r>
              <w:rPr>
                <w:rFonts w:ascii="Times New Roman" w:hAnsi="Times New Roman" w:eastAsia="宋体" w:cs="Times New Roman"/>
                <w:bCs/>
                <w:sz w:val="24"/>
                <w:shd w:val="clear" w:color="auto" w:fill="FFFFFF"/>
              </w:rPr>
              <w:t>分析</w:t>
            </w:r>
            <w:r>
              <w:rPr>
                <w:rFonts w:hint="eastAsia" w:ascii="Times New Roman" w:hAnsi="Times New Roman" w:eastAsia="宋体" w:cs="Times New Roman"/>
                <w:bCs/>
                <w:sz w:val="24"/>
                <w:shd w:val="clear" w:color="auto" w:fill="FFFFFF"/>
              </w:rPr>
              <w:t>（甘肃省、张掖市生态环境管控单元分布图与本项目位置关系示意见附图3）</w:t>
            </w:r>
            <w:r>
              <w:rPr>
                <w:rFonts w:ascii="Times New Roman" w:hAnsi="Times New Roman" w:eastAsia="宋体" w:cs="Times New Roman"/>
                <w:bCs/>
                <w:sz w:val="24"/>
                <w:shd w:val="clear" w:color="auto" w:fill="FFFFFF"/>
              </w:rPr>
              <w:t>。</w:t>
            </w:r>
          </w:p>
          <w:p w14:paraId="26317E45">
            <w:pPr>
              <w:pStyle w:val="12"/>
              <w:numPr>
                <w:ilvl w:val="0"/>
                <w:numId w:val="0"/>
              </w:numPr>
              <w:rPr>
                <w:rFonts w:ascii="Times New Roman" w:hAnsi="Times New Roman" w:cs="Times New Roman"/>
                <w:color w:val="FF0000"/>
                <w:kern w:val="0"/>
                <w:sz w:val="24"/>
              </w:rPr>
            </w:pPr>
          </w:p>
          <w:p w14:paraId="0E55998D">
            <w:pPr>
              <w:pStyle w:val="12"/>
              <w:numPr>
                <w:ilvl w:val="0"/>
                <w:numId w:val="0"/>
              </w:numPr>
              <w:rPr>
                <w:rFonts w:ascii="Times New Roman" w:hAnsi="Times New Roman" w:cs="Times New Roman"/>
                <w:color w:val="FF0000"/>
                <w:kern w:val="0"/>
                <w:sz w:val="24"/>
              </w:rPr>
            </w:pPr>
          </w:p>
          <w:p w14:paraId="3B28FAD8">
            <w:pPr>
              <w:pStyle w:val="12"/>
              <w:numPr>
                <w:ilvl w:val="0"/>
                <w:numId w:val="0"/>
              </w:numPr>
              <w:rPr>
                <w:rFonts w:ascii="Times New Roman" w:hAnsi="Times New Roman" w:cs="Times New Roman"/>
                <w:color w:val="FF0000"/>
                <w:kern w:val="0"/>
                <w:sz w:val="24"/>
              </w:rPr>
            </w:pPr>
          </w:p>
          <w:p w14:paraId="4BB6E04E">
            <w:pPr>
              <w:pStyle w:val="12"/>
              <w:numPr>
                <w:ilvl w:val="0"/>
                <w:numId w:val="0"/>
              </w:numPr>
              <w:rPr>
                <w:rFonts w:ascii="Times New Roman" w:hAnsi="Times New Roman" w:cs="Times New Roman"/>
                <w:color w:val="FF0000"/>
                <w:kern w:val="0"/>
                <w:sz w:val="24"/>
              </w:rPr>
            </w:pPr>
          </w:p>
          <w:p w14:paraId="02F0E44D">
            <w:pPr>
              <w:pStyle w:val="12"/>
              <w:numPr>
                <w:ilvl w:val="0"/>
                <w:numId w:val="0"/>
              </w:numPr>
              <w:rPr>
                <w:rFonts w:ascii="Times New Roman" w:hAnsi="Times New Roman" w:cs="Times New Roman"/>
                <w:color w:val="FF0000"/>
                <w:kern w:val="0"/>
                <w:sz w:val="24"/>
              </w:rPr>
            </w:pPr>
          </w:p>
          <w:p w14:paraId="26D41AA8">
            <w:pPr>
              <w:pStyle w:val="12"/>
              <w:numPr>
                <w:ilvl w:val="0"/>
                <w:numId w:val="0"/>
              </w:numPr>
              <w:rPr>
                <w:rFonts w:ascii="Times New Roman" w:hAnsi="Times New Roman" w:cs="Times New Roman"/>
                <w:color w:val="FF0000"/>
                <w:kern w:val="0"/>
                <w:sz w:val="24"/>
              </w:rPr>
            </w:pPr>
          </w:p>
          <w:p w14:paraId="550B5809">
            <w:pPr>
              <w:pStyle w:val="12"/>
              <w:numPr>
                <w:ilvl w:val="0"/>
                <w:numId w:val="0"/>
              </w:numPr>
              <w:rPr>
                <w:rFonts w:ascii="Times New Roman" w:hAnsi="Times New Roman" w:cs="Times New Roman"/>
                <w:color w:val="FF0000"/>
                <w:kern w:val="0"/>
                <w:sz w:val="24"/>
              </w:rPr>
            </w:pPr>
          </w:p>
          <w:p w14:paraId="3A102F0D">
            <w:pPr>
              <w:pStyle w:val="12"/>
              <w:numPr>
                <w:ilvl w:val="0"/>
                <w:numId w:val="0"/>
              </w:numPr>
              <w:rPr>
                <w:rFonts w:ascii="Times New Roman" w:hAnsi="Times New Roman" w:cs="Times New Roman"/>
                <w:color w:val="FF0000"/>
                <w:kern w:val="0"/>
                <w:sz w:val="24"/>
              </w:rPr>
            </w:pPr>
          </w:p>
          <w:p w14:paraId="56DDF3BD">
            <w:pPr>
              <w:pStyle w:val="12"/>
              <w:numPr>
                <w:ilvl w:val="0"/>
                <w:numId w:val="0"/>
              </w:numPr>
              <w:rPr>
                <w:rFonts w:ascii="Times New Roman" w:hAnsi="Times New Roman" w:cs="Times New Roman"/>
                <w:color w:val="FF0000"/>
                <w:kern w:val="0"/>
                <w:sz w:val="24"/>
              </w:rPr>
            </w:pPr>
          </w:p>
          <w:p w14:paraId="4190A839">
            <w:pPr>
              <w:pStyle w:val="12"/>
              <w:numPr>
                <w:ilvl w:val="0"/>
                <w:numId w:val="0"/>
              </w:numPr>
              <w:rPr>
                <w:rFonts w:ascii="Times New Roman" w:hAnsi="Times New Roman" w:cs="Times New Roman"/>
                <w:color w:val="FF0000"/>
                <w:kern w:val="0"/>
                <w:sz w:val="24"/>
              </w:rPr>
            </w:pPr>
          </w:p>
          <w:p w14:paraId="2B4CF2A3">
            <w:pPr>
              <w:pStyle w:val="12"/>
              <w:numPr>
                <w:ilvl w:val="0"/>
                <w:numId w:val="0"/>
              </w:numPr>
              <w:rPr>
                <w:rFonts w:ascii="Times New Roman" w:hAnsi="Times New Roman" w:cs="Times New Roman"/>
                <w:color w:val="FF0000"/>
                <w:kern w:val="0"/>
                <w:sz w:val="24"/>
              </w:rPr>
            </w:pPr>
          </w:p>
        </w:tc>
      </w:tr>
    </w:tbl>
    <w:p w14:paraId="57247236">
      <w:pPr>
        <w:spacing w:line="360" w:lineRule="auto"/>
        <w:ind w:firstLine="600"/>
        <w:rPr>
          <w:rFonts w:ascii="Times New Roman" w:hAnsi="Times New Roman" w:eastAsia="黑体" w:cs="Times New Roman"/>
          <w:sz w:val="30"/>
          <w:lang w:bidi="ar"/>
        </w:rPr>
        <w:sectPr>
          <w:footerReference r:id="rId4" w:type="default"/>
          <w:pgSz w:w="11906" w:h="16838"/>
          <w:pgMar w:top="1440" w:right="1797" w:bottom="1440" w:left="1797" w:header="851" w:footer="1417" w:gutter="0"/>
          <w:pgNumType w:fmt="decimal" w:start="1"/>
          <w:cols w:space="425" w:num="1"/>
          <w:docGrid w:type="lines" w:linePitch="312" w:charSpace="0"/>
        </w:sect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12917"/>
      </w:tblGrid>
      <w:tr w14:paraId="758A8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6" w:hRule="atLeast"/>
        </w:trPr>
        <w:tc>
          <w:tcPr>
            <w:tcW w:w="733" w:type="dxa"/>
            <w:vAlign w:val="center"/>
          </w:tcPr>
          <w:p w14:paraId="2C3E704A">
            <w:pPr>
              <w:pStyle w:val="2"/>
              <w:jc w:val="center"/>
              <w:rPr>
                <w:rFonts w:hint="eastAsia" w:asciiTheme="minorEastAsia" w:hAnsiTheme="minorEastAsia" w:eastAsiaTheme="minorEastAsia" w:cstheme="minorEastAsia"/>
                <w:sz w:val="24"/>
                <w:szCs w:val="24"/>
              </w:rPr>
            </w:pPr>
          </w:p>
          <w:p w14:paraId="72668538">
            <w:pPr>
              <w:pStyle w:val="2"/>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w:t>
            </w:r>
          </w:p>
          <w:p w14:paraId="6211BA57">
            <w:pPr>
              <w:pStyle w:val="2"/>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他</w:t>
            </w:r>
          </w:p>
          <w:p w14:paraId="5D268554">
            <w:pPr>
              <w:pStyle w:val="2"/>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w:t>
            </w:r>
          </w:p>
          <w:p w14:paraId="29D5CCAC">
            <w:pPr>
              <w:pStyle w:val="2"/>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w:t>
            </w:r>
          </w:p>
          <w:p w14:paraId="0A199E35">
            <w:pPr>
              <w:pStyle w:val="2"/>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性</w:t>
            </w:r>
          </w:p>
          <w:p w14:paraId="13D701D1">
            <w:pPr>
              <w:pStyle w:val="2"/>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w:t>
            </w:r>
          </w:p>
          <w:p w14:paraId="3A6D68FF">
            <w:pPr>
              <w:pStyle w:val="2"/>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析</w:t>
            </w:r>
          </w:p>
        </w:tc>
        <w:tc>
          <w:tcPr>
            <w:tcW w:w="12917" w:type="dxa"/>
            <w:vAlign w:val="center"/>
          </w:tcPr>
          <w:p w14:paraId="1261CFB6">
            <w:pPr>
              <w:pStyle w:val="25"/>
              <w:wordWrap w:val="0"/>
              <w:topLinePunct/>
              <w:spacing w:beforeAutospacing="0" w:afterAutospacing="0"/>
              <w:jc w:val="center"/>
            </w:pPr>
            <w:r>
              <w:rPr>
                <w:rFonts w:ascii="Times New Roman" w:hAnsi="Times New Roman"/>
                <w:b/>
                <w:bCs/>
                <w:snapToGrid w:val="0"/>
                <w:szCs w:val="24"/>
              </w:rPr>
              <w:t>表1-</w:t>
            </w:r>
            <w:r>
              <w:rPr>
                <w:rFonts w:hint="eastAsia" w:ascii="Times New Roman" w:hAnsi="Times New Roman"/>
                <w:b/>
                <w:bCs/>
                <w:snapToGrid w:val="0"/>
                <w:szCs w:val="24"/>
                <w:lang w:val="en-US" w:eastAsia="zh-CN"/>
              </w:rPr>
              <w:t>4</w:t>
            </w:r>
            <w:r>
              <w:rPr>
                <w:rFonts w:ascii="Times New Roman" w:hAnsi="Times New Roman"/>
                <w:b/>
                <w:bCs/>
                <w:snapToGrid w:val="0"/>
                <w:szCs w:val="24"/>
              </w:rPr>
              <w:t xml:space="preserve"> 项目与管控单元管控要求符合性分析</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0"/>
              <w:gridCol w:w="1120"/>
              <w:gridCol w:w="1697"/>
              <w:gridCol w:w="5012"/>
              <w:gridCol w:w="3053"/>
              <w:gridCol w:w="689"/>
            </w:tblGrid>
            <w:tr w14:paraId="350CB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41" w:type="dxa"/>
                  <w:gridSpan w:val="2"/>
                  <w:tcBorders>
                    <w:tl2br w:val="nil"/>
                    <w:tr2bl w:val="nil"/>
                  </w:tcBorders>
                  <w:vAlign w:val="center"/>
                </w:tcPr>
                <w:p w14:paraId="4D6A411F">
                  <w:pPr>
                    <w:jc w:val="center"/>
                    <w:rPr>
                      <w:b/>
                      <w:bCs/>
                      <w:color w:val="FF0000"/>
                      <w:szCs w:val="21"/>
                    </w:rPr>
                  </w:pPr>
                  <w:r>
                    <w:rPr>
                      <w:b/>
                      <w:bCs/>
                      <w:color w:val="000000" w:themeColor="text1"/>
                      <w:szCs w:val="21"/>
                      <w14:textFill>
                        <w14:solidFill>
                          <w14:schemeClr w14:val="tx1"/>
                        </w14:solidFill>
                      </w14:textFill>
                    </w:rPr>
                    <w:t>环境管控单元编码</w:t>
                  </w:r>
                </w:p>
              </w:tc>
              <w:tc>
                <w:tcPr>
                  <w:tcW w:w="6707" w:type="dxa"/>
                  <w:gridSpan w:val="2"/>
                  <w:tcBorders>
                    <w:tl2br w:val="nil"/>
                    <w:tr2bl w:val="nil"/>
                  </w:tcBorders>
                  <w:vAlign w:val="center"/>
                </w:tcPr>
                <w:p w14:paraId="00513176">
                  <w:pPr>
                    <w:jc w:val="center"/>
                    <w:rPr>
                      <w:b/>
                      <w:bCs/>
                      <w:color w:val="FF0000"/>
                      <w:szCs w:val="21"/>
                    </w:rPr>
                  </w:pPr>
                  <w:r>
                    <w:rPr>
                      <w:b/>
                      <w:bCs/>
                      <w:color w:val="000000" w:themeColor="text1"/>
                      <w:szCs w:val="21"/>
                      <w14:textFill>
                        <w14:solidFill>
                          <w14:schemeClr w14:val="tx1"/>
                        </w14:solidFill>
                      </w14:textFill>
                    </w:rPr>
                    <w:t>环境管控单元名称</w:t>
                  </w:r>
                </w:p>
              </w:tc>
              <w:tc>
                <w:tcPr>
                  <w:tcW w:w="3743" w:type="dxa"/>
                  <w:gridSpan w:val="2"/>
                  <w:tcBorders>
                    <w:tl2br w:val="nil"/>
                    <w:tr2bl w:val="nil"/>
                  </w:tcBorders>
                  <w:vAlign w:val="center"/>
                </w:tcPr>
                <w:p w14:paraId="45E31E42">
                  <w:pPr>
                    <w:jc w:val="center"/>
                    <w:rPr>
                      <w:b/>
                      <w:bCs/>
                      <w:color w:val="FF0000"/>
                      <w:szCs w:val="21"/>
                    </w:rPr>
                  </w:pPr>
                  <w:r>
                    <w:rPr>
                      <w:b/>
                      <w:bCs/>
                      <w:color w:val="000000" w:themeColor="text1"/>
                      <w:szCs w:val="21"/>
                      <w14:textFill>
                        <w14:solidFill>
                          <w14:schemeClr w14:val="tx1"/>
                        </w14:solidFill>
                      </w14:textFill>
                    </w:rPr>
                    <w:t>环境管控单元类型</w:t>
                  </w:r>
                </w:p>
              </w:tc>
            </w:tr>
            <w:tr w14:paraId="6B6BF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41" w:type="dxa"/>
                  <w:gridSpan w:val="2"/>
                  <w:tcBorders>
                    <w:tl2br w:val="nil"/>
                    <w:tr2bl w:val="nil"/>
                  </w:tcBorders>
                  <w:vAlign w:val="center"/>
                </w:tcPr>
                <w:p w14:paraId="431A7048">
                  <w:pPr>
                    <w:jc w:val="center"/>
                    <w:rPr>
                      <w:color w:val="auto"/>
                      <w:szCs w:val="21"/>
                    </w:rPr>
                  </w:pPr>
                  <w:r>
                    <w:rPr>
                      <w:color w:val="auto"/>
                      <w:szCs w:val="21"/>
                    </w:rPr>
                    <w:t>ZH62072320002</w:t>
                  </w:r>
                </w:p>
              </w:tc>
              <w:tc>
                <w:tcPr>
                  <w:tcW w:w="6707" w:type="dxa"/>
                  <w:gridSpan w:val="2"/>
                  <w:tcBorders>
                    <w:tl2br w:val="nil"/>
                    <w:tr2bl w:val="nil"/>
                  </w:tcBorders>
                  <w:vAlign w:val="center"/>
                </w:tcPr>
                <w:p w14:paraId="68526141">
                  <w:pPr>
                    <w:jc w:val="center"/>
                    <w:rPr>
                      <w:b/>
                      <w:bCs/>
                      <w:color w:val="auto"/>
                      <w:szCs w:val="21"/>
                    </w:rPr>
                  </w:pPr>
                  <w:r>
                    <w:rPr>
                      <w:b/>
                      <w:bCs/>
                      <w:color w:val="auto"/>
                      <w:szCs w:val="21"/>
                    </w:rPr>
                    <w:t>临泽县重点管控单元ZH62072320002—临泽工业园区</w:t>
                  </w:r>
                </w:p>
              </w:tc>
              <w:tc>
                <w:tcPr>
                  <w:tcW w:w="3743" w:type="dxa"/>
                  <w:gridSpan w:val="2"/>
                  <w:tcBorders>
                    <w:tl2br w:val="nil"/>
                    <w:tr2bl w:val="nil"/>
                  </w:tcBorders>
                  <w:vAlign w:val="center"/>
                </w:tcPr>
                <w:p w14:paraId="3B69F86B">
                  <w:pPr>
                    <w:jc w:val="center"/>
                    <w:rPr>
                      <w:b/>
                      <w:bCs/>
                      <w:color w:val="auto"/>
                      <w:szCs w:val="21"/>
                    </w:rPr>
                  </w:pPr>
                  <w:r>
                    <w:rPr>
                      <w:b/>
                      <w:bCs/>
                      <w:color w:val="auto"/>
                      <w:szCs w:val="21"/>
                    </w:rPr>
                    <w:t>重点管控单元</w:t>
                  </w:r>
                </w:p>
              </w:tc>
            </w:tr>
            <w:tr w14:paraId="7433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21" w:type="dxa"/>
                  <w:tcBorders>
                    <w:tl2br w:val="nil"/>
                    <w:tr2bl w:val="nil"/>
                  </w:tcBorders>
                  <w:vAlign w:val="center"/>
                </w:tcPr>
                <w:p w14:paraId="28588B79">
                  <w:pPr>
                    <w:jc w:val="center"/>
                    <w:rPr>
                      <w:b/>
                      <w:bCs/>
                      <w:color w:val="FF0000"/>
                      <w:szCs w:val="21"/>
                    </w:rPr>
                  </w:pPr>
                  <w:r>
                    <w:rPr>
                      <w:b/>
                      <w:bCs/>
                      <w:color w:val="000000" w:themeColor="text1"/>
                      <w:szCs w:val="21"/>
                      <w14:textFill>
                        <w14:solidFill>
                          <w14:schemeClr w14:val="tx1"/>
                        </w14:solidFill>
                      </w14:textFill>
                    </w:rPr>
                    <w:t>管控层级要求</w:t>
                  </w:r>
                </w:p>
              </w:tc>
              <w:tc>
                <w:tcPr>
                  <w:tcW w:w="1120" w:type="dxa"/>
                  <w:tcBorders>
                    <w:tl2br w:val="nil"/>
                    <w:tr2bl w:val="nil"/>
                  </w:tcBorders>
                  <w:vAlign w:val="center"/>
                </w:tcPr>
                <w:p w14:paraId="67EB6344">
                  <w:pPr>
                    <w:jc w:val="center"/>
                    <w:rPr>
                      <w:b/>
                      <w:bCs/>
                      <w:color w:val="FF0000"/>
                      <w:szCs w:val="21"/>
                    </w:rPr>
                  </w:pPr>
                  <w:r>
                    <w:rPr>
                      <w:b/>
                      <w:bCs/>
                      <w:color w:val="000000" w:themeColor="text1"/>
                      <w:szCs w:val="21"/>
                      <w14:textFill>
                        <w14:solidFill>
                          <w14:schemeClr w14:val="tx1"/>
                        </w14:solidFill>
                      </w14:textFill>
                    </w:rPr>
                    <w:t>管控类型</w:t>
                  </w:r>
                </w:p>
              </w:tc>
              <w:tc>
                <w:tcPr>
                  <w:tcW w:w="6707" w:type="dxa"/>
                  <w:gridSpan w:val="2"/>
                  <w:tcBorders>
                    <w:tl2br w:val="nil"/>
                    <w:tr2bl w:val="nil"/>
                  </w:tcBorders>
                  <w:vAlign w:val="center"/>
                </w:tcPr>
                <w:p w14:paraId="4C4C1E64">
                  <w:pPr>
                    <w:jc w:val="center"/>
                    <w:rPr>
                      <w:b/>
                      <w:bCs/>
                      <w:color w:val="FF0000"/>
                      <w:szCs w:val="21"/>
                    </w:rPr>
                  </w:pPr>
                  <w:r>
                    <w:rPr>
                      <w:b/>
                      <w:bCs/>
                      <w:color w:val="000000" w:themeColor="text1"/>
                      <w:szCs w:val="21"/>
                      <w14:textFill>
                        <w14:solidFill>
                          <w14:schemeClr w14:val="tx1"/>
                        </w14:solidFill>
                      </w14:textFill>
                    </w:rPr>
                    <w:t>管控要求</w:t>
                  </w:r>
                </w:p>
              </w:tc>
              <w:tc>
                <w:tcPr>
                  <w:tcW w:w="3054" w:type="dxa"/>
                  <w:tcBorders>
                    <w:tl2br w:val="nil"/>
                    <w:tr2bl w:val="nil"/>
                  </w:tcBorders>
                  <w:vAlign w:val="center"/>
                </w:tcPr>
                <w:p w14:paraId="1F36B161">
                  <w:pPr>
                    <w:jc w:val="center"/>
                    <w:rPr>
                      <w:b/>
                      <w:bCs/>
                      <w:color w:val="FF0000"/>
                      <w:szCs w:val="21"/>
                    </w:rPr>
                  </w:pPr>
                  <w:r>
                    <w:rPr>
                      <w:b/>
                      <w:bCs/>
                      <w:color w:val="000000" w:themeColor="text1"/>
                      <w:szCs w:val="21"/>
                      <w14:textFill>
                        <w14:solidFill>
                          <w14:schemeClr w14:val="tx1"/>
                        </w14:solidFill>
                      </w14:textFill>
                    </w:rPr>
                    <w:t>本项目情况</w:t>
                  </w:r>
                </w:p>
              </w:tc>
              <w:tc>
                <w:tcPr>
                  <w:tcW w:w="689" w:type="dxa"/>
                  <w:tcBorders>
                    <w:tl2br w:val="nil"/>
                    <w:tr2bl w:val="nil"/>
                  </w:tcBorders>
                  <w:vAlign w:val="center"/>
                </w:tcPr>
                <w:p w14:paraId="103FA1EB">
                  <w:pPr>
                    <w:jc w:val="center"/>
                    <w:rPr>
                      <w:rFonts w:eastAsia="仿宋"/>
                      <w:b/>
                      <w:bCs/>
                      <w:color w:val="FF0000"/>
                      <w:kern w:val="10"/>
                      <w:szCs w:val="21"/>
                    </w:rPr>
                  </w:pPr>
                  <w:r>
                    <w:rPr>
                      <w:b/>
                      <w:bCs/>
                      <w:color w:val="000000" w:themeColor="text1"/>
                      <w:szCs w:val="21"/>
                      <w14:textFill>
                        <w14:solidFill>
                          <w14:schemeClr w14:val="tx1"/>
                        </w14:solidFill>
                      </w14:textFill>
                    </w:rPr>
                    <w:t>符合性</w:t>
                  </w:r>
                </w:p>
              </w:tc>
            </w:tr>
            <w:tr w14:paraId="3F08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21" w:type="dxa"/>
                  <w:vMerge w:val="restart"/>
                  <w:tcBorders>
                    <w:tl2br w:val="nil"/>
                    <w:tr2bl w:val="nil"/>
                  </w:tcBorders>
                  <w:vAlign w:val="center"/>
                </w:tcPr>
                <w:p w14:paraId="75C4633D">
                  <w:pPr>
                    <w:jc w:val="center"/>
                    <w:rPr>
                      <w:color w:val="FF0000"/>
                      <w:szCs w:val="21"/>
                    </w:rPr>
                  </w:pPr>
                  <w:r>
                    <w:rPr>
                      <w:color w:val="000000" w:themeColor="text1"/>
                      <w:szCs w:val="21"/>
                      <w14:textFill>
                        <w14:solidFill>
                          <w14:schemeClr w14:val="tx1"/>
                        </w14:solidFill>
                      </w14:textFill>
                    </w:rPr>
                    <w:t>甘肃省总体管控要求</w:t>
                  </w:r>
                </w:p>
              </w:tc>
              <w:tc>
                <w:tcPr>
                  <w:tcW w:w="1120" w:type="dxa"/>
                  <w:tcBorders>
                    <w:tl2br w:val="nil"/>
                    <w:tr2bl w:val="nil"/>
                  </w:tcBorders>
                  <w:vAlign w:val="center"/>
                </w:tcPr>
                <w:p w14:paraId="0A2015AC">
                  <w:pPr>
                    <w:jc w:val="center"/>
                    <w:rPr>
                      <w:color w:val="FF0000"/>
                      <w:szCs w:val="21"/>
                    </w:rPr>
                  </w:pPr>
                  <w:r>
                    <w:rPr>
                      <w:color w:val="000000" w:themeColor="text1"/>
                      <w:szCs w:val="21"/>
                      <w14:textFill>
                        <w14:solidFill>
                          <w14:schemeClr w14:val="tx1"/>
                        </w14:solidFill>
                      </w14:textFill>
                    </w:rPr>
                    <w:t>空间布局约束</w:t>
                  </w:r>
                </w:p>
              </w:tc>
              <w:tc>
                <w:tcPr>
                  <w:tcW w:w="6707" w:type="dxa"/>
                  <w:gridSpan w:val="2"/>
                  <w:tcBorders>
                    <w:tl2br w:val="nil"/>
                    <w:tr2bl w:val="nil"/>
                  </w:tcBorders>
                  <w:vAlign w:val="center"/>
                </w:tcPr>
                <w:p w14:paraId="0BEC1A5D">
                  <w:pPr>
                    <w:rPr>
                      <w:color w:val="FF0000"/>
                      <w:szCs w:val="21"/>
                    </w:rPr>
                  </w:pPr>
                  <w:r>
                    <w:rPr>
                      <w:rFonts w:hint="eastAsia"/>
                      <w:b/>
                      <w:bCs/>
                      <w:color w:val="000000" w:themeColor="text1"/>
                      <w:szCs w:val="21"/>
                      <w14:textFill>
                        <w14:solidFill>
                          <w14:schemeClr w14:val="tx1"/>
                        </w14:solidFill>
                      </w14:textFill>
                    </w:rPr>
                    <w:t>（1）</w:t>
                  </w:r>
                  <w:r>
                    <w:rPr>
                      <w:b/>
                      <w:bCs/>
                      <w:color w:val="000000" w:themeColor="text1"/>
                      <w:szCs w:val="21"/>
                      <w14:textFill>
                        <w14:solidFill>
                          <w14:schemeClr w14:val="tx1"/>
                        </w14:solidFill>
                      </w14:textFill>
                    </w:rPr>
                    <w:t>各类工业园区（集聚区）：</w:t>
                  </w:r>
                  <w:r>
                    <w:rPr>
                      <w:color w:val="000000" w:themeColor="text1"/>
                      <w:szCs w:val="21"/>
                      <w14:textFill>
                        <w14:solidFill>
                          <w14:schemeClr w14:val="tx1"/>
                        </w14:solidFill>
                      </w14:textFill>
                    </w:rPr>
                    <w:t>严格执行园区（集聚区）规划和规划环评要求，根据国家产业政策、园区（集聚区）主导产业定位、《甘肃省国家重点生态功能区产业准入负面清单（试行）》等，建立差别化的产业准入要求；根据园区发展定位、环境特征等强化环境准入约束。合理规划居住区与工业功能区，在居住区和工业区、工业企业之间设置防护绿地、生活绿地等隔离带。落实《减污降碳协同增效实施方案》《</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十四五</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节能减排综合工作方案》</w:t>
                  </w:r>
                  <w:r>
                    <w:rPr>
                      <w:rFonts w:ascii="Times New Roman" w:hAnsi="Times New Roman" w:eastAsia="宋体" w:cs="Times New Roman"/>
                      <w:color w:val="000000" w:themeColor="text1"/>
                      <w:kern w:val="0"/>
                      <w:szCs w:val="21"/>
                      <w14:textFill>
                        <w14:solidFill>
                          <w14:schemeClr w14:val="tx1"/>
                        </w14:solidFill>
                      </w14:textFill>
                    </w:rPr>
                    <w:t>《2030年前碳达峰行动方案》《中共中央国务院关于完整准确全面贯彻新发展理</w:t>
                  </w:r>
                  <w:r>
                    <w:rPr>
                      <w:color w:val="000000" w:themeColor="text1"/>
                      <w:szCs w:val="21"/>
                      <w14:textFill>
                        <w14:solidFill>
                          <w14:schemeClr w14:val="tx1"/>
                        </w14:solidFill>
                      </w14:textFill>
                    </w:rPr>
                    <w:t xml:space="preserve">念做好碳达峰碳中和工作的意见》相关要求，坚决遏制高耗能、高排放、低水平项目盲目发展，高耗能、高排放项目审批要严格落实国家产业规划、产业政策、环评审批、取水许可审批、节能审查以及污染物区域削减替代等要求，采取先进适用的工艺技术和装备，提升高耗能项目能耗准入标准，能耗、物耗、水耗要达到清洁生产先进水平。严格落实《甘肃省环境保护条例》相关要求，新建化工石化、有色冶金、制浆造纸以及国家有明确要求的工业项目，应当进入工业园区或者工业集聚区。对污染物排放不符合要求的生物质锅炉及时进行整改或淘汰。 </w:t>
                  </w:r>
                </w:p>
              </w:tc>
              <w:tc>
                <w:tcPr>
                  <w:tcW w:w="3054" w:type="dxa"/>
                  <w:tcBorders>
                    <w:tl2br w:val="nil"/>
                    <w:tr2bl w:val="nil"/>
                  </w:tcBorders>
                  <w:vAlign w:val="center"/>
                </w:tcPr>
                <w:p w14:paraId="7BBC2212">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本项目（一期工程）主要生产耐候性沥青混凝土</w:t>
                  </w:r>
                  <w:r>
                    <w:rPr>
                      <w:rFonts w:hint="eastAsia" w:ascii="Times New Roman" w:hAnsi="Times New Roman" w:eastAsia="宋体" w:cs="Times New Roman"/>
                      <w:bCs/>
                      <w:color w:val="1331F5"/>
                      <w:szCs w:val="21"/>
                      <w:lang w:val="en-US" w:eastAsia="zh-CN"/>
                    </w:rPr>
                    <w:t>及乳化沥青（年生产小时数50h）</w:t>
                  </w:r>
                  <w:r>
                    <w:rPr>
                      <w:rFonts w:hint="eastAsia" w:ascii="Times New Roman" w:hAnsi="Times New Roman" w:eastAsia="宋体" w:cs="Times New Roman"/>
                      <w:bCs/>
                      <w:color w:val="1331F5"/>
                      <w:szCs w:val="21"/>
                      <w:lang w:eastAsia="zh-CN"/>
                    </w:rPr>
                    <w:t>；</w:t>
                  </w:r>
                  <w:r>
                    <w:rPr>
                      <w:rFonts w:hint="eastAsia" w:ascii="Times New Roman" w:hAnsi="Times New Roman" w:eastAsia="宋体" w:cs="Times New Roman"/>
                      <w:bCs/>
                      <w:szCs w:val="21"/>
                    </w:rPr>
                    <w:t>耐候性沥青混凝土通过凹凸棒石进行改性，提升沥青混凝土的力学性能</w:t>
                  </w:r>
                  <w:r>
                    <w:rPr>
                      <w:rFonts w:hint="eastAsia" w:ascii="Times New Roman" w:hAnsi="Times New Roman" w:eastAsia="宋体" w:cs="Times New Roman"/>
                      <w:bCs/>
                      <w:szCs w:val="21"/>
                      <w:lang w:eastAsia="zh-CN"/>
                    </w:rPr>
                    <w:t>。</w:t>
                  </w:r>
                  <w:r>
                    <w:rPr>
                      <w:rFonts w:hint="eastAsia" w:ascii="Times New Roman" w:hAnsi="Times New Roman" w:eastAsia="宋体" w:cs="Times New Roman"/>
                      <w:bCs/>
                      <w:szCs w:val="21"/>
                    </w:rPr>
                    <w:t>因此，基本符合临泽工业园区(产业功能区)-凹凸棒石新材料产业园-初级加工区功能定位。</w:t>
                  </w:r>
                </w:p>
                <w:p w14:paraId="7B7406E5">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根据《产业结构调整指导目录（2024年本）》，本项目不属于《产业结构调整指导目录（2024年本）》中鼓励类、限制类、淘汰类项目，鼓励类、限制类和淘汰类之外的，且符合国家有关法律、法规和政策规定的属于允许类，因此，本项目为允许类，符合国家产业政策要求。</w:t>
                  </w:r>
                </w:p>
                <w:p w14:paraId="2D3970DC">
                  <w:pPr>
                    <w:wordWrap w:val="0"/>
                    <w:topLinePunct/>
                    <w:rPr>
                      <w:color w:val="FF0000"/>
                      <w:szCs w:val="21"/>
                    </w:rPr>
                  </w:pPr>
                  <w:r>
                    <w:rPr>
                      <w:rFonts w:hint="eastAsia" w:ascii="Times New Roman" w:hAnsi="Times New Roman" w:eastAsia="宋体" w:cs="Times New Roman"/>
                      <w:szCs w:val="21"/>
                    </w:rPr>
                    <w:t>本项目不属于“两高”项目。</w:t>
                  </w:r>
                  <w:r>
                    <w:rPr>
                      <w:rFonts w:ascii="Times New Roman" w:hAnsi="Times New Roman" w:eastAsia="宋体" w:cs="Times New Roman"/>
                      <w:szCs w:val="21"/>
                    </w:rPr>
                    <w:t>本项目运营过程中消耗的电能、水资源、</w:t>
                  </w:r>
                  <w:r>
                    <w:rPr>
                      <w:rFonts w:hint="eastAsia" w:ascii="Times New Roman" w:hAnsi="Times New Roman" w:eastAsia="宋体" w:cs="Times New Roman"/>
                      <w:szCs w:val="21"/>
                    </w:rPr>
                    <w:t>轻质柴油</w:t>
                  </w:r>
                  <w:r>
                    <w:rPr>
                      <w:rFonts w:ascii="Times New Roman" w:hAnsi="Times New Roman" w:eastAsia="宋体" w:cs="Times New Roman"/>
                      <w:szCs w:val="21"/>
                    </w:rPr>
                    <w:t>等</w:t>
                  </w:r>
                  <w:r>
                    <w:rPr>
                      <w:rFonts w:hint="eastAsia" w:ascii="Times New Roman" w:hAnsi="Times New Roman" w:eastAsia="宋体" w:cs="Times New Roman"/>
                      <w:szCs w:val="21"/>
                    </w:rPr>
                    <w:t>资源能源</w:t>
                  </w:r>
                  <w:r>
                    <w:rPr>
                      <w:rFonts w:ascii="Times New Roman" w:hAnsi="Times New Roman" w:eastAsia="宋体" w:cs="Times New Roman"/>
                      <w:szCs w:val="21"/>
                    </w:rPr>
                    <w:t>，不会突破区域资源利用上线的要求</w:t>
                  </w:r>
                  <w:r>
                    <w:rPr>
                      <w:rFonts w:hint="eastAsia" w:ascii="Times New Roman" w:hAnsi="Times New Roman" w:eastAsia="宋体" w:cs="Times New Roman"/>
                      <w:szCs w:val="21"/>
                    </w:rPr>
                    <w:t>。</w:t>
                  </w:r>
                </w:p>
              </w:tc>
              <w:tc>
                <w:tcPr>
                  <w:tcW w:w="689" w:type="dxa"/>
                  <w:tcBorders>
                    <w:tl2br w:val="nil"/>
                    <w:tr2bl w:val="nil"/>
                  </w:tcBorders>
                  <w:vAlign w:val="center"/>
                </w:tcPr>
                <w:p w14:paraId="0FAB7088">
                  <w:pPr>
                    <w:adjustRightInd w:val="0"/>
                    <w:snapToGrid w:val="0"/>
                    <w:jc w:val="center"/>
                    <w:rPr>
                      <w:rFonts w:eastAsia="仿宋"/>
                      <w:bCs/>
                      <w:color w:val="FF0000"/>
                      <w:kern w:val="10"/>
                      <w:szCs w:val="21"/>
                    </w:rPr>
                  </w:pPr>
                  <w:r>
                    <w:rPr>
                      <w:rFonts w:hint="eastAsia" w:ascii="Times New Roman" w:eastAsia="宋体"/>
                      <w:color w:val="000000" w:themeColor="text1"/>
                      <w:szCs w:val="21"/>
                      <w14:textFill>
                        <w14:solidFill>
                          <w14:schemeClr w14:val="tx1"/>
                        </w14:solidFill>
                      </w14:textFill>
                    </w:rPr>
                    <w:t>符合</w:t>
                  </w:r>
                </w:p>
              </w:tc>
            </w:tr>
            <w:tr w14:paraId="54BB5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21" w:type="dxa"/>
                  <w:vMerge w:val="continue"/>
                  <w:tcBorders>
                    <w:tl2br w:val="nil"/>
                    <w:tr2bl w:val="nil"/>
                  </w:tcBorders>
                  <w:vAlign w:val="center"/>
                </w:tcPr>
                <w:p w14:paraId="4E844320">
                  <w:pPr>
                    <w:jc w:val="center"/>
                    <w:rPr>
                      <w:color w:val="FF0000"/>
                      <w:szCs w:val="21"/>
                    </w:rPr>
                  </w:pPr>
                </w:p>
              </w:tc>
              <w:tc>
                <w:tcPr>
                  <w:tcW w:w="1120" w:type="dxa"/>
                  <w:tcBorders>
                    <w:tl2br w:val="nil"/>
                    <w:tr2bl w:val="nil"/>
                  </w:tcBorders>
                  <w:vAlign w:val="center"/>
                </w:tcPr>
                <w:p w14:paraId="43100DC6">
                  <w:pPr>
                    <w:jc w:val="center"/>
                    <w:rPr>
                      <w:color w:val="FF0000"/>
                      <w:szCs w:val="21"/>
                    </w:rPr>
                  </w:pPr>
                  <w:r>
                    <w:rPr>
                      <w:color w:val="000000" w:themeColor="text1"/>
                      <w:szCs w:val="21"/>
                      <w14:textFill>
                        <w14:solidFill>
                          <w14:schemeClr w14:val="tx1"/>
                        </w14:solidFill>
                      </w14:textFill>
                    </w:rPr>
                    <w:t>污染物排放管控</w:t>
                  </w:r>
                </w:p>
              </w:tc>
              <w:tc>
                <w:tcPr>
                  <w:tcW w:w="6707" w:type="dxa"/>
                  <w:gridSpan w:val="2"/>
                  <w:tcBorders>
                    <w:tl2br w:val="nil"/>
                    <w:tr2bl w:val="nil"/>
                  </w:tcBorders>
                  <w:vAlign w:val="center"/>
                </w:tcPr>
                <w:p w14:paraId="59ED3507">
                  <w:pPr>
                    <w:rPr>
                      <w:color w:val="FF0000"/>
                      <w:szCs w:val="21"/>
                    </w:rPr>
                  </w:pPr>
                  <w:r>
                    <w:rPr>
                      <w:b/>
                      <w:bCs/>
                      <w:color w:val="000000" w:themeColor="text1"/>
                      <w:szCs w:val="21"/>
                      <w14:textFill>
                        <w14:solidFill>
                          <w14:schemeClr w14:val="tx1"/>
                        </w14:solidFill>
                      </w14:textFill>
                    </w:rPr>
                    <w:t>（1）各类工业园区（集聚区）：</w:t>
                  </w:r>
                  <w:r>
                    <w:rPr>
                      <w:color w:val="000000" w:themeColor="text1"/>
                      <w:szCs w:val="21"/>
                      <w14:textFill>
                        <w14:solidFill>
                          <w14:schemeClr w14:val="tx1"/>
                        </w14:solidFill>
                      </w14:textFill>
                    </w:rPr>
                    <w:t>严格实行污染物总量控制制度，根据区域环境质量改善目标，削减污染物排放总量。严格执行环境影响评价制度，同步规划、建设和完善污水、垃圾集中处置等污染治理设施，工业园区（集聚区）内各企业工业废水必须经预处理达到集中处理要求，方可进入工业园区（集聚区）污水集中处理设施。加强土壤和地下水污染防治与修复，发现污染扩散的，有关责任主体要及时采取污染物隔离、阻断等环境风险管控措施。落实《关于加强高耗能、高排放建设项目生态环境源头防控的指导意见》加强规划约束、严格“两高”项目环评审批、推进“两高”行业减污降碳协同控制等要求，加强“两高”项目生态环境源头防控。严格执行《地下水管理条例》中污染防治相关要求。落实《甘肃省减污降碳协同增效实施方案》相关要求，依法实施“双超双有高耗能”企业强制性清洁生产审核。全省新建钢铁项目原则上要达到超低排放水平。新、改、扩建涉重金属重点行业建设项目遵循重金属污染物排放“等量替换”原则，在环境影响评价文件及其批复中明确重金属污染物排放总量及来源。有色金属行业、铅蓄电池制造业等涉重金属重点行业企业继续依法依规开展落后产能淘汰工作，有色金属采选冶炼、铅酸蓄电池制造、皮革、化学原料及化学制品生产、电镀等涉重金属重点行业企业生产工艺设备实施升级改造。</w:t>
                  </w:r>
                </w:p>
              </w:tc>
              <w:tc>
                <w:tcPr>
                  <w:tcW w:w="3054" w:type="dxa"/>
                  <w:tcBorders>
                    <w:tl2br w:val="nil"/>
                    <w:tr2bl w:val="nil"/>
                  </w:tcBorders>
                  <w:vAlign w:val="center"/>
                </w:tcPr>
                <w:p w14:paraId="7C182E0C">
                  <w:pPr>
                    <w:rPr>
                      <w:szCs w:val="21"/>
                    </w:rPr>
                  </w:pPr>
                  <w:r>
                    <w:rPr>
                      <w:rFonts w:hint="eastAsia" w:ascii="Times New Roman" w:hAnsi="Times New Roman" w:eastAsia="宋体" w:cs="Times New Roman"/>
                      <w:bCs/>
                      <w:szCs w:val="21"/>
                    </w:rPr>
                    <w:t>本项目废气经采取污染防治可行技术后均可达标排放；</w:t>
                  </w:r>
                  <w:r>
                    <w:rPr>
                      <w:rFonts w:hint="eastAsia" w:ascii="Times New Roman" w:hAnsi="Times New Roman" w:eastAsia="宋体" w:cs="Times New Roman"/>
                      <w:kern w:val="0"/>
                      <w:szCs w:val="21"/>
                    </w:rPr>
                    <w:t>本项目</w:t>
                  </w:r>
                  <w:r>
                    <w:rPr>
                      <w:rFonts w:hint="eastAsia" w:ascii="Times New Roman" w:hAnsi="Times New Roman" w:eastAsia="宋体" w:cs="Times New Roman"/>
                      <w:color w:val="0000FF"/>
                      <w:kern w:val="0"/>
                      <w:szCs w:val="21"/>
                    </w:rPr>
                    <w:t>生活污水（含食堂废水）经隔油池</w:t>
                  </w:r>
                  <w:r>
                    <w:rPr>
                      <w:rFonts w:hint="eastAsia" w:ascii="Times New Roman" w:hAnsi="Times New Roman" w:eastAsia="宋体" w:cs="Times New Roman"/>
                      <w:color w:val="0000FF"/>
                      <w:kern w:val="0"/>
                      <w:szCs w:val="21"/>
                      <w:lang w:eastAsia="zh-CN"/>
                    </w:rPr>
                    <w:t>、</w:t>
                  </w:r>
                  <w:r>
                    <w:rPr>
                      <w:rFonts w:hint="eastAsia" w:ascii="Times New Roman" w:hAnsi="Times New Roman" w:eastAsia="宋体" w:cs="Times New Roman"/>
                      <w:color w:val="0000FF"/>
                      <w:kern w:val="0"/>
                      <w:szCs w:val="21"/>
                    </w:rPr>
                    <w:t>化粪池预处理后，</w:t>
                  </w:r>
                  <w:r>
                    <w:rPr>
                      <w:rFonts w:hint="eastAsia" w:ascii="Times New Roman" w:hAnsi="Times New Roman" w:eastAsia="宋体" w:cs="Times New Roman"/>
                      <w:color w:val="0000FF"/>
                      <w:kern w:val="0"/>
                      <w:szCs w:val="21"/>
                      <w:lang w:val="en-US" w:eastAsia="zh-CN"/>
                    </w:rPr>
                    <w:t>暂</w:t>
                  </w:r>
                  <w:r>
                    <w:rPr>
                      <w:rFonts w:hint="eastAsia" w:ascii="Times New Roman" w:hAnsi="Times New Roman" w:eastAsia="宋体" w:cs="Times New Roman"/>
                      <w:color w:val="0000FF"/>
                      <w:kern w:val="0"/>
                      <w:szCs w:val="21"/>
                    </w:rPr>
                    <w:t>定期委托专业吸污车进行抽吸清运，</w:t>
                  </w:r>
                  <w:r>
                    <w:rPr>
                      <w:rFonts w:hint="eastAsia" w:ascii="Times New Roman" w:hAnsi="Times New Roman" w:eastAsia="宋体" w:cs="Times New Roman"/>
                      <w:color w:val="0000FF"/>
                      <w:kern w:val="0"/>
                      <w:szCs w:val="21"/>
                      <w:lang w:val="en-US" w:eastAsia="zh-CN"/>
                    </w:rPr>
                    <w:t>并跟踪去向</w:t>
                  </w:r>
                  <w:r>
                    <w:rPr>
                      <w:rFonts w:hint="eastAsia" w:ascii="Times New Roman" w:hAnsi="Times New Roman" w:eastAsia="宋体" w:cs="Times New Roman"/>
                      <w:color w:val="0000FF"/>
                      <w:kern w:val="0"/>
                      <w:szCs w:val="21"/>
                      <w:lang w:eastAsia="zh-CN"/>
                    </w:rPr>
                    <w:t>，</w:t>
                  </w:r>
                  <w:r>
                    <w:rPr>
                      <w:rFonts w:hint="eastAsia" w:ascii="Times New Roman" w:hAnsi="Times New Roman" w:eastAsia="宋体" w:cs="Times New Roman"/>
                      <w:color w:val="0000FF"/>
                      <w:kern w:val="0"/>
                      <w:szCs w:val="21"/>
                    </w:rPr>
                    <w:t>待凹凸棒石初级加工园区污水处理厂投入</w:t>
                  </w:r>
                  <w:r>
                    <w:rPr>
                      <w:rFonts w:hint="eastAsia" w:ascii="Times New Roman" w:hAnsi="Times New Roman" w:eastAsia="宋体" w:cs="Times New Roman"/>
                      <w:color w:val="0000FF"/>
                      <w:kern w:val="0"/>
                      <w:szCs w:val="21"/>
                      <w:lang w:val="en-US" w:eastAsia="zh-CN"/>
                    </w:rPr>
                    <w:t>稳定</w:t>
                  </w:r>
                  <w:r>
                    <w:rPr>
                      <w:rFonts w:hint="eastAsia" w:ascii="Times New Roman" w:hAnsi="Times New Roman" w:eastAsia="宋体" w:cs="Times New Roman"/>
                      <w:color w:val="0000FF"/>
                      <w:kern w:val="0"/>
                      <w:szCs w:val="21"/>
                    </w:rPr>
                    <w:t>运行后，排入该污水处理厂进行处理，</w:t>
                  </w:r>
                  <w:r>
                    <w:rPr>
                      <w:rFonts w:hint="eastAsia" w:ascii="Times New Roman" w:hAnsi="Times New Roman" w:eastAsia="宋体" w:cs="Times New Roman"/>
                      <w:kern w:val="0"/>
                      <w:szCs w:val="21"/>
                    </w:rPr>
                    <w:t>无外排生产废水</w:t>
                  </w:r>
                  <w:r>
                    <w:rPr>
                      <w:rFonts w:hint="eastAsia" w:ascii="Times New Roman" w:hAnsi="Times New Roman" w:eastAsia="宋体" w:cs="Times New Roman"/>
                      <w:szCs w:val="21"/>
                      <w:lang w:val="zh-CN"/>
                    </w:rPr>
                    <w:t>；</w:t>
                  </w:r>
                  <w:r>
                    <w:rPr>
                      <w:rFonts w:hint="eastAsia"/>
                      <w:szCs w:val="21"/>
                    </w:rPr>
                    <w:t>本</w:t>
                  </w:r>
                  <w:r>
                    <w:rPr>
                      <w:szCs w:val="21"/>
                    </w:rPr>
                    <w:t>项目运营期各类高噪声设备通过基础减</w:t>
                  </w:r>
                  <w:r>
                    <w:rPr>
                      <w:rFonts w:hint="eastAsia"/>
                      <w:szCs w:val="21"/>
                    </w:rPr>
                    <w:t>振</w:t>
                  </w:r>
                  <w:r>
                    <w:rPr>
                      <w:szCs w:val="21"/>
                    </w:rPr>
                    <w:t>、隔声</w:t>
                  </w:r>
                  <w:r>
                    <w:rPr>
                      <w:rFonts w:hint="eastAsia"/>
                      <w:szCs w:val="21"/>
                    </w:rPr>
                    <w:t>消声</w:t>
                  </w:r>
                  <w:r>
                    <w:rPr>
                      <w:szCs w:val="21"/>
                    </w:rPr>
                    <w:t>后，对外环境影响较小</w:t>
                  </w:r>
                  <w:r>
                    <w:rPr>
                      <w:rFonts w:hint="eastAsia"/>
                      <w:szCs w:val="21"/>
                    </w:rPr>
                    <w:t>；本项目</w:t>
                  </w:r>
                  <w:r>
                    <w:rPr>
                      <w:szCs w:val="21"/>
                    </w:rPr>
                    <w:t>各类固体废物均遵循减量化、无害化、综合利用的原则得到妥善处置</w:t>
                  </w:r>
                  <w:r>
                    <w:rPr>
                      <w:rFonts w:hint="eastAsia"/>
                      <w:szCs w:val="21"/>
                    </w:rPr>
                    <w:t>。</w:t>
                  </w:r>
                </w:p>
                <w:p w14:paraId="46AB80C3">
                  <w:pPr>
                    <w:rPr>
                      <w:color w:val="FF0000"/>
                      <w:szCs w:val="21"/>
                    </w:rPr>
                  </w:pPr>
                  <w:r>
                    <w:rPr>
                      <w:rFonts w:hint="eastAsia" w:ascii="Times New Roman" w:hAnsi="Times New Roman" w:eastAsia="宋体" w:cs="Times New Roman"/>
                      <w:bCs/>
                      <w:szCs w:val="21"/>
                    </w:rPr>
                    <w:t>本项目不属于“两高”项目。</w:t>
                  </w:r>
                </w:p>
              </w:tc>
              <w:tc>
                <w:tcPr>
                  <w:tcW w:w="689" w:type="dxa"/>
                  <w:vMerge w:val="restart"/>
                  <w:tcBorders>
                    <w:tl2br w:val="nil"/>
                    <w:tr2bl w:val="nil"/>
                  </w:tcBorders>
                  <w:vAlign w:val="center"/>
                </w:tcPr>
                <w:p w14:paraId="3C77A32A">
                  <w:pPr>
                    <w:adjustRightInd w:val="0"/>
                    <w:snapToGrid w:val="0"/>
                    <w:jc w:val="center"/>
                    <w:rPr>
                      <w:rFonts w:eastAsia="仿宋"/>
                      <w:bCs/>
                      <w:color w:val="FF0000"/>
                      <w:szCs w:val="21"/>
                    </w:rPr>
                  </w:pPr>
                  <w:r>
                    <w:rPr>
                      <w:rFonts w:hint="eastAsia" w:ascii="Times New Roman" w:eastAsia="宋体"/>
                      <w:color w:val="000000" w:themeColor="text1"/>
                      <w:szCs w:val="21"/>
                      <w14:textFill>
                        <w14:solidFill>
                          <w14:schemeClr w14:val="tx1"/>
                        </w14:solidFill>
                      </w14:textFill>
                    </w:rPr>
                    <w:t>运营期落实要求后符合</w:t>
                  </w:r>
                </w:p>
              </w:tc>
            </w:tr>
            <w:tr w14:paraId="6C7B8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21" w:type="dxa"/>
                  <w:vMerge w:val="continue"/>
                  <w:tcBorders>
                    <w:tl2br w:val="nil"/>
                    <w:tr2bl w:val="nil"/>
                  </w:tcBorders>
                  <w:vAlign w:val="center"/>
                </w:tcPr>
                <w:p w14:paraId="31562D70">
                  <w:pPr>
                    <w:jc w:val="center"/>
                    <w:rPr>
                      <w:color w:val="FF0000"/>
                      <w:szCs w:val="21"/>
                    </w:rPr>
                  </w:pPr>
                </w:p>
              </w:tc>
              <w:tc>
                <w:tcPr>
                  <w:tcW w:w="1120" w:type="dxa"/>
                  <w:tcBorders>
                    <w:tl2br w:val="nil"/>
                    <w:tr2bl w:val="nil"/>
                  </w:tcBorders>
                  <w:vAlign w:val="center"/>
                </w:tcPr>
                <w:p w14:paraId="5219F59B">
                  <w:pPr>
                    <w:jc w:val="center"/>
                    <w:rPr>
                      <w:color w:val="FF0000"/>
                      <w:szCs w:val="21"/>
                    </w:rPr>
                  </w:pPr>
                  <w:r>
                    <w:rPr>
                      <w:color w:val="000000" w:themeColor="text1"/>
                      <w:szCs w:val="21"/>
                      <w14:textFill>
                        <w14:solidFill>
                          <w14:schemeClr w14:val="tx1"/>
                        </w14:solidFill>
                      </w14:textFill>
                    </w:rPr>
                    <w:t>环境风险防控</w:t>
                  </w:r>
                </w:p>
              </w:tc>
              <w:tc>
                <w:tcPr>
                  <w:tcW w:w="6707" w:type="dxa"/>
                  <w:gridSpan w:val="2"/>
                  <w:tcBorders>
                    <w:tl2br w:val="nil"/>
                    <w:tr2bl w:val="nil"/>
                  </w:tcBorders>
                  <w:vAlign w:val="center"/>
                </w:tcPr>
                <w:p w14:paraId="48F025EE">
                  <w:pPr>
                    <w:rPr>
                      <w:color w:val="FF0000"/>
                      <w:szCs w:val="21"/>
                    </w:rPr>
                  </w:pPr>
                  <w:r>
                    <w:rPr>
                      <w:b/>
                      <w:bCs/>
                      <w:color w:val="000000" w:themeColor="text1"/>
                      <w:szCs w:val="21"/>
                      <w14:textFill>
                        <w14:solidFill>
                          <w14:schemeClr w14:val="tx1"/>
                        </w14:solidFill>
                      </w14:textFill>
                    </w:rPr>
                    <w:t>（1）各类工业园区（集聚区）：</w:t>
                  </w:r>
                  <w:r>
                    <w:rPr>
                      <w:color w:val="000000" w:themeColor="text1"/>
                      <w:szCs w:val="21"/>
                      <w14:textFill>
                        <w14:solidFill>
                          <w14:schemeClr w14:val="tx1"/>
                        </w14:solidFill>
                      </w14:textFill>
                    </w:rPr>
                    <w:t>强化工业园区（集聚区）企业环境风险防范设施建设和正常运行监管，建立常态化的企业环境风险隐患排查整治机制，加强园区（集聚区）风险防控体系建设。严格落实《甘肃省环境保护条例》相关要求，企业事业单位和其他生产经营者应当定期排查环境安全隐患，开展环境风险评估，依法编制突发环境事件应急预案，报所在地生态环境主管部门和有关部门备案，并定期组织演练。</w:t>
                  </w:r>
                </w:p>
              </w:tc>
              <w:tc>
                <w:tcPr>
                  <w:tcW w:w="3054" w:type="dxa"/>
                  <w:tcBorders>
                    <w:tl2br w:val="nil"/>
                    <w:tr2bl w:val="nil"/>
                  </w:tcBorders>
                  <w:vAlign w:val="center"/>
                </w:tcPr>
                <w:p w14:paraId="3FEC0782">
                  <w:pPr>
                    <w:rPr>
                      <w:color w:val="FF0000"/>
                      <w:szCs w:val="21"/>
                    </w:rPr>
                  </w:pPr>
                  <w:r>
                    <w:rPr>
                      <w:rFonts w:hint="eastAsia" w:ascii="Times New Roman" w:eastAsia="宋体"/>
                      <w:szCs w:val="21"/>
                    </w:rPr>
                    <w:t>本项目在正式投入运行前，应编制突发环境事件应急预案并报送张掖市生态环境局临泽分局备案。日常环境风险管控工作中，应加强职工培训、宣教工作，加强环境风险源巡检、排查、整改、监控，定期组织应急演练，杜绝加剧生态、环境问题的风险发生。</w:t>
                  </w:r>
                </w:p>
              </w:tc>
              <w:tc>
                <w:tcPr>
                  <w:tcW w:w="689" w:type="dxa"/>
                  <w:vMerge w:val="continue"/>
                  <w:tcBorders>
                    <w:tl2br w:val="nil"/>
                    <w:tr2bl w:val="nil"/>
                  </w:tcBorders>
                  <w:vAlign w:val="center"/>
                </w:tcPr>
                <w:p w14:paraId="5CE8DD38">
                  <w:pPr>
                    <w:adjustRightInd w:val="0"/>
                    <w:snapToGrid w:val="0"/>
                    <w:jc w:val="center"/>
                    <w:rPr>
                      <w:rFonts w:eastAsia="仿宋"/>
                      <w:bCs/>
                      <w:color w:val="FF0000"/>
                      <w:szCs w:val="21"/>
                    </w:rPr>
                  </w:pPr>
                </w:p>
              </w:tc>
            </w:tr>
            <w:tr w14:paraId="79FC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21" w:type="dxa"/>
                  <w:vMerge w:val="continue"/>
                  <w:tcBorders>
                    <w:tl2br w:val="nil"/>
                    <w:tr2bl w:val="nil"/>
                  </w:tcBorders>
                  <w:vAlign w:val="center"/>
                </w:tcPr>
                <w:p w14:paraId="59544F60">
                  <w:pPr>
                    <w:jc w:val="center"/>
                    <w:rPr>
                      <w:color w:val="FF0000"/>
                      <w:szCs w:val="21"/>
                    </w:rPr>
                  </w:pPr>
                </w:p>
              </w:tc>
              <w:tc>
                <w:tcPr>
                  <w:tcW w:w="1120" w:type="dxa"/>
                  <w:tcBorders>
                    <w:tl2br w:val="nil"/>
                    <w:tr2bl w:val="nil"/>
                  </w:tcBorders>
                  <w:vAlign w:val="center"/>
                </w:tcPr>
                <w:p w14:paraId="1275FC4E">
                  <w:pPr>
                    <w:jc w:val="center"/>
                    <w:rPr>
                      <w:color w:val="FF0000"/>
                      <w:szCs w:val="21"/>
                    </w:rPr>
                  </w:pPr>
                  <w:r>
                    <w:rPr>
                      <w:color w:val="000000" w:themeColor="text1"/>
                      <w:szCs w:val="21"/>
                      <w14:textFill>
                        <w14:solidFill>
                          <w14:schemeClr w14:val="tx1"/>
                        </w14:solidFill>
                      </w14:textFill>
                    </w:rPr>
                    <w:t>资源开发利用效率</w:t>
                  </w:r>
                </w:p>
              </w:tc>
              <w:tc>
                <w:tcPr>
                  <w:tcW w:w="6707" w:type="dxa"/>
                  <w:gridSpan w:val="2"/>
                  <w:tcBorders>
                    <w:tl2br w:val="nil"/>
                    <w:tr2bl w:val="nil"/>
                  </w:tcBorders>
                  <w:vAlign w:val="center"/>
                </w:tcPr>
                <w:p w14:paraId="535CFB6D">
                  <w:pPr>
                    <w:rPr>
                      <w:color w:val="FF0000"/>
                      <w:szCs w:val="21"/>
                    </w:rPr>
                  </w:pPr>
                  <w:r>
                    <w:rPr>
                      <w:b/>
                      <w:bCs/>
                      <w:color w:val="000000" w:themeColor="text1"/>
                      <w:szCs w:val="21"/>
                      <w14:textFill>
                        <w14:solidFill>
                          <w14:schemeClr w14:val="tx1"/>
                        </w14:solidFill>
                      </w14:textFill>
                    </w:rPr>
                    <w:t>（3）各类工业园区（集聚区）：</w:t>
                  </w:r>
                  <w:r>
                    <w:rPr>
                      <w:color w:val="000000" w:themeColor="text1"/>
                      <w:szCs w:val="21"/>
                      <w14:textFill>
                        <w14:solidFill>
                          <w14:schemeClr w14:val="tx1"/>
                        </w14:solidFill>
                      </w14:textFill>
                    </w:rPr>
                    <w:t>推进工业园区（集聚区）循环化改造，强化企业清洁生产改造。按照《关于推进污水资源化利用的指导意见》《关于进一步加强水资源节约集约利用的意见》相关要求，强化工业节水，坚持以水定产，强化企业和园区集约用水，实施节水改造。按照《关于加强高耗能、高排放建设项目生态环境源头防控的指导意见》相关要求，提高能源利用效率，推进“两高”行业减污降碳协同控制。严格执行行业能耗标准和国家产能置换政策要求，控制钢铁、建材、化工等耗煤行业耗煤量。</w:t>
                  </w:r>
                </w:p>
              </w:tc>
              <w:tc>
                <w:tcPr>
                  <w:tcW w:w="3054" w:type="dxa"/>
                  <w:tcBorders>
                    <w:tl2br w:val="nil"/>
                    <w:tr2bl w:val="nil"/>
                  </w:tcBorders>
                  <w:vAlign w:val="center"/>
                </w:tcPr>
                <w:p w14:paraId="31265C31">
                  <w:pPr>
                    <w:rPr>
                      <w:color w:val="FF0000"/>
                      <w:szCs w:val="21"/>
                    </w:rPr>
                  </w:pPr>
                  <w:r>
                    <w:rPr>
                      <w:rFonts w:hint="eastAsia" w:ascii="Times New Roman" w:hAnsi="Times New Roman" w:eastAsia="宋体" w:cs="Times New Roman"/>
                      <w:bCs/>
                      <w:szCs w:val="21"/>
                    </w:rPr>
                    <w:t>本项目不属于“两高”项目。</w:t>
                  </w:r>
                  <w:r>
                    <w:rPr>
                      <w:rFonts w:ascii="Times New Roman" w:hAnsi="Times New Roman" w:eastAsia="宋体" w:cs="Times New Roman"/>
                      <w:bCs/>
                      <w:szCs w:val="21"/>
                    </w:rPr>
                    <w:t>本项目运营过程中消耗的电能、水资源、</w:t>
                  </w:r>
                  <w:r>
                    <w:rPr>
                      <w:rFonts w:hint="eastAsia" w:ascii="Times New Roman" w:hAnsi="Times New Roman" w:eastAsia="宋体" w:cs="Times New Roman"/>
                      <w:bCs/>
                      <w:szCs w:val="21"/>
                    </w:rPr>
                    <w:t>轻质柴油</w:t>
                  </w:r>
                  <w:r>
                    <w:rPr>
                      <w:rFonts w:ascii="Times New Roman" w:hAnsi="Times New Roman" w:eastAsia="宋体" w:cs="Times New Roman"/>
                      <w:bCs/>
                      <w:szCs w:val="21"/>
                    </w:rPr>
                    <w:t>等</w:t>
                  </w:r>
                  <w:r>
                    <w:rPr>
                      <w:rFonts w:hint="eastAsia" w:ascii="Times New Roman" w:hAnsi="Times New Roman" w:eastAsia="宋体" w:cs="Times New Roman"/>
                      <w:bCs/>
                      <w:szCs w:val="21"/>
                    </w:rPr>
                    <w:t>资源能源</w:t>
                  </w:r>
                  <w:r>
                    <w:rPr>
                      <w:rFonts w:ascii="Times New Roman" w:hAnsi="Times New Roman" w:eastAsia="宋体" w:cs="Times New Roman"/>
                      <w:bCs/>
                      <w:szCs w:val="21"/>
                    </w:rPr>
                    <w:t>，不会突破区域资源利用上线的要求</w:t>
                  </w:r>
                  <w:r>
                    <w:rPr>
                      <w:rFonts w:hint="eastAsia" w:ascii="Times New Roman" w:hAnsi="Times New Roman" w:eastAsia="宋体" w:cs="Times New Roman"/>
                      <w:bCs/>
                      <w:szCs w:val="21"/>
                    </w:rPr>
                    <w:t>。</w:t>
                  </w:r>
                </w:p>
              </w:tc>
              <w:tc>
                <w:tcPr>
                  <w:tcW w:w="689" w:type="dxa"/>
                  <w:tcBorders>
                    <w:tl2br w:val="nil"/>
                    <w:tr2bl w:val="nil"/>
                  </w:tcBorders>
                  <w:vAlign w:val="center"/>
                </w:tcPr>
                <w:p w14:paraId="27AB843E">
                  <w:pPr>
                    <w:adjustRightInd w:val="0"/>
                    <w:snapToGrid w:val="0"/>
                    <w:jc w:val="center"/>
                    <w:rPr>
                      <w:rFonts w:eastAsia="仿宋"/>
                      <w:bCs/>
                      <w:color w:val="FF0000"/>
                      <w:szCs w:val="21"/>
                    </w:rPr>
                  </w:pPr>
                  <w:r>
                    <w:rPr>
                      <w:rFonts w:hint="eastAsia" w:ascii="Times New Roman" w:eastAsia="宋体"/>
                      <w:color w:val="000000" w:themeColor="text1"/>
                      <w:szCs w:val="21"/>
                      <w14:textFill>
                        <w14:solidFill>
                          <w14:schemeClr w14:val="tx1"/>
                        </w14:solidFill>
                      </w14:textFill>
                    </w:rPr>
                    <w:t>符合</w:t>
                  </w:r>
                </w:p>
              </w:tc>
            </w:tr>
            <w:tr w14:paraId="72710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1" w:type="dxa"/>
                  <w:vMerge w:val="restart"/>
                  <w:tcBorders>
                    <w:tl2br w:val="nil"/>
                    <w:tr2bl w:val="nil"/>
                  </w:tcBorders>
                  <w:vAlign w:val="center"/>
                </w:tcPr>
                <w:p w14:paraId="79132DB4">
                  <w:pPr>
                    <w:jc w:val="center"/>
                    <w:rPr>
                      <w:color w:val="FF0000"/>
                      <w:szCs w:val="21"/>
                    </w:rPr>
                  </w:pPr>
                  <w:r>
                    <w:rPr>
                      <w:color w:val="000000" w:themeColor="text1"/>
                      <w:szCs w:val="21"/>
                      <w14:textFill>
                        <w14:solidFill>
                          <w14:schemeClr w14:val="tx1"/>
                        </w14:solidFill>
                      </w14:textFill>
                    </w:rPr>
                    <w:t>张掖市生态环境总体管控要求</w:t>
                  </w:r>
                </w:p>
              </w:tc>
              <w:tc>
                <w:tcPr>
                  <w:tcW w:w="1120" w:type="dxa"/>
                  <w:tcBorders>
                    <w:tl2br w:val="nil"/>
                    <w:tr2bl w:val="nil"/>
                  </w:tcBorders>
                  <w:vAlign w:val="center"/>
                </w:tcPr>
                <w:p w14:paraId="6FCD3B36">
                  <w:pPr>
                    <w:jc w:val="center"/>
                    <w:rPr>
                      <w:color w:val="FF0000"/>
                      <w:szCs w:val="21"/>
                    </w:rPr>
                  </w:pPr>
                  <w:r>
                    <w:rPr>
                      <w:color w:val="000000" w:themeColor="text1"/>
                      <w:szCs w:val="21"/>
                      <w14:textFill>
                        <w14:solidFill>
                          <w14:schemeClr w14:val="tx1"/>
                        </w14:solidFill>
                      </w14:textFill>
                    </w:rPr>
                    <w:t>空间布局约束</w:t>
                  </w:r>
                </w:p>
              </w:tc>
              <w:tc>
                <w:tcPr>
                  <w:tcW w:w="6707" w:type="dxa"/>
                  <w:gridSpan w:val="2"/>
                  <w:tcBorders>
                    <w:tl2br w:val="nil"/>
                    <w:tr2bl w:val="nil"/>
                  </w:tcBorders>
                  <w:vAlign w:val="center"/>
                </w:tcPr>
                <w:p w14:paraId="2F658B51">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 xml:space="preserve">1、执行中共中央国务院《关于深入打好污染防治攻坚战的意见》、《关于加强高耗能、高排放建设项目生态环境源头防控的指导意见》（环环评[2021]45号）等中的落后产能淘汰等空间布局约束的相关要求。坚决遏制高耗能、高排放项目盲目发展。严格落实污染物排放区域削减要求，对不符合规定的项目坚决停批停建。依法依规淘汰落后产能和化解过剩产能。 </w:t>
                  </w:r>
                </w:p>
                <w:p w14:paraId="659E7046">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 xml:space="preserve">2、执行《甘肃省大气污染治理领导小组办公室关于做好重点行业挥发性有机物综合治理工作的通知》（甘大气治理领办发[2019]15号）、《重点行业挥发性有机物综合治理方案》（环大气[2019]53号）等中使用先进工艺等空间布局约束的相关要求。 </w:t>
                  </w:r>
                </w:p>
                <w:p w14:paraId="0A462312">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 xml:space="preserve">3、矿产资源开发活动执行《矿山生态环境保护与污染防治技术政策》（环发[2005]109号）等相关要求。矿产资源开发应符合国家产业政策要求，选址、布局应符合所在地的区域发展规划。 </w:t>
                  </w:r>
                </w:p>
                <w:p w14:paraId="3FBC23C2">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 xml:space="preserve">4、落实《土壤污染防治行动计划》（国发[2016]31号）、《关于加强涉重金属行业污染防控的意见》（环土壤[2018]22号）等中的淘汰落后产能等空间布局约束的相关要求。加强对严格管控类耕地的用途管理，依法划定特定农产品禁止生产区域，严禁种植食用农产品。 </w:t>
                  </w:r>
                </w:p>
                <w:p w14:paraId="2FB4A87D">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 xml:space="preserve">5、执行《产业结构调整指导目录》和相关行业企业布局选址要求，禁止在居民区、学校、医疗和养老机构等周边新建有色金属冶炼、焦化等行业企业；结合推进新型城镇化建设、产业结构调整和化解过剩产能等，有序搬迁或依法关闭对土壤造成严重污染的现有企业。结合区域功能定位和土壤污染防治需要，科学布局生活垃圾处理、危险废物处置、废旧资源再生利用等设施和场所，合理确定畜禽养殖布局和规模。 </w:t>
                  </w:r>
                </w:p>
                <w:p w14:paraId="40B0832D">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 xml:space="preserve">6、执行《地下水管理条例》中地下水调查与规划、节约与保护、超采治理等有关空间布局准入要求。同时通过控采限量、节水增效、种植结构调整等措施，推进地下水超采区治理。取水总量接近用水总量控制指标的地区，对该区域内新建、改建、扩建项目取水许可申请限制审批，取水总量已达到或超过总量控制指标的地区，除通过水权转让方式获得用水指标外，暂停审批建设项目新增用水。 </w:t>
                  </w:r>
                </w:p>
                <w:p w14:paraId="4EA51EED">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 xml:space="preserve">7、调整能源结构，坚持减煤增气（电）并举，减少煤炭消费，加强散煤治理，提高能源利用效率。同时积极引导国有资本从高耗能行业向现代服务业和循环农业转移，提升结构节能能力。加快“零碳”城市建设步伐，大力推动能源清洁低碳转型，国家“零碳城市”创建完成阶段性目标，绿色低碳循环生产生活方式加快形成。同时加快化石能源清洁高效利用，把推动煤炭等化石能源清洁高效开发利用作为能源转型发展的首要任务，实施新上耗煤项目能耗等量减量置换，加速调控化石能源消费向清洁能源转型。 </w:t>
                  </w:r>
                </w:p>
                <w:p w14:paraId="2FA0522D">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 xml:space="preserve">8、调整产业结构，优化产业布局，实施“双碳”战略，遏制“两高”盲目发展，依法依规推动落后产能退出，推动传统高耗能行业绿色化、低碳化改造，积极创建绿色制造产业体系；有序推动“两高”企业开展节能降碳技术改造；督促企业开展节能技术改造，推动重点用能行业提高能源利用效率，不断提升行业整体用能水平。推进工业能源消费结构低碳化和产业结构低碳化，持续开展能源“双控”行动，加大重点耗能行业节能力度，强化对高耗能行业项目重点把控。发展节能环保服务业，强化对制造业绿色发展的支撑作用。 </w:t>
                  </w:r>
                </w:p>
                <w:p w14:paraId="347D474A">
                  <w:pPr>
                    <w:wordWrap w:val="0"/>
                    <w:topLinePunct/>
                    <w:rPr>
                      <w:color w:val="FF0000"/>
                      <w:szCs w:val="21"/>
                    </w:rPr>
                  </w:pPr>
                  <w:r>
                    <w:rPr>
                      <w:rFonts w:hint="eastAsia" w:ascii="Times New Roman" w:hAnsi="Times New Roman" w:eastAsia="宋体" w:cs="Times New Roman"/>
                      <w:bCs/>
                      <w:color w:val="000000" w:themeColor="text1"/>
                      <w:szCs w:val="21"/>
                      <w14:textFill>
                        <w14:solidFill>
                          <w14:schemeClr w14:val="tx1"/>
                        </w14:solidFill>
                      </w14:textFill>
                    </w:rPr>
                    <w:t>9、统筹协调与流域综合规划、防洪规划、城市总体规划等相关规划的关系，在不影响防洪、河势稳定、水生态环境等的情况下，考虑经济社会发展需要，合理论证，合理布局，节约、集约利用，提高岸线资源利用效率，充分发挥岸线资源的综合效益。</w:t>
                  </w:r>
                </w:p>
              </w:tc>
              <w:tc>
                <w:tcPr>
                  <w:tcW w:w="3054" w:type="dxa"/>
                  <w:tcBorders>
                    <w:tl2br w:val="nil"/>
                    <w:tr2bl w:val="nil"/>
                  </w:tcBorders>
                  <w:vAlign w:val="center"/>
                </w:tcPr>
                <w:p w14:paraId="4524AB8A">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本项目（一期工程）主要生产耐候性沥青混凝土</w:t>
                  </w:r>
                  <w:r>
                    <w:rPr>
                      <w:rFonts w:hint="eastAsia" w:ascii="Times New Roman" w:hAnsi="Times New Roman" w:eastAsia="宋体" w:cs="Times New Roman"/>
                      <w:bCs/>
                      <w:szCs w:val="21"/>
                      <w:lang w:val="en-US" w:eastAsia="zh-CN"/>
                    </w:rPr>
                    <w:t>及</w:t>
                  </w:r>
                  <w:r>
                    <w:rPr>
                      <w:rFonts w:hint="eastAsia" w:ascii="Times New Roman" w:hAnsi="Times New Roman" w:eastAsia="宋体" w:cs="Times New Roman"/>
                      <w:bCs/>
                      <w:color w:val="1331F5"/>
                      <w:szCs w:val="21"/>
                      <w:lang w:val="en-US" w:eastAsia="zh-CN"/>
                    </w:rPr>
                    <w:t>乳化沥青（年生产小时数50h）</w:t>
                  </w:r>
                  <w:r>
                    <w:rPr>
                      <w:rFonts w:hint="eastAsia" w:ascii="Times New Roman" w:hAnsi="Times New Roman" w:eastAsia="宋体" w:cs="Times New Roman"/>
                      <w:bCs/>
                      <w:color w:val="1331F5"/>
                      <w:szCs w:val="21"/>
                      <w:lang w:eastAsia="zh-CN"/>
                    </w:rPr>
                    <w:t>；</w:t>
                  </w:r>
                  <w:r>
                    <w:rPr>
                      <w:rFonts w:hint="eastAsia" w:ascii="Times New Roman" w:hAnsi="Times New Roman" w:eastAsia="宋体" w:cs="Times New Roman"/>
                      <w:bCs/>
                      <w:szCs w:val="21"/>
                    </w:rPr>
                    <w:t>耐候性沥青混凝土通过凹凸棒石进行改性，提升沥青混凝土的力学性能</w:t>
                  </w:r>
                  <w:r>
                    <w:rPr>
                      <w:rFonts w:hint="eastAsia" w:ascii="Times New Roman" w:hAnsi="Times New Roman" w:eastAsia="宋体" w:cs="Times New Roman"/>
                      <w:bCs/>
                      <w:szCs w:val="21"/>
                      <w:lang w:eastAsia="zh-CN"/>
                    </w:rPr>
                    <w:t>。</w:t>
                  </w:r>
                  <w:r>
                    <w:rPr>
                      <w:rFonts w:hint="eastAsia" w:ascii="Times New Roman" w:hAnsi="Times New Roman" w:eastAsia="宋体" w:cs="Times New Roman"/>
                      <w:bCs/>
                      <w:szCs w:val="21"/>
                    </w:rPr>
                    <w:t>因此，基本符合临泽工业园区(产业功能区)-凹凸棒石新材料产业园-初级加工区功能定位。</w:t>
                  </w:r>
                </w:p>
                <w:p w14:paraId="2AD595D1">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根据《产业结构调整指导目录（2024年本）》，本项目不属于《产业结构调整指导目录（2024年本）》中鼓励类、限制类、淘汰类项目，鼓励类、限制类和淘汰类之外的，且符合国家有关法律、法规和政策规定的属于允许类，因此，本项目为允许类，符合国家产业政策要求。</w:t>
                  </w:r>
                </w:p>
                <w:p w14:paraId="5EE12DBE">
                  <w:pPr>
                    <w:wordWrap w:val="0"/>
                    <w:topLinePunct/>
                    <w:rPr>
                      <w:rFonts w:ascii="Times New Roman" w:hAnsi="Times New Roman" w:eastAsia="宋体" w:cs="Times New Roman"/>
                      <w:szCs w:val="21"/>
                    </w:rPr>
                  </w:pPr>
                  <w:r>
                    <w:rPr>
                      <w:rFonts w:hint="eastAsia" w:ascii="Times New Roman" w:hAnsi="Times New Roman" w:eastAsia="宋体" w:cs="Times New Roman"/>
                      <w:szCs w:val="21"/>
                    </w:rPr>
                    <w:t>本项目运营期建立完善的巡检、监控体系，切断污染途径，保障区域土壤、地下水环境安全。</w:t>
                  </w:r>
                </w:p>
                <w:p w14:paraId="7FA4C26A">
                  <w:pPr>
                    <w:rPr>
                      <w:rFonts w:ascii="Times New Roman" w:eastAsia="宋体"/>
                      <w:szCs w:val="21"/>
                    </w:rPr>
                  </w:pPr>
                  <w:r>
                    <w:rPr>
                      <w:rFonts w:hint="eastAsia"/>
                      <w:szCs w:val="21"/>
                    </w:rPr>
                    <w:t>本项目</w:t>
                  </w:r>
                  <w:r>
                    <w:rPr>
                      <w:rFonts w:hint="eastAsia" w:ascii="Times New Roman" w:eastAsia="宋体"/>
                      <w:szCs w:val="21"/>
                    </w:rPr>
                    <w:t>不属于“两高”项目，本项目不使用淘汰、落后的生产工艺及设备。</w:t>
                  </w:r>
                </w:p>
                <w:p w14:paraId="6EC34807">
                  <w:pPr>
                    <w:rPr>
                      <w:color w:val="000000" w:themeColor="text1"/>
                      <w:szCs w:val="21"/>
                      <w14:textFill>
                        <w14:solidFill>
                          <w14:schemeClr w14:val="tx1"/>
                        </w14:solidFill>
                      </w14:textFill>
                    </w:rPr>
                  </w:pPr>
                </w:p>
                <w:p w14:paraId="54AF278F">
                  <w:pPr>
                    <w:jc w:val="center"/>
                    <w:rPr>
                      <w:color w:val="FF0000"/>
                      <w:szCs w:val="21"/>
                    </w:rPr>
                  </w:pPr>
                </w:p>
              </w:tc>
              <w:tc>
                <w:tcPr>
                  <w:tcW w:w="689" w:type="dxa"/>
                  <w:vMerge w:val="restart"/>
                  <w:tcBorders>
                    <w:tl2br w:val="nil"/>
                    <w:tr2bl w:val="nil"/>
                  </w:tcBorders>
                  <w:vAlign w:val="center"/>
                </w:tcPr>
                <w:p w14:paraId="5E8D6BE5">
                  <w:pPr>
                    <w:adjustRightInd w:val="0"/>
                    <w:snapToGrid w:val="0"/>
                    <w:jc w:val="center"/>
                    <w:rPr>
                      <w:rFonts w:eastAsia="仿宋"/>
                      <w:bCs/>
                      <w:color w:val="FF0000"/>
                      <w:kern w:val="10"/>
                      <w:szCs w:val="21"/>
                    </w:rPr>
                  </w:pPr>
                  <w:r>
                    <w:rPr>
                      <w:rFonts w:hint="eastAsia" w:ascii="Times New Roman" w:eastAsia="宋体"/>
                      <w:color w:val="000000" w:themeColor="text1"/>
                      <w:szCs w:val="21"/>
                      <w14:textFill>
                        <w14:solidFill>
                          <w14:schemeClr w14:val="tx1"/>
                        </w14:solidFill>
                      </w14:textFill>
                    </w:rPr>
                    <w:t>运营期落实要求后符合</w:t>
                  </w:r>
                </w:p>
              </w:tc>
            </w:tr>
            <w:tr w14:paraId="4B3D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21" w:type="dxa"/>
                  <w:vMerge w:val="continue"/>
                  <w:tcBorders>
                    <w:tl2br w:val="nil"/>
                    <w:tr2bl w:val="nil"/>
                  </w:tcBorders>
                  <w:vAlign w:val="center"/>
                </w:tcPr>
                <w:p w14:paraId="760AC188">
                  <w:pPr>
                    <w:jc w:val="center"/>
                    <w:rPr>
                      <w:color w:val="FF0000"/>
                      <w:szCs w:val="21"/>
                    </w:rPr>
                  </w:pPr>
                </w:p>
              </w:tc>
              <w:tc>
                <w:tcPr>
                  <w:tcW w:w="1120" w:type="dxa"/>
                  <w:tcBorders>
                    <w:tl2br w:val="nil"/>
                    <w:tr2bl w:val="nil"/>
                  </w:tcBorders>
                  <w:vAlign w:val="center"/>
                </w:tcPr>
                <w:p w14:paraId="15AF76F8">
                  <w:pPr>
                    <w:jc w:val="center"/>
                    <w:rPr>
                      <w:color w:val="FF0000"/>
                      <w:szCs w:val="21"/>
                    </w:rPr>
                  </w:pPr>
                  <w:r>
                    <w:rPr>
                      <w:color w:val="000000" w:themeColor="text1"/>
                      <w:szCs w:val="21"/>
                      <w14:textFill>
                        <w14:solidFill>
                          <w14:schemeClr w14:val="tx1"/>
                        </w14:solidFill>
                      </w14:textFill>
                    </w:rPr>
                    <w:t>污染物排放管控</w:t>
                  </w:r>
                </w:p>
              </w:tc>
              <w:tc>
                <w:tcPr>
                  <w:tcW w:w="6707" w:type="dxa"/>
                  <w:gridSpan w:val="2"/>
                  <w:tcBorders>
                    <w:tl2br w:val="nil"/>
                    <w:tr2bl w:val="nil"/>
                  </w:tcBorders>
                  <w:vAlign w:val="center"/>
                </w:tcPr>
                <w:p w14:paraId="0773C59D">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1、2025年全市空气质量优良天数比率（%）</w:t>
                  </w:r>
                  <w:r>
                    <w:rPr>
                      <w:rFonts w:hint="eastAsia" w:ascii="Times New Roman" w:hAnsi="Times New Roman" w:eastAsia="宋体" w:cs="Times New Roman"/>
                      <w:bCs/>
                      <w:color w:val="000000" w:themeColor="text1"/>
                      <w:szCs w:val="21"/>
                      <w14:textFill>
                        <w14:solidFill>
                          <w14:schemeClr w14:val="tx1"/>
                        </w14:solidFill>
                      </w14:textFill>
                    </w:rPr>
                    <w:t>、</w:t>
                  </w:r>
                  <w:r>
                    <w:rPr>
                      <w:rFonts w:ascii="Times New Roman" w:hAnsi="Times New Roman" w:eastAsia="宋体" w:cs="Times New Roman"/>
                      <w:bCs/>
                      <w:color w:val="000000" w:themeColor="text1"/>
                      <w:szCs w:val="21"/>
                      <w14:textFill>
                        <w14:solidFill>
                          <w14:schemeClr w14:val="tx1"/>
                        </w14:solidFill>
                      </w14:textFill>
                    </w:rPr>
                    <w:t>可吸入颗粒物（PM</w:t>
                  </w:r>
                  <w:r>
                    <w:rPr>
                      <w:rFonts w:ascii="Times New Roman" w:hAnsi="Times New Roman" w:eastAsia="宋体" w:cs="Times New Roman"/>
                      <w:bCs/>
                      <w:color w:val="000000" w:themeColor="text1"/>
                      <w:szCs w:val="21"/>
                      <w:vertAlign w:val="subscript"/>
                      <w14:textFill>
                        <w14:solidFill>
                          <w14:schemeClr w14:val="tx1"/>
                        </w14:solidFill>
                      </w14:textFill>
                    </w:rPr>
                    <w:t>10</w:t>
                  </w:r>
                  <w:r>
                    <w:rPr>
                      <w:rFonts w:ascii="Times New Roman" w:hAnsi="Times New Roman" w:eastAsia="宋体" w:cs="Times New Roman"/>
                      <w:bCs/>
                      <w:color w:val="000000" w:themeColor="text1"/>
                      <w:szCs w:val="21"/>
                      <w14:textFill>
                        <w14:solidFill>
                          <w14:schemeClr w14:val="tx1"/>
                        </w14:solidFill>
                      </w14:textFill>
                    </w:rPr>
                    <w:t>）浓度（微克/立方米）、细颗粒物（PM</w:t>
                  </w:r>
                  <w:r>
                    <w:rPr>
                      <w:rFonts w:ascii="Times New Roman" w:hAnsi="Times New Roman" w:eastAsia="宋体" w:cs="Times New Roman"/>
                      <w:bCs/>
                      <w:color w:val="000000" w:themeColor="text1"/>
                      <w:szCs w:val="21"/>
                      <w:vertAlign w:val="subscript"/>
                      <w14:textFill>
                        <w14:solidFill>
                          <w14:schemeClr w14:val="tx1"/>
                        </w14:solidFill>
                      </w14:textFill>
                    </w:rPr>
                    <w:t>2.5</w:t>
                  </w:r>
                  <w:r>
                    <w:rPr>
                      <w:rFonts w:ascii="Times New Roman" w:hAnsi="Times New Roman" w:eastAsia="宋体" w:cs="Times New Roman"/>
                      <w:bCs/>
                      <w:color w:val="000000" w:themeColor="text1"/>
                      <w:szCs w:val="21"/>
                      <w14:textFill>
                        <w14:solidFill>
                          <w14:schemeClr w14:val="tx1"/>
                        </w14:solidFill>
                      </w14:textFill>
                    </w:rPr>
                    <w:t xml:space="preserve">）浓度（微克/立方米）、达到或好于Ⅲ类水体比例（%）、劣Ⅴ类水体比例（%）、氮氧化物重点工程减排量（吨）、挥发性有机物重点工程减排量（吨）、化学需氧量重点工程减排量（吨）、氨氮重点工程减排量（吨）等生态环境有关指标完成省上下达的目标。 </w:t>
                  </w:r>
                </w:p>
                <w:p w14:paraId="7F70D061">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 xml:space="preserve">2、县级及以上城市建成区基本淘汰每小时10蒸吨及以下燃煤锅炉及茶水炉、经营性炉灶、储粮烘干设备等燃煤设施，原则上不再新建每小时35蒸吨以下的燃煤锅炉，其他地区原则上不再新建每小时10蒸吨及以下燃煤锅炉。在集中供热管网覆盖地区，禁止新建、扩建分散燃煤供热锅炉；已建成的不能达标排放的燃煤供热锅炉，应当在市、县(区)人民政府规定的期限内拆除。在集中供热管网难以覆盖地区，按照清洁替代、经济适用、居民可承受的原则，推进实施各类分散式清洁供暖。建设和使用燃煤锅炉和窑炉，锅炉单台出力和窑炉生产工艺应当符合国家和甘肃省规定的标准和政策要求。 </w:t>
                  </w:r>
                </w:p>
                <w:p w14:paraId="25F709DC">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 xml:space="preserve">3、执行《甘肃省大气污染防治条例》等中扬尘污染防治要求。按照《张掖市关于深入打好污染防治攻坚战的实施意见》要求，推动细颗粒物和臭氧污染协同治理，深入打好秋冬季大气污染防治攻坚战；着力打好臭氧污染防治攻坚战；持续打好柴油货车污染治理攻坚战；加强大气面源和噪声污染治理。实施工业园区节能降碳工程、重点行业节能降碳工程、加强甲烷等二氧化碳温室气体排放管控、张掖经开区开展“零碳”园区建设。 </w:t>
                  </w:r>
                </w:p>
                <w:p w14:paraId="1141F0B3">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 xml:space="preserve">4、执行《土壤污染防治行动计划》（国发[2016]31号）、《关于加强涉重金属行业污染防控的意见》（环土壤[2018]22号）等中的工艺提升改造等重金属污染物排放的相关要求。执行《关于加强高耗能、高排放建设项目生态环境源头防控的指导意见》（环环评[2021]45号）等中的消减、产能置换、减量替代等污染物排放管控要求。 </w:t>
                  </w:r>
                </w:p>
                <w:p w14:paraId="29BBCA36">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 xml:space="preserve">5、落实《水污染防治行动计划》（国发[2015]17号）、《甘肃省水污染防治条例》等中工业污染防治、城镇生活污染防治、农业农村水污染防治等相关要求。排放工业废水的企业应当采取有效措施，收集和处理产生的全部废水，防止污染环境。含有毒有害水污染物的工业废水应当分类收集和处理，不得稀释排放。向污水集中处理设施排放工业废水的，应当按照国家有关规定进行预处理，达到集中处理设施处理工艺要求后方可排放。提高生活污水收集率、处理率，所有县城和重点镇具备污水收集处理能力。整治黑臭水体。 </w:t>
                  </w:r>
                </w:p>
                <w:p w14:paraId="24494286">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 xml:space="preserve">6、从事畜禽规模养殖要严格落实《中华人民共和国固体废物污染环境防治法》、《中华人民共和国水污染防治法》、《畜禽规模养殖污染防治条例》要求，建设粪污无害化处理和资源化利用设施并确保其正常运行，或委托第三方代为实现粪污无害化处理和资源化利用。农田灌溉用水、水产养殖用水、畜禽粪污肥料化利用应执行相应标准，防止污染土壤、地下水和农产品。在种植业面源污染突出区域，实施化肥农药减量增效行动。 </w:t>
                  </w:r>
                  <w:bookmarkStart w:id="48" w:name="_GoBack"/>
                  <w:bookmarkEnd w:id="48"/>
                </w:p>
                <w:p w14:paraId="2989DE68">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 xml:space="preserve">7、落实《关于进一步规范城镇（园区）污水处理环境管理的通知（环水体[2020]70号）》中相关污染物排放要求。 </w:t>
                  </w:r>
                </w:p>
                <w:p w14:paraId="2925F973">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 xml:space="preserve">8、鼓励开展地下水污染防治重点区划定，实施地下水环境分区管理、分级防治，明确环境准入、隐患排查、风险管控、修复等差别化环境管理要求。 </w:t>
                  </w:r>
                </w:p>
                <w:p w14:paraId="30DF7710">
                  <w:pPr>
                    <w:wordWrap w:val="0"/>
                    <w:topLinePunct/>
                    <w:rPr>
                      <w:color w:val="FF0000"/>
                      <w:szCs w:val="21"/>
                    </w:rPr>
                  </w:pPr>
                  <w:r>
                    <w:rPr>
                      <w:rFonts w:ascii="Times New Roman" w:hAnsi="Times New Roman" w:eastAsia="宋体" w:cs="Times New Roman"/>
                      <w:bCs/>
                      <w:color w:val="000000" w:themeColor="text1"/>
                      <w:szCs w:val="21"/>
                      <w14:textFill>
                        <w14:solidFill>
                          <w14:schemeClr w14:val="tx1"/>
                        </w14:solidFill>
                      </w14:textFill>
                    </w:rPr>
                    <w:t>9、加强新污染物治理，建立新污染物环境调查监测体系，探索开展“一企一库”（重点工业企业、尾矿库）和“两场两区”（危险废物处置场、垃圾填埋场、工业园区、矿山开采区）等污染源周边地下水的新污染物环境状况调查、监测和评估。禁止、限制重点管控新污染物的生产、加工使用和进出口。</w:t>
                  </w:r>
                </w:p>
              </w:tc>
              <w:tc>
                <w:tcPr>
                  <w:tcW w:w="3054" w:type="dxa"/>
                  <w:tcBorders>
                    <w:tl2br w:val="nil"/>
                    <w:tr2bl w:val="nil"/>
                  </w:tcBorders>
                  <w:vAlign w:val="center"/>
                </w:tcPr>
                <w:p w14:paraId="07E762D4">
                  <w:pPr>
                    <w:rPr>
                      <w:szCs w:val="21"/>
                    </w:rPr>
                  </w:pPr>
                  <w:r>
                    <w:rPr>
                      <w:rFonts w:hint="eastAsia" w:ascii="Times New Roman" w:hAnsi="Times New Roman" w:eastAsia="宋体" w:cs="Times New Roman"/>
                      <w:bCs/>
                      <w:szCs w:val="21"/>
                    </w:rPr>
                    <w:t>本项目废气经采取污染防治可行技术后均可达标排放；</w:t>
                  </w:r>
                  <w:r>
                    <w:rPr>
                      <w:rFonts w:hint="eastAsia" w:ascii="Times New Roman" w:hAnsi="Times New Roman" w:eastAsia="宋体" w:cs="Times New Roman"/>
                      <w:bCs/>
                      <w:color w:val="0000FF"/>
                      <w:szCs w:val="21"/>
                    </w:rPr>
                    <w:t>生活污水（含食堂废水）经隔油池</w:t>
                  </w:r>
                  <w:r>
                    <w:rPr>
                      <w:rFonts w:hint="eastAsia" w:ascii="Times New Roman" w:hAnsi="Times New Roman" w:eastAsia="宋体" w:cs="Times New Roman"/>
                      <w:bCs/>
                      <w:color w:val="0000FF"/>
                      <w:szCs w:val="21"/>
                      <w:lang w:eastAsia="zh-CN"/>
                    </w:rPr>
                    <w:t>、</w:t>
                  </w:r>
                  <w:r>
                    <w:rPr>
                      <w:rFonts w:hint="eastAsia" w:ascii="Times New Roman" w:hAnsi="Times New Roman" w:eastAsia="宋体" w:cs="Times New Roman"/>
                      <w:bCs/>
                      <w:color w:val="0000FF"/>
                      <w:szCs w:val="21"/>
                    </w:rPr>
                    <w:t>化粪池预处理后，</w:t>
                  </w:r>
                  <w:r>
                    <w:rPr>
                      <w:rFonts w:hint="eastAsia" w:ascii="Times New Roman" w:hAnsi="Times New Roman" w:eastAsia="宋体" w:cs="Times New Roman"/>
                      <w:bCs/>
                      <w:color w:val="0000FF"/>
                      <w:szCs w:val="21"/>
                      <w:lang w:val="en-US" w:eastAsia="zh-CN"/>
                    </w:rPr>
                    <w:t>暂</w:t>
                  </w:r>
                  <w:r>
                    <w:rPr>
                      <w:rFonts w:hint="eastAsia" w:ascii="Times New Roman" w:hAnsi="Times New Roman" w:eastAsia="宋体" w:cs="Times New Roman"/>
                      <w:bCs/>
                      <w:color w:val="0000FF"/>
                      <w:szCs w:val="21"/>
                    </w:rPr>
                    <w:t>定期委托专业吸污车进行抽吸清运，</w:t>
                  </w:r>
                  <w:r>
                    <w:rPr>
                      <w:rFonts w:hint="eastAsia" w:ascii="Times New Roman" w:hAnsi="Times New Roman" w:eastAsia="宋体" w:cs="Times New Roman"/>
                      <w:bCs/>
                      <w:color w:val="0000FF"/>
                      <w:szCs w:val="21"/>
                      <w:lang w:val="en-US" w:eastAsia="zh-CN"/>
                    </w:rPr>
                    <w:t>并跟踪去向</w:t>
                  </w:r>
                  <w:r>
                    <w:rPr>
                      <w:rFonts w:hint="eastAsia" w:ascii="Times New Roman" w:hAnsi="Times New Roman" w:eastAsia="宋体" w:cs="Times New Roman"/>
                      <w:bCs/>
                      <w:color w:val="0000FF"/>
                      <w:szCs w:val="21"/>
                      <w:lang w:eastAsia="zh-CN"/>
                    </w:rPr>
                    <w:t>，</w:t>
                  </w:r>
                  <w:r>
                    <w:rPr>
                      <w:rFonts w:hint="eastAsia" w:ascii="Times New Roman" w:hAnsi="Times New Roman" w:eastAsia="宋体" w:cs="Times New Roman"/>
                      <w:bCs/>
                      <w:color w:val="0000FF"/>
                      <w:szCs w:val="21"/>
                    </w:rPr>
                    <w:t>待凹凸棒石初级加工园区污水处理厂投入</w:t>
                  </w:r>
                  <w:r>
                    <w:rPr>
                      <w:rFonts w:hint="eastAsia" w:ascii="Times New Roman" w:hAnsi="Times New Roman" w:eastAsia="宋体" w:cs="Times New Roman"/>
                      <w:bCs/>
                      <w:color w:val="0000FF"/>
                      <w:szCs w:val="21"/>
                      <w:lang w:val="en-US" w:eastAsia="zh-CN"/>
                    </w:rPr>
                    <w:t>稳定</w:t>
                  </w:r>
                  <w:r>
                    <w:rPr>
                      <w:rFonts w:hint="eastAsia" w:ascii="Times New Roman" w:hAnsi="Times New Roman" w:eastAsia="宋体" w:cs="Times New Roman"/>
                      <w:bCs/>
                      <w:color w:val="0000FF"/>
                      <w:szCs w:val="21"/>
                    </w:rPr>
                    <w:t>运行后，排入该污水处理厂进行处理</w:t>
                  </w:r>
                  <w:r>
                    <w:rPr>
                      <w:rFonts w:hint="eastAsia" w:ascii="Times New Roman" w:hAnsi="Times New Roman" w:eastAsia="宋体" w:cs="Times New Roman"/>
                      <w:color w:val="0000FF"/>
                      <w:kern w:val="0"/>
                      <w:szCs w:val="21"/>
                    </w:rPr>
                    <w:t>，</w:t>
                  </w:r>
                  <w:r>
                    <w:rPr>
                      <w:rFonts w:hint="eastAsia" w:ascii="Times New Roman" w:hAnsi="Times New Roman" w:eastAsia="宋体" w:cs="Times New Roman"/>
                      <w:kern w:val="0"/>
                      <w:szCs w:val="21"/>
                    </w:rPr>
                    <w:t>无外排生产废水</w:t>
                  </w:r>
                  <w:r>
                    <w:rPr>
                      <w:rFonts w:hint="eastAsia" w:ascii="Times New Roman" w:hAnsi="Times New Roman" w:eastAsia="宋体" w:cs="Times New Roman"/>
                      <w:szCs w:val="21"/>
                      <w:lang w:val="zh-CN"/>
                    </w:rPr>
                    <w:t>；</w:t>
                  </w:r>
                  <w:r>
                    <w:rPr>
                      <w:rFonts w:hint="eastAsia"/>
                      <w:szCs w:val="21"/>
                    </w:rPr>
                    <w:t>本</w:t>
                  </w:r>
                  <w:r>
                    <w:rPr>
                      <w:szCs w:val="21"/>
                    </w:rPr>
                    <w:t>项目运营期各类高噪声设备通过基础减</w:t>
                  </w:r>
                  <w:r>
                    <w:rPr>
                      <w:rFonts w:hint="eastAsia"/>
                      <w:szCs w:val="21"/>
                    </w:rPr>
                    <w:t>振</w:t>
                  </w:r>
                  <w:r>
                    <w:rPr>
                      <w:szCs w:val="21"/>
                    </w:rPr>
                    <w:t>、隔声</w:t>
                  </w:r>
                  <w:r>
                    <w:rPr>
                      <w:rFonts w:hint="eastAsia"/>
                      <w:szCs w:val="21"/>
                    </w:rPr>
                    <w:t>消声</w:t>
                  </w:r>
                  <w:r>
                    <w:rPr>
                      <w:szCs w:val="21"/>
                    </w:rPr>
                    <w:t>后，对外环境影响较小</w:t>
                  </w:r>
                  <w:r>
                    <w:rPr>
                      <w:rFonts w:hint="eastAsia"/>
                      <w:szCs w:val="21"/>
                    </w:rPr>
                    <w:t>；本项目</w:t>
                  </w:r>
                  <w:r>
                    <w:rPr>
                      <w:szCs w:val="21"/>
                    </w:rPr>
                    <w:t>各类固体废物均遵循减量化、无害化、综合利用的原则得到妥善处置</w:t>
                  </w:r>
                  <w:r>
                    <w:rPr>
                      <w:rFonts w:hint="eastAsia"/>
                      <w:szCs w:val="21"/>
                    </w:rPr>
                    <w:t>。</w:t>
                  </w:r>
                </w:p>
                <w:p w14:paraId="52C71377">
                  <w:pPr>
                    <w:wordWrap w:val="0"/>
                    <w:topLinePunct/>
                    <w:rPr>
                      <w:rFonts w:ascii="Times New Roman" w:hAnsi="Times New Roman" w:eastAsia="宋体" w:cs="Times New Roman"/>
                      <w:szCs w:val="21"/>
                    </w:rPr>
                  </w:pPr>
                  <w:r>
                    <w:rPr>
                      <w:rFonts w:hint="eastAsia" w:ascii="Times New Roman" w:hAnsi="Times New Roman" w:eastAsia="宋体" w:cs="Times New Roman"/>
                      <w:szCs w:val="21"/>
                    </w:rPr>
                    <w:t>本项目运营期建立完善的巡检、监控体系，切断污染途径，保障区域土壤、地下水环境安全。</w:t>
                  </w:r>
                </w:p>
                <w:p w14:paraId="3A429BC4">
                  <w:pPr>
                    <w:jc w:val="center"/>
                    <w:rPr>
                      <w:color w:val="FF0000"/>
                      <w:szCs w:val="21"/>
                    </w:rPr>
                  </w:pPr>
                </w:p>
              </w:tc>
              <w:tc>
                <w:tcPr>
                  <w:tcW w:w="689" w:type="dxa"/>
                  <w:vMerge w:val="continue"/>
                  <w:tcBorders>
                    <w:tl2br w:val="nil"/>
                    <w:tr2bl w:val="nil"/>
                  </w:tcBorders>
                  <w:vAlign w:val="center"/>
                </w:tcPr>
                <w:p w14:paraId="285E7862">
                  <w:pPr>
                    <w:adjustRightInd w:val="0"/>
                    <w:snapToGrid w:val="0"/>
                    <w:jc w:val="center"/>
                    <w:rPr>
                      <w:rFonts w:eastAsia="仿宋"/>
                      <w:bCs/>
                      <w:color w:val="FF0000"/>
                      <w:szCs w:val="21"/>
                    </w:rPr>
                  </w:pPr>
                </w:p>
              </w:tc>
            </w:tr>
            <w:tr w14:paraId="31E8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21" w:type="dxa"/>
                  <w:vMerge w:val="continue"/>
                  <w:tcBorders>
                    <w:tl2br w:val="nil"/>
                    <w:tr2bl w:val="nil"/>
                  </w:tcBorders>
                  <w:vAlign w:val="center"/>
                </w:tcPr>
                <w:p w14:paraId="0236095E">
                  <w:pPr>
                    <w:jc w:val="center"/>
                    <w:rPr>
                      <w:color w:val="FF0000"/>
                      <w:szCs w:val="21"/>
                    </w:rPr>
                  </w:pPr>
                </w:p>
              </w:tc>
              <w:tc>
                <w:tcPr>
                  <w:tcW w:w="1120" w:type="dxa"/>
                  <w:vMerge w:val="restart"/>
                  <w:tcBorders>
                    <w:tl2br w:val="nil"/>
                    <w:tr2bl w:val="nil"/>
                  </w:tcBorders>
                  <w:vAlign w:val="center"/>
                </w:tcPr>
                <w:p w14:paraId="6E12016F">
                  <w:pPr>
                    <w:jc w:val="center"/>
                    <w:rPr>
                      <w:color w:val="FF0000"/>
                      <w:szCs w:val="21"/>
                    </w:rPr>
                  </w:pPr>
                  <w:r>
                    <w:rPr>
                      <w:color w:val="000000" w:themeColor="text1"/>
                      <w:szCs w:val="21"/>
                      <w14:textFill>
                        <w14:solidFill>
                          <w14:schemeClr w14:val="tx1"/>
                        </w14:solidFill>
                      </w14:textFill>
                    </w:rPr>
                    <w:t>环境风险防控</w:t>
                  </w:r>
                </w:p>
              </w:tc>
              <w:tc>
                <w:tcPr>
                  <w:tcW w:w="1693" w:type="dxa"/>
                  <w:tcBorders>
                    <w:tl2br w:val="nil"/>
                    <w:tr2bl w:val="nil"/>
                  </w:tcBorders>
                  <w:vAlign w:val="center"/>
                </w:tcPr>
                <w:p w14:paraId="43CDF890">
                  <w:pPr>
                    <w:jc w:val="center"/>
                    <w:rPr>
                      <w:color w:val="FF0000"/>
                      <w:szCs w:val="21"/>
                    </w:rPr>
                  </w:pPr>
                  <w:r>
                    <w:rPr>
                      <w:color w:val="000000" w:themeColor="text1"/>
                      <w:szCs w:val="21"/>
                      <w14:textFill>
                        <w14:solidFill>
                          <w14:schemeClr w14:val="tx1"/>
                        </w14:solidFill>
                      </w14:textFill>
                    </w:rPr>
                    <w:t>用地环境风险防控</w:t>
                  </w:r>
                  <w:r>
                    <w:rPr>
                      <w:rFonts w:hint="eastAsia"/>
                      <w:color w:val="000000" w:themeColor="text1"/>
                      <w:szCs w:val="21"/>
                      <w14:textFill>
                        <w14:solidFill>
                          <w14:schemeClr w14:val="tx1"/>
                        </w14:solidFill>
                      </w14:textFill>
                    </w:rPr>
                    <w:t>要求</w:t>
                  </w:r>
                </w:p>
              </w:tc>
              <w:tc>
                <w:tcPr>
                  <w:tcW w:w="5014" w:type="dxa"/>
                  <w:tcBorders>
                    <w:tl2br w:val="nil"/>
                    <w:tr2bl w:val="nil"/>
                  </w:tcBorders>
                  <w:vAlign w:val="center"/>
                </w:tcPr>
                <w:p w14:paraId="4FC572D2">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 xml:space="preserve">1、严格建设用地土壤污染风险管控和修复名录内地块的准入管理。未依法完成土壤污染状况调查和风险评估的地块，不得开工建设与风险管控和修复无关的项目。土地规划用途变更为住宅、公共管理与公共服务用地、食用农产品以及食品生产加工和储存场所用地的，变更前应当依法开展土壤污染状况调查。将土壤污染重点监管单位纳入重点排污单位名录统一管理，推动开展土壤污染重点监管单位周边土壤环境监测。强化搬迁企业土壤环境质量调查评估，持续开展疑似污染地块排查。 </w:t>
                  </w:r>
                </w:p>
                <w:p w14:paraId="64D2B934">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 xml:space="preserve">2、发生突发事件造成或者可能造成土壤污染的，相关企业应当立即采取应急措施，迅速控制污染源、封锁污染区域，疏散、撤离、妥善安置有关人员，防止污染扩大或者发生次生、衍生事件，依法做好土壤污染状况监测、调查和土壤污染风险评估、风险管控、修复等工作。 </w:t>
                  </w:r>
                </w:p>
                <w:p w14:paraId="0317F4B5">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 xml:space="preserve">3、加强对严格管控类耕地的用途管理，依法划定特定农产品禁止生产区域，严禁种植食用农产品。 </w:t>
                  </w:r>
                </w:p>
                <w:p w14:paraId="49137E0C">
                  <w:pPr>
                    <w:wordWrap w:val="0"/>
                    <w:topLinePunct/>
                    <w:rPr>
                      <w:color w:val="FF0000"/>
                      <w:szCs w:val="21"/>
                    </w:rPr>
                  </w:pPr>
                  <w:r>
                    <w:rPr>
                      <w:rFonts w:ascii="Times New Roman" w:hAnsi="Times New Roman" w:eastAsia="宋体" w:cs="Times New Roman"/>
                      <w:bCs/>
                      <w:color w:val="000000" w:themeColor="text1"/>
                      <w:szCs w:val="21"/>
                      <w14:textFill>
                        <w14:solidFill>
                          <w14:schemeClr w14:val="tx1"/>
                        </w14:solidFill>
                      </w14:textFill>
                    </w:rPr>
                    <w:t>4、按照《张掖市生态环境局关于更新发布张掖市污染地块名单的通知》（2022年1月）等要求，加强全市污染地块风险管控。</w:t>
                  </w:r>
                </w:p>
              </w:tc>
              <w:tc>
                <w:tcPr>
                  <w:tcW w:w="3054" w:type="dxa"/>
                  <w:vMerge w:val="restart"/>
                  <w:tcBorders>
                    <w:tl2br w:val="nil"/>
                    <w:tr2bl w:val="nil"/>
                  </w:tcBorders>
                  <w:vAlign w:val="center"/>
                </w:tcPr>
                <w:p w14:paraId="0BD77858">
                  <w:pPr>
                    <w:jc w:val="center"/>
                    <w:rPr>
                      <w:color w:val="FF0000"/>
                      <w:szCs w:val="21"/>
                    </w:rPr>
                  </w:pPr>
                  <w:r>
                    <w:rPr>
                      <w:szCs w:val="21"/>
                    </w:rPr>
                    <w:t>项目不涉及用地环境风险防控</w:t>
                  </w:r>
                </w:p>
              </w:tc>
              <w:tc>
                <w:tcPr>
                  <w:tcW w:w="689" w:type="dxa"/>
                  <w:vMerge w:val="restart"/>
                  <w:tcBorders>
                    <w:tl2br w:val="nil"/>
                    <w:tr2bl w:val="nil"/>
                  </w:tcBorders>
                  <w:vAlign w:val="center"/>
                </w:tcPr>
                <w:p w14:paraId="64307440">
                  <w:pPr>
                    <w:adjustRightInd w:val="0"/>
                    <w:snapToGrid w:val="0"/>
                    <w:jc w:val="center"/>
                    <w:rPr>
                      <w:rFonts w:eastAsia="仿宋"/>
                      <w:bCs/>
                      <w:color w:val="FF0000"/>
                      <w:szCs w:val="21"/>
                    </w:rPr>
                  </w:pPr>
                  <w:r>
                    <w:rPr>
                      <w:rFonts w:hint="eastAsia" w:eastAsia="仿宋"/>
                      <w:bCs/>
                      <w:color w:val="000000" w:themeColor="text1"/>
                      <w:szCs w:val="21"/>
                      <w14:textFill>
                        <w14:solidFill>
                          <w14:schemeClr w14:val="tx1"/>
                        </w14:solidFill>
                      </w14:textFill>
                    </w:rPr>
                    <w:t>/</w:t>
                  </w:r>
                </w:p>
              </w:tc>
            </w:tr>
            <w:tr w14:paraId="2456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21" w:type="dxa"/>
                  <w:vMerge w:val="continue"/>
                  <w:tcBorders>
                    <w:tl2br w:val="nil"/>
                    <w:tr2bl w:val="nil"/>
                  </w:tcBorders>
                  <w:vAlign w:val="center"/>
                </w:tcPr>
                <w:p w14:paraId="44AEEDE1">
                  <w:pPr>
                    <w:jc w:val="center"/>
                    <w:rPr>
                      <w:color w:val="FF0000"/>
                      <w:szCs w:val="21"/>
                    </w:rPr>
                  </w:pPr>
                </w:p>
              </w:tc>
              <w:tc>
                <w:tcPr>
                  <w:tcW w:w="1120" w:type="dxa"/>
                  <w:vMerge w:val="continue"/>
                  <w:tcBorders>
                    <w:tl2br w:val="nil"/>
                    <w:tr2bl w:val="nil"/>
                  </w:tcBorders>
                  <w:vAlign w:val="center"/>
                </w:tcPr>
                <w:p w14:paraId="05E8A15D">
                  <w:pPr>
                    <w:jc w:val="center"/>
                    <w:rPr>
                      <w:color w:val="FF0000"/>
                      <w:szCs w:val="21"/>
                    </w:rPr>
                  </w:pPr>
                </w:p>
              </w:tc>
              <w:tc>
                <w:tcPr>
                  <w:tcW w:w="1693" w:type="dxa"/>
                  <w:tcBorders>
                    <w:tl2br w:val="nil"/>
                    <w:tr2bl w:val="nil"/>
                  </w:tcBorders>
                  <w:vAlign w:val="center"/>
                </w:tcPr>
                <w:p w14:paraId="4883315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园区环境风险</w:t>
                  </w:r>
                </w:p>
                <w:p w14:paraId="6C08DE86">
                  <w:pPr>
                    <w:jc w:val="center"/>
                    <w:rPr>
                      <w:color w:val="FF0000"/>
                      <w:szCs w:val="21"/>
                    </w:rPr>
                  </w:pPr>
                  <w:r>
                    <w:rPr>
                      <w:color w:val="000000" w:themeColor="text1"/>
                      <w:szCs w:val="21"/>
                      <w14:textFill>
                        <w14:solidFill>
                          <w14:schemeClr w14:val="tx1"/>
                        </w14:solidFill>
                      </w14:textFill>
                    </w:rPr>
                    <w:t>防控</w:t>
                  </w:r>
                </w:p>
              </w:tc>
              <w:tc>
                <w:tcPr>
                  <w:tcW w:w="5014" w:type="dxa"/>
                  <w:tcBorders>
                    <w:tl2br w:val="nil"/>
                    <w:tr2bl w:val="nil"/>
                  </w:tcBorders>
                  <w:vAlign w:val="center"/>
                </w:tcPr>
                <w:p w14:paraId="2B4DA78D">
                  <w:pPr>
                    <w:wordWrap w:val="0"/>
                    <w:topLinePunct/>
                    <w:rPr>
                      <w:color w:val="FF0000"/>
                      <w:szCs w:val="21"/>
                    </w:rPr>
                  </w:pPr>
                  <w:r>
                    <w:rPr>
                      <w:color w:val="000000" w:themeColor="text1"/>
                      <w:szCs w:val="21"/>
                      <w14:textFill>
                        <w14:solidFill>
                          <w14:schemeClr w14:val="tx1"/>
                        </w14:solidFill>
                      </w14:textFill>
                    </w:rPr>
                    <w:t>督促污染企业做好退出地块的土壤、地下水等风险防控工作；加强产业园区环境风险防控体系建设并编制应急预案，细化明确产业园区及区内企业环境风险防范责任，切实做好环境风险防范工作。</w:t>
                  </w:r>
                </w:p>
              </w:tc>
              <w:tc>
                <w:tcPr>
                  <w:tcW w:w="3054" w:type="dxa"/>
                  <w:vMerge w:val="continue"/>
                  <w:tcBorders>
                    <w:tl2br w:val="nil"/>
                    <w:tr2bl w:val="nil"/>
                  </w:tcBorders>
                  <w:vAlign w:val="center"/>
                </w:tcPr>
                <w:p w14:paraId="5D21A337">
                  <w:pPr>
                    <w:jc w:val="center"/>
                    <w:rPr>
                      <w:color w:val="FF0000"/>
                      <w:szCs w:val="21"/>
                    </w:rPr>
                  </w:pPr>
                </w:p>
              </w:tc>
              <w:tc>
                <w:tcPr>
                  <w:tcW w:w="689" w:type="dxa"/>
                  <w:vMerge w:val="continue"/>
                  <w:tcBorders>
                    <w:tl2br w:val="nil"/>
                    <w:tr2bl w:val="nil"/>
                  </w:tcBorders>
                  <w:vAlign w:val="center"/>
                </w:tcPr>
                <w:p w14:paraId="6E7F4A65">
                  <w:pPr>
                    <w:adjustRightInd w:val="0"/>
                    <w:snapToGrid w:val="0"/>
                    <w:jc w:val="center"/>
                    <w:rPr>
                      <w:rFonts w:eastAsia="仿宋"/>
                      <w:bCs/>
                      <w:color w:val="FF0000"/>
                      <w:szCs w:val="21"/>
                    </w:rPr>
                  </w:pPr>
                </w:p>
              </w:tc>
            </w:tr>
            <w:tr w14:paraId="71BDD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21" w:type="dxa"/>
                  <w:vMerge w:val="continue"/>
                  <w:tcBorders>
                    <w:tl2br w:val="nil"/>
                    <w:tr2bl w:val="nil"/>
                  </w:tcBorders>
                  <w:vAlign w:val="center"/>
                </w:tcPr>
                <w:p w14:paraId="136E1249">
                  <w:pPr>
                    <w:jc w:val="center"/>
                    <w:rPr>
                      <w:color w:val="FF0000"/>
                      <w:szCs w:val="21"/>
                    </w:rPr>
                  </w:pPr>
                </w:p>
              </w:tc>
              <w:tc>
                <w:tcPr>
                  <w:tcW w:w="1120" w:type="dxa"/>
                  <w:vMerge w:val="continue"/>
                  <w:tcBorders>
                    <w:tl2br w:val="nil"/>
                    <w:tr2bl w:val="nil"/>
                  </w:tcBorders>
                  <w:vAlign w:val="center"/>
                </w:tcPr>
                <w:p w14:paraId="00C0399D">
                  <w:pPr>
                    <w:jc w:val="center"/>
                    <w:rPr>
                      <w:color w:val="FF0000"/>
                      <w:szCs w:val="21"/>
                    </w:rPr>
                  </w:pPr>
                </w:p>
              </w:tc>
              <w:tc>
                <w:tcPr>
                  <w:tcW w:w="1693" w:type="dxa"/>
                  <w:tcBorders>
                    <w:tl2br w:val="nil"/>
                    <w:tr2bl w:val="nil"/>
                  </w:tcBorders>
                  <w:vAlign w:val="center"/>
                </w:tcPr>
                <w:p w14:paraId="696EED4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企业环境风险</w:t>
                  </w:r>
                </w:p>
                <w:p w14:paraId="5F910A24">
                  <w:pPr>
                    <w:jc w:val="center"/>
                    <w:rPr>
                      <w:color w:val="FF0000"/>
                      <w:szCs w:val="21"/>
                    </w:rPr>
                  </w:pPr>
                  <w:r>
                    <w:rPr>
                      <w:color w:val="000000" w:themeColor="text1"/>
                      <w:szCs w:val="21"/>
                      <w14:textFill>
                        <w14:solidFill>
                          <w14:schemeClr w14:val="tx1"/>
                        </w14:solidFill>
                      </w14:textFill>
                    </w:rPr>
                    <w:t>防控</w:t>
                  </w:r>
                </w:p>
              </w:tc>
              <w:tc>
                <w:tcPr>
                  <w:tcW w:w="5014" w:type="dxa"/>
                  <w:tcBorders>
                    <w:tl2br w:val="nil"/>
                    <w:tr2bl w:val="nil"/>
                  </w:tcBorders>
                  <w:vAlign w:val="center"/>
                </w:tcPr>
                <w:p w14:paraId="5A3EF479">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 xml:space="preserve">1、严格执行《关于印发甘肃省防范化解尾矿库安全风险工作实施意见的通知》（甘应急矿山〔2020〕51号）要求，自2020年起，在保证紧缺和战略性矿产矿山正常建设开发的前提下，构建尾矿库等量或减量置换机制，保证尾矿库数量原则上只减不增，不再产生新的“头顶库”。 </w:t>
                  </w:r>
                </w:p>
                <w:p w14:paraId="3C35A74A">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 xml:space="preserve">2、执行《土壤污染防治行动计划》（国发[2016]31号）、《关于加强涉重金属行业污染防控的意见》（环土壤[2018]22号）等中的环境风险防控的相关要求。3、企业应按照《中华人民共和国环境保护法》（主席令2014年第9号）、《突发环境事件应急管理办法》（环境保护部令第34号）等要求开展突发环境事件风险评估；完善突发环境事件风险防控措施；排查治理环境安全隐患；制定突发环境事件应急预案并备案、演练；加强环境应急能力保障建设。发生或者可能发生突发环境事件时，企业事业单位应当依法进行处理，并对所造成的损害承担责任。 </w:t>
                  </w:r>
                </w:p>
                <w:p w14:paraId="715F99D9">
                  <w:pPr>
                    <w:wordWrap w:val="0"/>
                    <w:topLinePunct/>
                    <w:rPr>
                      <w:color w:val="FF0000"/>
                      <w:szCs w:val="21"/>
                    </w:rPr>
                  </w:pPr>
                  <w:r>
                    <w:rPr>
                      <w:rFonts w:ascii="Times New Roman" w:hAnsi="Times New Roman" w:eastAsia="宋体" w:cs="Times New Roman"/>
                      <w:bCs/>
                      <w:color w:val="000000" w:themeColor="text1"/>
                      <w:szCs w:val="21"/>
                      <w14:textFill>
                        <w14:solidFill>
                          <w14:schemeClr w14:val="tx1"/>
                        </w14:solidFill>
                      </w14:textFill>
                    </w:rPr>
                    <w:t>4、执行《关于印发强化危险废物监管和利用处置能力改革实施方案的通知》（国办函[2021]47号）、《关于提升危险废物环境监管能力、利用处置能力和环境风险防范能力的指导意见》（环固体[2019]92号）等中的危险废物环境风险管控的相关要求。</w:t>
                  </w:r>
                </w:p>
              </w:tc>
              <w:tc>
                <w:tcPr>
                  <w:tcW w:w="3054" w:type="dxa"/>
                  <w:tcBorders>
                    <w:tl2br w:val="nil"/>
                    <w:tr2bl w:val="nil"/>
                  </w:tcBorders>
                  <w:vAlign w:val="center"/>
                </w:tcPr>
                <w:p w14:paraId="7B9DFD1C">
                  <w:pPr>
                    <w:jc w:val="center"/>
                    <w:rPr>
                      <w:color w:val="FF0000"/>
                      <w:szCs w:val="21"/>
                    </w:rPr>
                  </w:pPr>
                  <w:r>
                    <w:rPr>
                      <w:rFonts w:hint="eastAsia" w:ascii="Times New Roman" w:eastAsia="宋体"/>
                      <w:szCs w:val="21"/>
                    </w:rPr>
                    <w:t>本项目在正式投入运行前，应编制突发环境事件应急预案并报送张掖市生态环境局临泽分局备案。日常环境风险管控工作中，应加强职工培训、宣教工作，加强环境风险源巡检、排查、整改、监控，定期组织应急演练，杜绝加剧生态、环境问题的风险发生。</w:t>
                  </w:r>
                </w:p>
              </w:tc>
              <w:tc>
                <w:tcPr>
                  <w:tcW w:w="689" w:type="dxa"/>
                  <w:tcBorders>
                    <w:tl2br w:val="nil"/>
                    <w:tr2bl w:val="nil"/>
                  </w:tcBorders>
                  <w:vAlign w:val="center"/>
                </w:tcPr>
                <w:p w14:paraId="77040EEF">
                  <w:pPr>
                    <w:adjustRightInd w:val="0"/>
                    <w:snapToGrid w:val="0"/>
                    <w:jc w:val="center"/>
                    <w:rPr>
                      <w:rFonts w:eastAsia="仿宋"/>
                      <w:bCs/>
                      <w:color w:val="FF0000"/>
                      <w:szCs w:val="21"/>
                    </w:rPr>
                  </w:pPr>
                  <w:r>
                    <w:rPr>
                      <w:rFonts w:hint="eastAsia" w:ascii="Times New Roman" w:eastAsia="宋体"/>
                      <w:color w:val="000000" w:themeColor="text1"/>
                      <w:szCs w:val="21"/>
                      <w14:textFill>
                        <w14:solidFill>
                          <w14:schemeClr w14:val="tx1"/>
                        </w14:solidFill>
                      </w14:textFill>
                    </w:rPr>
                    <w:t>运营期落实要求后符合</w:t>
                  </w:r>
                </w:p>
              </w:tc>
            </w:tr>
            <w:tr w14:paraId="0FB3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1121" w:type="dxa"/>
                  <w:vMerge w:val="continue"/>
                  <w:tcBorders>
                    <w:tl2br w:val="nil"/>
                    <w:tr2bl w:val="nil"/>
                  </w:tcBorders>
                  <w:vAlign w:val="center"/>
                </w:tcPr>
                <w:p w14:paraId="1B3E2159">
                  <w:pPr>
                    <w:jc w:val="center"/>
                    <w:rPr>
                      <w:color w:val="FF0000"/>
                      <w:szCs w:val="21"/>
                    </w:rPr>
                  </w:pPr>
                </w:p>
              </w:tc>
              <w:tc>
                <w:tcPr>
                  <w:tcW w:w="1120" w:type="dxa"/>
                  <w:vMerge w:val="restart"/>
                  <w:tcBorders>
                    <w:tl2br w:val="nil"/>
                    <w:tr2bl w:val="nil"/>
                  </w:tcBorders>
                  <w:vAlign w:val="center"/>
                </w:tcPr>
                <w:p w14:paraId="39920CA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资源利用 </w:t>
                  </w:r>
                </w:p>
                <w:p w14:paraId="32FC3AC9">
                  <w:pPr>
                    <w:jc w:val="center"/>
                    <w:rPr>
                      <w:color w:val="FF0000"/>
                      <w:szCs w:val="21"/>
                    </w:rPr>
                  </w:pPr>
                  <w:r>
                    <w:rPr>
                      <w:color w:val="000000" w:themeColor="text1"/>
                      <w:szCs w:val="21"/>
                      <w14:textFill>
                        <w14:solidFill>
                          <w14:schemeClr w14:val="tx1"/>
                        </w14:solidFill>
                      </w14:textFill>
                    </w:rPr>
                    <w:t>效率要求</w:t>
                  </w:r>
                </w:p>
              </w:tc>
              <w:tc>
                <w:tcPr>
                  <w:tcW w:w="1698" w:type="dxa"/>
                  <w:tcBorders>
                    <w:tl2br w:val="nil"/>
                    <w:tr2bl w:val="nil"/>
                  </w:tcBorders>
                  <w:vAlign w:val="center"/>
                </w:tcPr>
                <w:p w14:paraId="1167FBE0">
                  <w:pPr>
                    <w:jc w:val="center"/>
                    <w:rPr>
                      <w:color w:val="FF0000"/>
                      <w:szCs w:val="21"/>
                    </w:rPr>
                  </w:pPr>
                  <w:r>
                    <w:rPr>
                      <w:rFonts w:hint="eastAsia"/>
                      <w:color w:val="000000" w:themeColor="text1"/>
                      <w:szCs w:val="21"/>
                      <w14:textFill>
                        <w14:solidFill>
                          <w14:schemeClr w14:val="tx1"/>
                        </w14:solidFill>
                      </w14:textFill>
                    </w:rPr>
                    <w:t>水资源利用效率</w:t>
                  </w:r>
                </w:p>
              </w:tc>
              <w:tc>
                <w:tcPr>
                  <w:tcW w:w="5009" w:type="dxa"/>
                  <w:tcBorders>
                    <w:tl2br w:val="nil"/>
                    <w:tr2bl w:val="nil"/>
                  </w:tcBorders>
                  <w:vAlign w:val="center"/>
                </w:tcPr>
                <w:p w14:paraId="5D368575">
                  <w:pPr>
                    <w:wordWrap w:val="0"/>
                    <w:topLinePunct/>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1、全市用水总量等水资源利用指标完成省上下达的目标。 </w:t>
                  </w:r>
                </w:p>
                <w:p w14:paraId="0FAAC57B">
                  <w:pPr>
                    <w:wordWrap w:val="0"/>
                    <w:topLinePunct/>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2、推动城镇生活污水、工业废水、农业农村污水资源化利用。加强城市再生水循环利用，在工业生产、城市绿化、道路清扫、建筑施工及生态景观等领域优先使用再生水。 </w:t>
                  </w:r>
                </w:p>
                <w:p w14:paraId="2566A958">
                  <w:pPr>
                    <w:wordWrap w:val="0"/>
                    <w:topLinePunct/>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3、落实《张掖市节约用水管理办法》相关要求。 </w:t>
                  </w:r>
                </w:p>
                <w:p w14:paraId="6E7B6E81">
                  <w:pPr>
                    <w:wordWrap w:val="0"/>
                    <w:topLinePunct/>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4、严格取水申请审批程序，新批取水许可项目严格按照区域用水总量控制指标和行业用水定额核定审批取水量。 </w:t>
                  </w:r>
                </w:p>
                <w:p w14:paraId="104B4D64">
                  <w:pPr>
                    <w:wordWrap w:val="0"/>
                    <w:topLinePunct/>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5、深入落实最严格水资源管理制度，实行水资源消耗总量和强度双控，严控高耗水行业发展。优化水资源配置，优先保障生活用水，优化生产、生活、生态用水结构。 </w:t>
                  </w:r>
                </w:p>
                <w:p w14:paraId="33E4B8FD">
                  <w:pPr>
                    <w:wordWrap w:val="0"/>
                    <w:topLinePunct/>
                    <w:rPr>
                      <w:color w:val="FF0000"/>
                      <w:szCs w:val="21"/>
                    </w:rPr>
                  </w:pPr>
                  <w:r>
                    <w:rPr>
                      <w:color w:val="000000" w:themeColor="text1"/>
                      <w:szCs w:val="21"/>
                      <w14:textFill>
                        <w14:solidFill>
                          <w14:schemeClr w14:val="tx1"/>
                        </w14:solidFill>
                      </w14:textFill>
                    </w:rPr>
                    <w:t xml:space="preserve">6、实施灌区续建配套与节水改造，推进田间工程节水改造，完善灌溉用水计量设施，提高用水效率。 </w:t>
                  </w:r>
                </w:p>
              </w:tc>
              <w:tc>
                <w:tcPr>
                  <w:tcW w:w="3054" w:type="dxa"/>
                  <w:tcBorders>
                    <w:tl2br w:val="nil"/>
                    <w:tr2bl w:val="nil"/>
                  </w:tcBorders>
                  <w:vAlign w:val="center"/>
                </w:tcPr>
                <w:p w14:paraId="68999C92">
                  <w:pPr>
                    <w:rPr>
                      <w:color w:val="FF0000"/>
                      <w:szCs w:val="21"/>
                    </w:rPr>
                  </w:pPr>
                  <w:r>
                    <w:rPr>
                      <w:rFonts w:hint="eastAsia" w:ascii="Times New Roman" w:hAnsi="Times New Roman" w:eastAsia="宋体" w:cs="Times New Roman"/>
                      <w:kern w:val="0"/>
                      <w:szCs w:val="21"/>
                    </w:rPr>
                    <w:t>本项目</w:t>
                  </w:r>
                  <w:r>
                    <w:rPr>
                      <w:rFonts w:hint="eastAsia" w:ascii="Times New Roman" w:hAnsi="Times New Roman" w:eastAsia="宋体" w:cs="Times New Roman"/>
                      <w:color w:val="0000FF"/>
                      <w:kern w:val="0"/>
                      <w:szCs w:val="21"/>
                    </w:rPr>
                    <w:t>生活污水（含食堂废水）经隔油池</w:t>
                  </w:r>
                  <w:r>
                    <w:rPr>
                      <w:rFonts w:hint="eastAsia" w:ascii="Times New Roman" w:hAnsi="Times New Roman" w:eastAsia="宋体" w:cs="Times New Roman"/>
                      <w:color w:val="0000FF"/>
                      <w:kern w:val="0"/>
                      <w:szCs w:val="21"/>
                      <w:lang w:eastAsia="zh-CN"/>
                    </w:rPr>
                    <w:t>、</w:t>
                  </w:r>
                  <w:r>
                    <w:rPr>
                      <w:rFonts w:hint="eastAsia" w:ascii="Times New Roman" w:hAnsi="Times New Roman" w:eastAsia="宋体" w:cs="Times New Roman"/>
                      <w:color w:val="0000FF"/>
                      <w:kern w:val="0"/>
                      <w:szCs w:val="21"/>
                    </w:rPr>
                    <w:t>化粪池预处理后，</w:t>
                  </w:r>
                  <w:r>
                    <w:rPr>
                      <w:rFonts w:hint="eastAsia" w:ascii="Times New Roman" w:hAnsi="Times New Roman" w:eastAsia="宋体" w:cs="Times New Roman"/>
                      <w:color w:val="0000FF"/>
                      <w:kern w:val="0"/>
                      <w:szCs w:val="21"/>
                      <w:lang w:val="en-US" w:eastAsia="zh-CN"/>
                    </w:rPr>
                    <w:t>暂</w:t>
                  </w:r>
                  <w:r>
                    <w:rPr>
                      <w:rFonts w:hint="eastAsia" w:ascii="Times New Roman" w:hAnsi="Times New Roman" w:eastAsia="宋体" w:cs="Times New Roman"/>
                      <w:color w:val="0000FF"/>
                      <w:kern w:val="0"/>
                      <w:szCs w:val="21"/>
                    </w:rPr>
                    <w:t>定期委托专业吸污车进行抽吸清运，</w:t>
                  </w:r>
                  <w:r>
                    <w:rPr>
                      <w:rFonts w:hint="eastAsia" w:ascii="Times New Roman" w:hAnsi="Times New Roman" w:eastAsia="宋体" w:cs="Times New Roman"/>
                      <w:color w:val="0000FF"/>
                      <w:kern w:val="0"/>
                      <w:szCs w:val="21"/>
                      <w:lang w:val="en-US" w:eastAsia="zh-CN"/>
                    </w:rPr>
                    <w:t>并跟踪去向</w:t>
                  </w:r>
                  <w:r>
                    <w:rPr>
                      <w:rFonts w:hint="eastAsia" w:ascii="Times New Roman" w:hAnsi="Times New Roman" w:eastAsia="宋体" w:cs="Times New Roman"/>
                      <w:color w:val="0000FF"/>
                      <w:kern w:val="0"/>
                      <w:szCs w:val="21"/>
                      <w:lang w:eastAsia="zh-CN"/>
                    </w:rPr>
                    <w:t>，</w:t>
                  </w:r>
                  <w:r>
                    <w:rPr>
                      <w:rFonts w:hint="eastAsia" w:ascii="Times New Roman" w:hAnsi="Times New Roman" w:eastAsia="宋体" w:cs="Times New Roman"/>
                      <w:color w:val="0000FF"/>
                      <w:kern w:val="0"/>
                      <w:szCs w:val="21"/>
                    </w:rPr>
                    <w:t>待凹凸棒石初级加工园区污水处理厂投入</w:t>
                  </w:r>
                  <w:r>
                    <w:rPr>
                      <w:rFonts w:hint="eastAsia" w:ascii="Times New Roman" w:hAnsi="Times New Roman" w:eastAsia="宋体" w:cs="Times New Roman"/>
                      <w:color w:val="0000FF"/>
                      <w:kern w:val="0"/>
                      <w:szCs w:val="21"/>
                      <w:lang w:val="en-US" w:eastAsia="zh-CN"/>
                    </w:rPr>
                    <w:t>稳定</w:t>
                  </w:r>
                  <w:r>
                    <w:rPr>
                      <w:rFonts w:hint="eastAsia" w:ascii="Times New Roman" w:hAnsi="Times New Roman" w:eastAsia="宋体" w:cs="Times New Roman"/>
                      <w:color w:val="0000FF"/>
                      <w:kern w:val="0"/>
                      <w:szCs w:val="21"/>
                    </w:rPr>
                    <w:t>运行后，排入该污水处理厂进行处理，</w:t>
                  </w:r>
                  <w:r>
                    <w:rPr>
                      <w:rFonts w:hint="eastAsia" w:ascii="Times New Roman" w:hAnsi="Times New Roman" w:eastAsia="宋体" w:cs="Times New Roman"/>
                      <w:kern w:val="0"/>
                      <w:szCs w:val="21"/>
                    </w:rPr>
                    <w:t>无外排生产废水</w:t>
                  </w:r>
                  <w:r>
                    <w:rPr>
                      <w:rFonts w:hint="eastAsia" w:ascii="Times New Roman" w:hAnsi="Times New Roman" w:eastAsia="宋体" w:cs="Times New Roman"/>
                      <w:szCs w:val="21"/>
                      <w:lang w:val="zh-CN"/>
                    </w:rPr>
                    <w:t>；</w:t>
                  </w:r>
                  <w:r>
                    <w:rPr>
                      <w:rFonts w:ascii="Times New Roman" w:hAnsi="Times New Roman" w:eastAsia="宋体" w:cs="Times New Roman"/>
                      <w:bCs/>
                      <w:szCs w:val="21"/>
                    </w:rPr>
                    <w:t>本项目运营过程中消耗的电能、水资源、</w:t>
                  </w:r>
                  <w:r>
                    <w:rPr>
                      <w:rFonts w:hint="eastAsia" w:ascii="Times New Roman" w:hAnsi="Times New Roman" w:eastAsia="宋体" w:cs="Times New Roman"/>
                      <w:bCs/>
                      <w:szCs w:val="21"/>
                    </w:rPr>
                    <w:t>轻质柴油</w:t>
                  </w:r>
                  <w:r>
                    <w:rPr>
                      <w:rFonts w:ascii="Times New Roman" w:hAnsi="Times New Roman" w:eastAsia="宋体" w:cs="Times New Roman"/>
                      <w:bCs/>
                      <w:szCs w:val="21"/>
                    </w:rPr>
                    <w:t>等</w:t>
                  </w:r>
                  <w:r>
                    <w:rPr>
                      <w:rFonts w:hint="eastAsia" w:ascii="Times New Roman" w:hAnsi="Times New Roman" w:eastAsia="宋体" w:cs="Times New Roman"/>
                      <w:bCs/>
                      <w:szCs w:val="21"/>
                    </w:rPr>
                    <w:t>资源能源</w:t>
                  </w:r>
                  <w:r>
                    <w:rPr>
                      <w:rFonts w:ascii="Times New Roman" w:hAnsi="Times New Roman" w:eastAsia="宋体" w:cs="Times New Roman"/>
                      <w:bCs/>
                      <w:szCs w:val="21"/>
                    </w:rPr>
                    <w:t>，不会突破区域资源利用上线的要求</w:t>
                  </w:r>
                  <w:r>
                    <w:rPr>
                      <w:rFonts w:hint="eastAsia" w:ascii="Times New Roman" w:hAnsi="Times New Roman" w:eastAsia="宋体" w:cs="Times New Roman"/>
                      <w:bCs/>
                      <w:szCs w:val="21"/>
                    </w:rPr>
                    <w:t>。</w:t>
                  </w:r>
                </w:p>
              </w:tc>
              <w:tc>
                <w:tcPr>
                  <w:tcW w:w="689" w:type="dxa"/>
                  <w:tcBorders>
                    <w:tl2br w:val="nil"/>
                    <w:tr2bl w:val="nil"/>
                  </w:tcBorders>
                  <w:vAlign w:val="center"/>
                </w:tcPr>
                <w:p w14:paraId="681884FF">
                  <w:pPr>
                    <w:adjustRightInd w:val="0"/>
                    <w:snapToGrid w:val="0"/>
                    <w:jc w:val="center"/>
                    <w:rPr>
                      <w:rFonts w:eastAsia="仿宋"/>
                      <w:bCs/>
                      <w:color w:val="FF0000"/>
                      <w:szCs w:val="21"/>
                    </w:rPr>
                  </w:pPr>
                  <w:r>
                    <w:rPr>
                      <w:rFonts w:hint="eastAsia" w:ascii="Times New Roman" w:eastAsia="宋体"/>
                      <w:color w:val="000000" w:themeColor="text1"/>
                      <w:szCs w:val="21"/>
                      <w14:textFill>
                        <w14:solidFill>
                          <w14:schemeClr w14:val="tx1"/>
                        </w14:solidFill>
                      </w14:textFill>
                    </w:rPr>
                    <w:t>符合</w:t>
                  </w:r>
                </w:p>
              </w:tc>
            </w:tr>
            <w:tr w14:paraId="7BED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2" w:hRule="atLeast"/>
              </w:trPr>
              <w:tc>
                <w:tcPr>
                  <w:tcW w:w="1121" w:type="dxa"/>
                  <w:vMerge w:val="continue"/>
                  <w:tcBorders>
                    <w:tl2br w:val="nil"/>
                    <w:tr2bl w:val="nil"/>
                  </w:tcBorders>
                  <w:vAlign w:val="center"/>
                </w:tcPr>
                <w:p w14:paraId="6662B894">
                  <w:pPr>
                    <w:jc w:val="center"/>
                    <w:rPr>
                      <w:color w:val="FF0000"/>
                      <w:szCs w:val="21"/>
                    </w:rPr>
                  </w:pPr>
                </w:p>
              </w:tc>
              <w:tc>
                <w:tcPr>
                  <w:tcW w:w="1120" w:type="dxa"/>
                  <w:vMerge w:val="continue"/>
                  <w:tcBorders>
                    <w:tl2br w:val="nil"/>
                    <w:tr2bl w:val="nil"/>
                  </w:tcBorders>
                  <w:vAlign w:val="center"/>
                </w:tcPr>
                <w:p w14:paraId="744FF781">
                  <w:pPr>
                    <w:jc w:val="center"/>
                    <w:rPr>
                      <w:color w:val="FF0000"/>
                      <w:szCs w:val="21"/>
                    </w:rPr>
                  </w:pPr>
                </w:p>
              </w:tc>
              <w:tc>
                <w:tcPr>
                  <w:tcW w:w="1698" w:type="dxa"/>
                  <w:tcBorders>
                    <w:tl2br w:val="nil"/>
                    <w:tr2bl w:val="nil"/>
                  </w:tcBorders>
                  <w:vAlign w:val="center"/>
                </w:tcPr>
                <w:p w14:paraId="3AD705BA">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xml:space="preserve">能源利用要求 </w:t>
                  </w:r>
                </w:p>
                <w:p w14:paraId="66037FC4">
                  <w:pPr>
                    <w:jc w:val="center"/>
                    <w:rPr>
                      <w:color w:val="FF0000"/>
                      <w:szCs w:val="21"/>
                    </w:rPr>
                  </w:pPr>
                  <w:r>
                    <w:rPr>
                      <w:rFonts w:hint="eastAsia"/>
                      <w:color w:val="000000" w:themeColor="text1"/>
                      <w:szCs w:val="21"/>
                      <w14:textFill>
                        <w14:solidFill>
                          <w14:schemeClr w14:val="tx1"/>
                        </w14:solidFill>
                      </w14:textFill>
                    </w:rPr>
                    <w:t>效率</w:t>
                  </w:r>
                </w:p>
              </w:tc>
              <w:tc>
                <w:tcPr>
                  <w:tcW w:w="5009" w:type="dxa"/>
                  <w:tcBorders>
                    <w:tl2br w:val="nil"/>
                    <w:tr2bl w:val="nil"/>
                  </w:tcBorders>
                  <w:vAlign w:val="center"/>
                </w:tcPr>
                <w:p w14:paraId="2F49822F">
                  <w:pPr>
                    <w:wordWrap w:val="0"/>
                    <w:topLinePunct/>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1、全市燃煤总量、煤炭消费占比、清洁能源消费占比等能源利用指标均完成省上下达目标。 </w:t>
                  </w:r>
                </w:p>
                <w:p w14:paraId="321401D8">
                  <w:pPr>
                    <w:wordWrap w:val="0"/>
                    <w:topLinePunct/>
                    <w:rPr>
                      <w:color w:val="FF0000"/>
                      <w:szCs w:val="21"/>
                    </w:rPr>
                  </w:pPr>
                  <w:r>
                    <w:rPr>
                      <w:color w:val="000000" w:themeColor="text1"/>
                      <w:szCs w:val="21"/>
                      <w14:textFill>
                        <w14:solidFill>
                          <w14:schemeClr w14:val="tx1"/>
                        </w14:solidFill>
                      </w14:textFill>
                    </w:rPr>
                    <w:t>2、强化资源总量和强度双控制度落实。整合区域管控资源，加强重点用能单位和园区能耗管理监督。统筹整合冶金、水泥、火电等高耗能企业的余热余能资源和区域用能需求，推广余热供暖和工业园区集中供暖。</w:t>
                  </w:r>
                </w:p>
              </w:tc>
              <w:tc>
                <w:tcPr>
                  <w:tcW w:w="3054" w:type="dxa"/>
                  <w:tcBorders>
                    <w:tl2br w:val="nil"/>
                    <w:tr2bl w:val="nil"/>
                  </w:tcBorders>
                  <w:vAlign w:val="center"/>
                </w:tcPr>
                <w:p w14:paraId="44977ADC">
                  <w:pPr>
                    <w:jc w:val="center"/>
                    <w:rPr>
                      <w:szCs w:val="21"/>
                    </w:rPr>
                  </w:pPr>
                  <w:r>
                    <w:rPr>
                      <w:szCs w:val="21"/>
                    </w:rPr>
                    <w:t>项目所用能源主要为电</w:t>
                  </w:r>
                  <w:r>
                    <w:rPr>
                      <w:rFonts w:hint="eastAsia"/>
                      <w:szCs w:val="21"/>
                    </w:rPr>
                    <w:t>、轻质柴油等</w:t>
                  </w:r>
                  <w:r>
                    <w:rPr>
                      <w:szCs w:val="21"/>
                    </w:rPr>
                    <w:t>，不涉及煤炭资源</w:t>
                  </w:r>
                  <w:r>
                    <w:rPr>
                      <w:rFonts w:hint="eastAsia"/>
                      <w:szCs w:val="21"/>
                    </w:rPr>
                    <w:t>。</w:t>
                  </w:r>
                </w:p>
              </w:tc>
              <w:tc>
                <w:tcPr>
                  <w:tcW w:w="689" w:type="dxa"/>
                  <w:tcBorders>
                    <w:tl2br w:val="nil"/>
                    <w:tr2bl w:val="nil"/>
                  </w:tcBorders>
                  <w:vAlign w:val="center"/>
                </w:tcPr>
                <w:p w14:paraId="02511707">
                  <w:pPr>
                    <w:adjustRightInd w:val="0"/>
                    <w:snapToGrid w:val="0"/>
                    <w:jc w:val="center"/>
                    <w:rPr>
                      <w:rFonts w:eastAsia="仿宋"/>
                      <w:bCs/>
                      <w:color w:val="FF0000"/>
                      <w:szCs w:val="21"/>
                    </w:rPr>
                  </w:pPr>
                  <w:r>
                    <w:rPr>
                      <w:rFonts w:hint="eastAsia" w:ascii="Times New Roman" w:eastAsia="宋体"/>
                      <w:color w:val="000000" w:themeColor="text1"/>
                      <w:szCs w:val="21"/>
                      <w14:textFill>
                        <w14:solidFill>
                          <w14:schemeClr w14:val="tx1"/>
                        </w14:solidFill>
                      </w14:textFill>
                    </w:rPr>
                    <w:t>符合</w:t>
                  </w:r>
                </w:p>
              </w:tc>
            </w:tr>
            <w:tr w14:paraId="09FB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1121" w:type="dxa"/>
                  <w:vMerge w:val="continue"/>
                  <w:tcBorders>
                    <w:tl2br w:val="nil"/>
                    <w:tr2bl w:val="nil"/>
                  </w:tcBorders>
                  <w:vAlign w:val="center"/>
                </w:tcPr>
                <w:p w14:paraId="51AB4691">
                  <w:pPr>
                    <w:jc w:val="center"/>
                    <w:rPr>
                      <w:color w:val="FF0000"/>
                      <w:szCs w:val="21"/>
                    </w:rPr>
                  </w:pPr>
                </w:p>
              </w:tc>
              <w:tc>
                <w:tcPr>
                  <w:tcW w:w="1120" w:type="dxa"/>
                  <w:vMerge w:val="continue"/>
                  <w:tcBorders>
                    <w:tl2br w:val="nil"/>
                    <w:tr2bl w:val="nil"/>
                  </w:tcBorders>
                  <w:vAlign w:val="center"/>
                </w:tcPr>
                <w:p w14:paraId="32BF1AF1">
                  <w:pPr>
                    <w:jc w:val="center"/>
                    <w:rPr>
                      <w:color w:val="FF0000"/>
                      <w:szCs w:val="21"/>
                    </w:rPr>
                  </w:pPr>
                </w:p>
              </w:tc>
              <w:tc>
                <w:tcPr>
                  <w:tcW w:w="1698" w:type="dxa"/>
                  <w:tcBorders>
                    <w:tl2br w:val="nil"/>
                    <w:tr2bl w:val="nil"/>
                  </w:tcBorders>
                  <w:vAlign w:val="center"/>
                </w:tcPr>
                <w:p w14:paraId="68796976">
                  <w:pPr>
                    <w:jc w:val="center"/>
                    <w:rPr>
                      <w:color w:val="FF0000"/>
                      <w:szCs w:val="21"/>
                    </w:rPr>
                  </w:pPr>
                  <w:r>
                    <w:rPr>
                      <w:rFonts w:hint="eastAsia"/>
                      <w:color w:val="000000" w:themeColor="text1"/>
                      <w:szCs w:val="21"/>
                      <w14:textFill>
                        <w14:solidFill>
                          <w14:schemeClr w14:val="tx1"/>
                        </w14:solidFill>
                      </w14:textFill>
                    </w:rPr>
                    <w:t>禁燃区要求</w:t>
                  </w:r>
                </w:p>
              </w:tc>
              <w:tc>
                <w:tcPr>
                  <w:tcW w:w="5009" w:type="dxa"/>
                  <w:tcBorders>
                    <w:tl2br w:val="nil"/>
                    <w:tr2bl w:val="nil"/>
                  </w:tcBorders>
                  <w:vAlign w:val="center"/>
                </w:tcPr>
                <w:p w14:paraId="14CFD2E0">
                  <w:pPr>
                    <w:wordWrap w:val="0"/>
                    <w:topLinePunct/>
                    <w:rPr>
                      <w:color w:val="FF0000"/>
                      <w:szCs w:val="21"/>
                    </w:rPr>
                  </w:pPr>
                  <w:r>
                    <w:rPr>
                      <w:color w:val="000000" w:themeColor="text1"/>
                      <w:szCs w:val="21"/>
                      <w14:textFill>
                        <w14:solidFill>
                          <w14:schemeClr w14:val="tx1"/>
                        </w14:solidFill>
                      </w14:textFill>
                    </w:rPr>
                    <w:t>禁燃区内禁止销售和使用高污染燃料，禁止新建、扩建燃用高污染燃料的设施。现有燃用煤炭、重油、渣油等高污染燃料的设施应当在城市人民政府规定的期限内改用清洁能源。</w:t>
                  </w:r>
                </w:p>
              </w:tc>
              <w:tc>
                <w:tcPr>
                  <w:tcW w:w="3054" w:type="dxa"/>
                  <w:tcBorders>
                    <w:tl2br w:val="nil"/>
                    <w:tr2bl w:val="nil"/>
                  </w:tcBorders>
                  <w:vAlign w:val="center"/>
                </w:tcPr>
                <w:p w14:paraId="03D98A49">
                  <w:pPr>
                    <w:jc w:val="center"/>
                    <w:rPr>
                      <w:szCs w:val="21"/>
                    </w:rPr>
                  </w:pPr>
                  <w:r>
                    <w:rPr>
                      <w:rFonts w:hint="eastAsia"/>
                      <w:szCs w:val="21"/>
                    </w:rPr>
                    <w:t>本项目不涉及</w:t>
                  </w:r>
                </w:p>
              </w:tc>
              <w:tc>
                <w:tcPr>
                  <w:tcW w:w="689" w:type="dxa"/>
                  <w:tcBorders>
                    <w:tl2br w:val="nil"/>
                    <w:tr2bl w:val="nil"/>
                  </w:tcBorders>
                  <w:vAlign w:val="center"/>
                </w:tcPr>
                <w:p w14:paraId="4B9ABAC1">
                  <w:pPr>
                    <w:adjustRightInd w:val="0"/>
                    <w:snapToGrid w:val="0"/>
                    <w:jc w:val="center"/>
                    <w:rPr>
                      <w:rFonts w:eastAsia="仿宋"/>
                      <w:bCs/>
                      <w:color w:val="FF0000"/>
                      <w:szCs w:val="21"/>
                    </w:rPr>
                  </w:pPr>
                  <w:r>
                    <w:rPr>
                      <w:rFonts w:hint="eastAsia" w:ascii="Times New Roman" w:eastAsia="宋体"/>
                      <w:color w:val="000000" w:themeColor="text1"/>
                      <w:szCs w:val="21"/>
                      <w14:textFill>
                        <w14:solidFill>
                          <w14:schemeClr w14:val="tx1"/>
                        </w14:solidFill>
                      </w14:textFill>
                    </w:rPr>
                    <w:t>/</w:t>
                  </w:r>
                </w:p>
              </w:tc>
            </w:tr>
            <w:tr w14:paraId="13BB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21" w:type="dxa"/>
                  <w:vMerge w:val="restart"/>
                  <w:tcBorders>
                    <w:tl2br w:val="nil"/>
                    <w:tr2bl w:val="nil"/>
                  </w:tcBorders>
                  <w:vAlign w:val="center"/>
                </w:tcPr>
                <w:p w14:paraId="0D86397E">
                  <w:pPr>
                    <w:jc w:val="center"/>
                    <w:rPr>
                      <w:color w:val="FF0000"/>
                      <w:szCs w:val="21"/>
                    </w:rPr>
                  </w:pPr>
                  <w:r>
                    <w:rPr>
                      <w:rFonts w:hint="eastAsia"/>
                      <w:color w:val="auto"/>
                      <w:szCs w:val="21"/>
                    </w:rPr>
                    <w:t>临泽县重点管控单元—临泽工业园区</w:t>
                  </w:r>
                </w:p>
              </w:tc>
              <w:tc>
                <w:tcPr>
                  <w:tcW w:w="1120" w:type="dxa"/>
                  <w:tcBorders>
                    <w:tl2br w:val="nil"/>
                    <w:tr2bl w:val="nil"/>
                  </w:tcBorders>
                  <w:vAlign w:val="center"/>
                </w:tcPr>
                <w:p w14:paraId="7158532A">
                  <w:pPr>
                    <w:jc w:val="center"/>
                    <w:rPr>
                      <w:color w:val="FF0000"/>
                      <w:szCs w:val="21"/>
                    </w:rPr>
                  </w:pPr>
                  <w:r>
                    <w:rPr>
                      <w:color w:val="000000" w:themeColor="text1"/>
                      <w:szCs w:val="21"/>
                      <w14:textFill>
                        <w14:solidFill>
                          <w14:schemeClr w14:val="tx1"/>
                        </w14:solidFill>
                      </w14:textFill>
                    </w:rPr>
                    <w:t>空间布局约束</w:t>
                  </w:r>
                </w:p>
              </w:tc>
              <w:tc>
                <w:tcPr>
                  <w:tcW w:w="6707" w:type="dxa"/>
                  <w:gridSpan w:val="2"/>
                  <w:tcBorders>
                    <w:tl2br w:val="nil"/>
                    <w:tr2bl w:val="nil"/>
                  </w:tcBorders>
                  <w:vAlign w:val="center"/>
                </w:tcPr>
                <w:p w14:paraId="647B5B88">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1</w:t>
                  </w:r>
                  <w:r>
                    <w:rPr>
                      <w:rFonts w:hint="eastAsia" w:ascii="Times New Roman" w:hAnsi="Times New Roman" w:eastAsia="宋体" w:cs="Times New Roman"/>
                      <w:bCs/>
                      <w:color w:val="000000" w:themeColor="text1"/>
                      <w:szCs w:val="21"/>
                      <w14:textFill>
                        <w14:solidFill>
                          <w14:schemeClr w14:val="tx1"/>
                        </w14:solidFill>
                      </w14:textFill>
                    </w:rPr>
                    <w:t>.</w:t>
                  </w:r>
                  <w:r>
                    <w:rPr>
                      <w:rFonts w:ascii="Times New Roman" w:hAnsi="Times New Roman" w:eastAsia="宋体" w:cs="Times New Roman"/>
                      <w:bCs/>
                      <w:color w:val="000000" w:themeColor="text1"/>
                      <w:szCs w:val="21"/>
                      <w14:textFill>
                        <w14:solidFill>
                          <w14:schemeClr w14:val="tx1"/>
                        </w14:solidFill>
                      </w14:textFill>
                    </w:rPr>
                    <w:t>严格执行园区规划环评及其审查意见对空间布局、选址的要求。</w:t>
                  </w:r>
                </w:p>
                <w:p w14:paraId="6B73522F">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2</w:t>
                  </w:r>
                  <w:r>
                    <w:rPr>
                      <w:rFonts w:hint="eastAsia" w:ascii="Times New Roman" w:hAnsi="Times New Roman" w:eastAsia="宋体" w:cs="Times New Roman"/>
                      <w:bCs/>
                      <w:color w:val="000000" w:themeColor="text1"/>
                      <w:szCs w:val="21"/>
                      <w14:textFill>
                        <w14:solidFill>
                          <w14:schemeClr w14:val="tx1"/>
                        </w14:solidFill>
                      </w14:textFill>
                    </w:rPr>
                    <w:t>.</w:t>
                  </w:r>
                  <w:r>
                    <w:rPr>
                      <w:rFonts w:ascii="Times New Roman" w:hAnsi="Times New Roman" w:eastAsia="宋体" w:cs="Times New Roman"/>
                      <w:bCs/>
                      <w:color w:val="000000" w:themeColor="text1"/>
                      <w:szCs w:val="21"/>
                      <w14:textFill>
                        <w14:solidFill>
                          <w14:schemeClr w14:val="tx1"/>
                        </w14:solidFill>
                      </w14:textFill>
                    </w:rPr>
                    <w:t xml:space="preserve">不得开展违反国家法律、法规、政策要求的开发建设活动。 </w:t>
                  </w:r>
                </w:p>
                <w:p w14:paraId="4224D6DA">
                  <w:pPr>
                    <w:wordWrap w:val="0"/>
                    <w:topLinePunct/>
                    <w:rPr>
                      <w:color w:val="FF0000"/>
                      <w:szCs w:val="21"/>
                    </w:rPr>
                  </w:pPr>
                  <w:r>
                    <w:rPr>
                      <w:rFonts w:ascii="Times New Roman" w:hAnsi="Times New Roman" w:eastAsia="宋体" w:cs="Times New Roman"/>
                      <w:bCs/>
                      <w:color w:val="000000" w:themeColor="text1"/>
                      <w:szCs w:val="21"/>
                      <w14:textFill>
                        <w14:solidFill>
                          <w14:schemeClr w14:val="tx1"/>
                        </w14:solidFill>
                      </w14:textFill>
                    </w:rPr>
                    <w:t>3</w:t>
                  </w:r>
                  <w:r>
                    <w:rPr>
                      <w:rFonts w:hint="eastAsia" w:ascii="Times New Roman" w:hAnsi="Times New Roman" w:eastAsia="宋体" w:cs="Times New Roman"/>
                      <w:bCs/>
                      <w:color w:val="000000" w:themeColor="text1"/>
                      <w:szCs w:val="21"/>
                      <w14:textFill>
                        <w14:solidFill>
                          <w14:schemeClr w14:val="tx1"/>
                        </w14:solidFill>
                      </w14:textFill>
                    </w:rPr>
                    <w:t>.</w:t>
                  </w:r>
                  <w:r>
                    <w:rPr>
                      <w:rFonts w:ascii="Times New Roman" w:hAnsi="Times New Roman" w:eastAsia="宋体" w:cs="Times New Roman"/>
                      <w:bCs/>
                      <w:color w:val="000000" w:themeColor="text1"/>
                      <w:szCs w:val="21"/>
                      <w14:textFill>
                        <w14:solidFill>
                          <w14:schemeClr w14:val="tx1"/>
                        </w14:solidFill>
                      </w14:textFill>
                    </w:rPr>
                    <w:t>执行《关于加强高耗能、高排放建设项目生态环境源头防控的指导意 见》（环环评〔2021〕45 号）等相关要求。</w:t>
                  </w:r>
                </w:p>
              </w:tc>
              <w:tc>
                <w:tcPr>
                  <w:tcW w:w="3054" w:type="dxa"/>
                  <w:tcBorders>
                    <w:tl2br w:val="nil"/>
                    <w:tr2bl w:val="nil"/>
                  </w:tcBorders>
                  <w:vAlign w:val="center"/>
                </w:tcPr>
                <w:p w14:paraId="1A5333C0">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本项目（一期工程）主要生产耐候性沥青混凝土</w:t>
                  </w:r>
                  <w:r>
                    <w:rPr>
                      <w:rFonts w:hint="eastAsia" w:ascii="Times New Roman" w:hAnsi="Times New Roman" w:eastAsia="宋体" w:cs="Times New Roman"/>
                      <w:bCs/>
                      <w:szCs w:val="21"/>
                      <w:lang w:val="en-US" w:eastAsia="zh-CN"/>
                    </w:rPr>
                    <w:t>及</w:t>
                  </w:r>
                  <w:r>
                    <w:rPr>
                      <w:rFonts w:hint="eastAsia" w:ascii="Times New Roman" w:hAnsi="Times New Roman" w:eastAsia="宋体" w:cs="Times New Roman"/>
                      <w:bCs/>
                      <w:color w:val="1331F5"/>
                      <w:szCs w:val="21"/>
                      <w:lang w:val="en-US" w:eastAsia="zh-CN"/>
                    </w:rPr>
                    <w:t>乳化沥青（年生产小时数50h）</w:t>
                  </w:r>
                  <w:r>
                    <w:rPr>
                      <w:rFonts w:hint="eastAsia" w:ascii="Times New Roman" w:hAnsi="Times New Roman" w:eastAsia="宋体" w:cs="Times New Roman"/>
                      <w:bCs/>
                      <w:color w:val="1331F5"/>
                      <w:szCs w:val="21"/>
                      <w:lang w:eastAsia="zh-CN"/>
                    </w:rPr>
                    <w:t>；</w:t>
                  </w:r>
                  <w:r>
                    <w:rPr>
                      <w:rFonts w:hint="eastAsia" w:ascii="Times New Roman" w:hAnsi="Times New Roman" w:eastAsia="宋体" w:cs="Times New Roman"/>
                      <w:bCs/>
                      <w:szCs w:val="21"/>
                    </w:rPr>
                    <w:t>耐候性沥青混凝土通过凹凸棒石进行改性，提升沥青混凝土的力学性能</w:t>
                  </w:r>
                  <w:r>
                    <w:rPr>
                      <w:rFonts w:hint="eastAsia" w:ascii="Times New Roman" w:hAnsi="Times New Roman" w:eastAsia="宋体" w:cs="Times New Roman"/>
                      <w:bCs/>
                      <w:szCs w:val="21"/>
                      <w:lang w:eastAsia="zh-CN"/>
                    </w:rPr>
                    <w:t>。</w:t>
                  </w:r>
                  <w:r>
                    <w:rPr>
                      <w:rFonts w:hint="eastAsia" w:ascii="Times New Roman" w:hAnsi="Times New Roman" w:eastAsia="宋体" w:cs="Times New Roman"/>
                      <w:bCs/>
                      <w:szCs w:val="21"/>
                    </w:rPr>
                    <w:t>因此，基本符合临泽工业园区(产业功能区)-凹凸棒石新材料产业园-初级加工区功能定位。</w:t>
                  </w:r>
                </w:p>
                <w:p w14:paraId="04F51C54">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根据《产业结构调整指导目录（2024年本）》，本项目不属于《产业结构调整指导目录（2024年本）》中鼓励类、限制类、淘汰类项目，鼓励类、限制类和淘汰类之外的，且符合国家有关法律、法规和政策规定的属于允许类，因此，本项目为允许类，符合国家产业政策要求。</w:t>
                  </w:r>
                </w:p>
                <w:p w14:paraId="4A4C723F">
                  <w:pPr>
                    <w:rPr>
                      <w:color w:val="FF0000"/>
                      <w:szCs w:val="21"/>
                    </w:rPr>
                  </w:pPr>
                  <w:r>
                    <w:rPr>
                      <w:rFonts w:hint="eastAsia"/>
                      <w:szCs w:val="21"/>
                    </w:rPr>
                    <w:t>本项目</w:t>
                  </w:r>
                  <w:r>
                    <w:rPr>
                      <w:rFonts w:hint="eastAsia" w:ascii="Times New Roman" w:eastAsia="宋体"/>
                      <w:szCs w:val="21"/>
                    </w:rPr>
                    <w:t>不属于“两高”项目，本项目不使用淘汰、落后的生产工艺及设备。</w:t>
                  </w:r>
                </w:p>
              </w:tc>
              <w:tc>
                <w:tcPr>
                  <w:tcW w:w="689" w:type="dxa"/>
                  <w:tcBorders>
                    <w:tl2br w:val="nil"/>
                    <w:tr2bl w:val="nil"/>
                  </w:tcBorders>
                  <w:vAlign w:val="center"/>
                </w:tcPr>
                <w:p w14:paraId="71C7A969">
                  <w:pPr>
                    <w:adjustRightInd w:val="0"/>
                    <w:snapToGrid w:val="0"/>
                    <w:jc w:val="center"/>
                    <w:rPr>
                      <w:rFonts w:eastAsia="仿宋"/>
                      <w:bCs/>
                      <w:color w:val="FF0000"/>
                      <w:kern w:val="10"/>
                      <w:szCs w:val="21"/>
                    </w:rPr>
                  </w:pPr>
                  <w:r>
                    <w:rPr>
                      <w:rFonts w:hint="eastAsia" w:ascii="Times New Roman" w:eastAsia="宋体"/>
                      <w:color w:val="000000" w:themeColor="text1"/>
                      <w:szCs w:val="21"/>
                      <w14:textFill>
                        <w14:solidFill>
                          <w14:schemeClr w14:val="tx1"/>
                        </w14:solidFill>
                      </w14:textFill>
                    </w:rPr>
                    <w:t>符合</w:t>
                  </w:r>
                </w:p>
              </w:tc>
            </w:tr>
            <w:tr w14:paraId="2DD8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21" w:type="dxa"/>
                  <w:vMerge w:val="continue"/>
                  <w:tcBorders>
                    <w:tl2br w:val="nil"/>
                    <w:tr2bl w:val="nil"/>
                  </w:tcBorders>
                  <w:vAlign w:val="center"/>
                </w:tcPr>
                <w:p w14:paraId="094C4F80">
                  <w:pPr>
                    <w:jc w:val="center"/>
                    <w:rPr>
                      <w:color w:val="FF0000"/>
                      <w:szCs w:val="21"/>
                    </w:rPr>
                  </w:pPr>
                </w:p>
              </w:tc>
              <w:tc>
                <w:tcPr>
                  <w:tcW w:w="1120" w:type="dxa"/>
                  <w:tcBorders>
                    <w:tl2br w:val="nil"/>
                    <w:tr2bl w:val="nil"/>
                  </w:tcBorders>
                  <w:vAlign w:val="center"/>
                </w:tcPr>
                <w:p w14:paraId="4F92A47C">
                  <w:pPr>
                    <w:jc w:val="center"/>
                    <w:rPr>
                      <w:color w:val="FF0000"/>
                      <w:szCs w:val="21"/>
                    </w:rPr>
                  </w:pPr>
                  <w:r>
                    <w:rPr>
                      <w:color w:val="000000" w:themeColor="text1"/>
                      <w:szCs w:val="21"/>
                      <w14:textFill>
                        <w14:solidFill>
                          <w14:schemeClr w14:val="tx1"/>
                        </w14:solidFill>
                      </w14:textFill>
                    </w:rPr>
                    <w:t>污染物排放管控</w:t>
                  </w:r>
                </w:p>
              </w:tc>
              <w:tc>
                <w:tcPr>
                  <w:tcW w:w="6707" w:type="dxa"/>
                  <w:gridSpan w:val="2"/>
                  <w:tcBorders>
                    <w:tl2br w:val="nil"/>
                    <w:tr2bl w:val="nil"/>
                  </w:tcBorders>
                  <w:vAlign w:val="center"/>
                </w:tcPr>
                <w:p w14:paraId="47BD11B9">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1.</w:t>
                  </w:r>
                  <w:r>
                    <w:rPr>
                      <w:rFonts w:ascii="Times New Roman" w:hAnsi="Times New Roman" w:eastAsia="宋体" w:cs="Times New Roman"/>
                      <w:bCs/>
                      <w:color w:val="000000" w:themeColor="text1"/>
                      <w:szCs w:val="21"/>
                      <w14:textFill>
                        <w14:solidFill>
                          <w14:schemeClr w14:val="tx1"/>
                        </w14:solidFill>
                      </w14:textFill>
                    </w:rPr>
                    <w:t>按照规划环评相关要求加强污染物排放管控，执行总量控制相关要求。</w:t>
                  </w:r>
                </w:p>
                <w:p w14:paraId="3B5DB688">
                  <w:pPr>
                    <w:wordWrap w:val="0"/>
                    <w:topLinePunct/>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2.</w:t>
                  </w:r>
                  <w:r>
                    <w:rPr>
                      <w:rFonts w:ascii="Times New Roman" w:hAnsi="Times New Roman" w:eastAsia="宋体" w:cs="Times New Roman"/>
                      <w:bCs/>
                      <w:color w:val="000000" w:themeColor="text1"/>
                      <w:szCs w:val="21"/>
                      <w14:textFill>
                        <w14:solidFill>
                          <w14:schemeClr w14:val="tx1"/>
                        </w14:solidFill>
                      </w14:textFill>
                    </w:rPr>
                    <w:t>园区污水继续依托城区生活污水处理厂进行全收集、全处理，继续加大监管力度，督促污水处理运营单位稳定运行污水处理设施和在线检测设施，保证园区污水全面稳定达标排放。</w:t>
                  </w:r>
                </w:p>
                <w:p w14:paraId="15304E75">
                  <w:pPr>
                    <w:wordWrap w:val="0"/>
                    <w:topLinePunct/>
                    <w:rPr>
                      <w:color w:val="FF0000"/>
                      <w:szCs w:val="21"/>
                    </w:rPr>
                  </w:pPr>
                  <w:r>
                    <w:rPr>
                      <w:rFonts w:hint="eastAsia" w:ascii="Times New Roman" w:hAnsi="Times New Roman" w:eastAsia="宋体" w:cs="Times New Roman"/>
                      <w:bCs/>
                      <w:color w:val="000000" w:themeColor="text1"/>
                      <w:szCs w:val="21"/>
                      <w14:textFill>
                        <w14:solidFill>
                          <w14:schemeClr w14:val="tx1"/>
                        </w14:solidFill>
                      </w14:textFill>
                    </w:rPr>
                    <w:t>3.</w:t>
                  </w:r>
                  <w:r>
                    <w:rPr>
                      <w:rFonts w:ascii="Times New Roman" w:hAnsi="Times New Roman" w:eastAsia="宋体" w:cs="Times New Roman"/>
                      <w:bCs/>
                      <w:color w:val="000000" w:themeColor="text1"/>
                      <w:szCs w:val="21"/>
                      <w14:textFill>
                        <w14:solidFill>
                          <w14:schemeClr w14:val="tx1"/>
                        </w14:solidFill>
                      </w14:textFill>
                    </w:rPr>
                    <w:t>园区应严格按照国家有关固体废物处理处置的规范和标准对各类一般工业固体废物和危险废物分类进行处理处置。产生的一般工业固废优先综合利用，不能综合利用的清运至当地生态环境部门指定地点堆存，生活垃圾进入临泽生活垃圾填埋场填埋;危险废物必须按标准建设危废临时储存站，危险废物送有资质单位统一处理，不得随意堆放。</w:t>
                  </w:r>
                </w:p>
              </w:tc>
              <w:tc>
                <w:tcPr>
                  <w:tcW w:w="3054" w:type="dxa"/>
                  <w:tcBorders>
                    <w:tl2br w:val="nil"/>
                    <w:tr2bl w:val="nil"/>
                  </w:tcBorders>
                  <w:vAlign w:val="center"/>
                </w:tcPr>
                <w:p w14:paraId="793EAA2E">
                  <w:pPr>
                    <w:rPr>
                      <w:color w:val="FF0000"/>
                      <w:szCs w:val="21"/>
                    </w:rPr>
                  </w:pPr>
                  <w:r>
                    <w:rPr>
                      <w:rFonts w:hint="eastAsia" w:ascii="Times New Roman" w:hAnsi="Times New Roman" w:eastAsia="宋体" w:cs="Times New Roman"/>
                      <w:bCs/>
                      <w:szCs w:val="21"/>
                    </w:rPr>
                    <w:t>本项目废气经采取污染防治可行技术后均可达标排放；</w:t>
                  </w:r>
                  <w:r>
                    <w:rPr>
                      <w:rFonts w:hint="eastAsia" w:ascii="Times New Roman" w:hAnsi="Times New Roman" w:eastAsia="宋体" w:cs="Times New Roman"/>
                      <w:kern w:val="0"/>
                      <w:szCs w:val="21"/>
                    </w:rPr>
                    <w:t>本项目</w:t>
                  </w:r>
                  <w:r>
                    <w:rPr>
                      <w:rFonts w:hint="eastAsia" w:ascii="Times New Roman" w:hAnsi="Times New Roman" w:eastAsia="宋体" w:cs="Times New Roman"/>
                      <w:color w:val="0000FF"/>
                      <w:kern w:val="0"/>
                      <w:szCs w:val="21"/>
                    </w:rPr>
                    <w:t>生活污水（含食堂废水）经隔油池</w:t>
                  </w:r>
                  <w:r>
                    <w:rPr>
                      <w:rFonts w:hint="eastAsia" w:ascii="Times New Roman" w:hAnsi="Times New Roman" w:eastAsia="宋体" w:cs="Times New Roman"/>
                      <w:color w:val="0000FF"/>
                      <w:kern w:val="0"/>
                      <w:szCs w:val="21"/>
                      <w:lang w:eastAsia="zh-CN"/>
                    </w:rPr>
                    <w:t>、</w:t>
                  </w:r>
                  <w:r>
                    <w:rPr>
                      <w:rFonts w:hint="eastAsia" w:ascii="Times New Roman" w:hAnsi="Times New Roman" w:eastAsia="宋体" w:cs="Times New Roman"/>
                      <w:color w:val="0000FF"/>
                      <w:kern w:val="0"/>
                      <w:szCs w:val="21"/>
                    </w:rPr>
                    <w:t>化粪池预处理后，</w:t>
                  </w:r>
                  <w:r>
                    <w:rPr>
                      <w:rFonts w:hint="eastAsia" w:ascii="Times New Roman" w:hAnsi="Times New Roman" w:eastAsia="宋体" w:cs="Times New Roman"/>
                      <w:color w:val="0000FF"/>
                      <w:kern w:val="0"/>
                      <w:szCs w:val="21"/>
                      <w:lang w:val="en-US" w:eastAsia="zh-CN"/>
                    </w:rPr>
                    <w:t>暂</w:t>
                  </w:r>
                  <w:r>
                    <w:rPr>
                      <w:rFonts w:hint="eastAsia" w:ascii="Times New Roman" w:hAnsi="Times New Roman" w:eastAsia="宋体" w:cs="Times New Roman"/>
                      <w:color w:val="0000FF"/>
                      <w:kern w:val="0"/>
                      <w:szCs w:val="21"/>
                    </w:rPr>
                    <w:t>定期委托专业吸污车进行抽吸清运，</w:t>
                  </w:r>
                  <w:r>
                    <w:rPr>
                      <w:rFonts w:hint="eastAsia" w:ascii="Times New Roman" w:hAnsi="Times New Roman" w:eastAsia="宋体" w:cs="Times New Roman"/>
                      <w:color w:val="0000FF"/>
                      <w:kern w:val="0"/>
                      <w:szCs w:val="21"/>
                      <w:lang w:val="en-US" w:eastAsia="zh-CN"/>
                    </w:rPr>
                    <w:t>并跟踪去向</w:t>
                  </w:r>
                  <w:r>
                    <w:rPr>
                      <w:rFonts w:hint="eastAsia" w:ascii="Times New Roman" w:hAnsi="Times New Roman" w:eastAsia="宋体" w:cs="Times New Roman"/>
                      <w:color w:val="0000FF"/>
                      <w:kern w:val="0"/>
                      <w:szCs w:val="21"/>
                      <w:lang w:eastAsia="zh-CN"/>
                    </w:rPr>
                    <w:t>，</w:t>
                  </w:r>
                  <w:r>
                    <w:rPr>
                      <w:rFonts w:hint="eastAsia" w:ascii="Times New Roman" w:hAnsi="Times New Roman" w:eastAsia="宋体" w:cs="Times New Roman"/>
                      <w:color w:val="0000FF"/>
                      <w:kern w:val="0"/>
                      <w:szCs w:val="21"/>
                    </w:rPr>
                    <w:t>待凹凸棒石初级加工园区污水处理厂投入</w:t>
                  </w:r>
                  <w:r>
                    <w:rPr>
                      <w:rFonts w:hint="eastAsia" w:ascii="Times New Roman" w:hAnsi="Times New Roman" w:eastAsia="宋体" w:cs="Times New Roman"/>
                      <w:color w:val="0000FF"/>
                      <w:kern w:val="0"/>
                      <w:szCs w:val="21"/>
                      <w:lang w:val="en-US" w:eastAsia="zh-CN"/>
                    </w:rPr>
                    <w:t>稳定</w:t>
                  </w:r>
                  <w:r>
                    <w:rPr>
                      <w:rFonts w:hint="eastAsia" w:ascii="Times New Roman" w:hAnsi="Times New Roman" w:eastAsia="宋体" w:cs="Times New Roman"/>
                      <w:color w:val="0000FF"/>
                      <w:kern w:val="0"/>
                      <w:szCs w:val="21"/>
                    </w:rPr>
                    <w:t>运行后，排入该污水处理厂进行处理，</w:t>
                  </w:r>
                  <w:r>
                    <w:rPr>
                      <w:rFonts w:hint="eastAsia" w:ascii="Times New Roman" w:hAnsi="Times New Roman" w:eastAsia="宋体" w:cs="Times New Roman"/>
                      <w:kern w:val="0"/>
                      <w:szCs w:val="21"/>
                    </w:rPr>
                    <w:t>无外排生产废水</w:t>
                  </w:r>
                  <w:r>
                    <w:rPr>
                      <w:rFonts w:hint="eastAsia" w:ascii="Times New Roman" w:hAnsi="Times New Roman" w:eastAsia="宋体" w:cs="Times New Roman"/>
                      <w:szCs w:val="21"/>
                      <w:lang w:val="zh-CN"/>
                    </w:rPr>
                    <w:t>；</w:t>
                  </w:r>
                  <w:r>
                    <w:rPr>
                      <w:rFonts w:hint="eastAsia"/>
                      <w:szCs w:val="21"/>
                    </w:rPr>
                    <w:t>本</w:t>
                  </w:r>
                  <w:r>
                    <w:rPr>
                      <w:szCs w:val="21"/>
                    </w:rPr>
                    <w:t>项目运营期各类高噪声设备通过基础减</w:t>
                  </w:r>
                  <w:r>
                    <w:rPr>
                      <w:rFonts w:hint="eastAsia"/>
                      <w:szCs w:val="21"/>
                    </w:rPr>
                    <w:t>振</w:t>
                  </w:r>
                  <w:r>
                    <w:rPr>
                      <w:szCs w:val="21"/>
                    </w:rPr>
                    <w:t>、隔声</w:t>
                  </w:r>
                  <w:r>
                    <w:rPr>
                      <w:rFonts w:hint="eastAsia"/>
                      <w:szCs w:val="21"/>
                    </w:rPr>
                    <w:t>消声</w:t>
                  </w:r>
                  <w:r>
                    <w:rPr>
                      <w:szCs w:val="21"/>
                    </w:rPr>
                    <w:t>后，对外环境影响较小</w:t>
                  </w:r>
                  <w:r>
                    <w:rPr>
                      <w:rFonts w:hint="eastAsia"/>
                      <w:szCs w:val="21"/>
                    </w:rPr>
                    <w:t>；本项目</w:t>
                  </w:r>
                  <w:r>
                    <w:rPr>
                      <w:szCs w:val="21"/>
                    </w:rPr>
                    <w:t>各类固体废物均遵循减量化、无害化、综合利用的原则得到妥善处置</w:t>
                  </w:r>
                  <w:r>
                    <w:rPr>
                      <w:rFonts w:hint="eastAsia"/>
                      <w:szCs w:val="21"/>
                    </w:rPr>
                    <w:t>。</w:t>
                  </w:r>
                </w:p>
              </w:tc>
              <w:tc>
                <w:tcPr>
                  <w:tcW w:w="689" w:type="dxa"/>
                  <w:tcBorders>
                    <w:tl2br w:val="nil"/>
                    <w:tr2bl w:val="nil"/>
                  </w:tcBorders>
                  <w:vAlign w:val="center"/>
                </w:tcPr>
                <w:p w14:paraId="74139215">
                  <w:pPr>
                    <w:adjustRightInd w:val="0"/>
                    <w:snapToGrid w:val="0"/>
                    <w:jc w:val="center"/>
                    <w:rPr>
                      <w:rFonts w:eastAsia="仿宋"/>
                      <w:bCs/>
                      <w:color w:val="FF0000"/>
                      <w:szCs w:val="21"/>
                    </w:rPr>
                  </w:pPr>
                  <w:r>
                    <w:rPr>
                      <w:rFonts w:hint="eastAsia" w:ascii="Times New Roman" w:eastAsia="宋体"/>
                      <w:color w:val="000000" w:themeColor="text1"/>
                      <w:szCs w:val="21"/>
                      <w14:textFill>
                        <w14:solidFill>
                          <w14:schemeClr w14:val="tx1"/>
                        </w14:solidFill>
                      </w14:textFill>
                    </w:rPr>
                    <w:t>运营期落实要求后符合</w:t>
                  </w:r>
                </w:p>
              </w:tc>
            </w:tr>
            <w:tr w14:paraId="3E6E0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1" w:type="dxa"/>
                  <w:vMerge w:val="continue"/>
                  <w:tcBorders>
                    <w:tl2br w:val="nil"/>
                    <w:tr2bl w:val="nil"/>
                  </w:tcBorders>
                  <w:vAlign w:val="center"/>
                </w:tcPr>
                <w:p w14:paraId="559F3EF1">
                  <w:pPr>
                    <w:jc w:val="center"/>
                    <w:rPr>
                      <w:color w:val="FF0000"/>
                      <w:szCs w:val="21"/>
                    </w:rPr>
                  </w:pPr>
                </w:p>
              </w:tc>
              <w:tc>
                <w:tcPr>
                  <w:tcW w:w="1120" w:type="dxa"/>
                  <w:tcBorders>
                    <w:tl2br w:val="nil"/>
                    <w:tr2bl w:val="nil"/>
                  </w:tcBorders>
                  <w:vAlign w:val="center"/>
                </w:tcPr>
                <w:p w14:paraId="593E7F90">
                  <w:pPr>
                    <w:jc w:val="center"/>
                    <w:rPr>
                      <w:color w:val="FF0000"/>
                      <w:szCs w:val="21"/>
                    </w:rPr>
                  </w:pPr>
                  <w:r>
                    <w:rPr>
                      <w:color w:val="000000" w:themeColor="text1"/>
                      <w:szCs w:val="21"/>
                      <w14:textFill>
                        <w14:solidFill>
                          <w14:schemeClr w14:val="tx1"/>
                        </w14:solidFill>
                      </w14:textFill>
                    </w:rPr>
                    <w:t>环境风险防控</w:t>
                  </w:r>
                </w:p>
              </w:tc>
              <w:tc>
                <w:tcPr>
                  <w:tcW w:w="6707" w:type="dxa"/>
                  <w:gridSpan w:val="2"/>
                  <w:tcBorders>
                    <w:tl2br w:val="nil"/>
                    <w:tr2bl w:val="nil"/>
                  </w:tcBorders>
                  <w:vAlign w:val="center"/>
                </w:tcPr>
                <w:p w14:paraId="4DB09340">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1.</w:t>
                  </w:r>
                  <w:r>
                    <w:rPr>
                      <w:rFonts w:ascii="Times New Roman" w:hAnsi="Times New Roman" w:eastAsia="宋体" w:cs="Times New Roman"/>
                      <w:bCs/>
                      <w:szCs w:val="21"/>
                    </w:rPr>
                    <w:t>加强产业园区环境风险防控体系建设并编制应急预案，细化明确产业园区及区内企业环境风险防范责任，与地方政府应急预案做好衔接联动，切实做好环境风险防范工作。</w:t>
                  </w:r>
                </w:p>
                <w:p w14:paraId="0A0DD339">
                  <w:pPr>
                    <w:wordWrap w:val="0"/>
                    <w:topLinePunct/>
                    <w:rPr>
                      <w:rFonts w:ascii="Times New Roman" w:hAnsi="Times New Roman" w:eastAsia="宋体" w:cs="Times New Roman"/>
                      <w:bCs/>
                      <w:szCs w:val="21"/>
                    </w:rPr>
                  </w:pPr>
                  <w:r>
                    <w:rPr>
                      <w:rFonts w:hint="eastAsia" w:ascii="Times New Roman" w:hAnsi="Times New Roman" w:eastAsia="宋体" w:cs="Times New Roman"/>
                      <w:bCs/>
                      <w:szCs w:val="21"/>
                    </w:rPr>
                    <w:t>2.</w:t>
                  </w:r>
                  <w:r>
                    <w:rPr>
                      <w:rFonts w:ascii="Times New Roman" w:hAnsi="Times New Roman" w:eastAsia="宋体" w:cs="Times New Roman"/>
                      <w:bCs/>
                      <w:szCs w:val="21"/>
                    </w:rPr>
                    <w:t>加强应急救援队伍装备和设施建设，储备必要的应急物资。定期开展突发环境事件应急演练，提高突发环境事件联防联控能力。</w:t>
                  </w:r>
                </w:p>
                <w:p w14:paraId="4F6CE46F">
                  <w:pPr>
                    <w:wordWrap w:val="0"/>
                    <w:topLinePunct/>
                    <w:rPr>
                      <w:szCs w:val="21"/>
                    </w:rPr>
                  </w:pPr>
                  <w:r>
                    <w:rPr>
                      <w:rFonts w:hint="eastAsia" w:ascii="Times New Roman" w:hAnsi="Times New Roman" w:eastAsia="宋体" w:cs="Times New Roman"/>
                      <w:bCs/>
                      <w:szCs w:val="21"/>
                    </w:rPr>
                    <w:t>3.</w:t>
                  </w:r>
                  <w:r>
                    <w:rPr>
                      <w:rFonts w:ascii="Times New Roman" w:hAnsi="Times New Roman" w:eastAsia="宋体" w:cs="Times New Roman"/>
                      <w:bCs/>
                      <w:szCs w:val="21"/>
                    </w:rPr>
                    <w:t>强化土壤和地下水环境风险防控，按照《关于印发强化危险废物监管和利用处置能力改革实施方案的通知》(国办函(2021)47号)《关于提升危险废物环境监管能力、利用处置能力和环境风险防范能力的指导意见》(环固体(2019)92号)等相关要求加强危险废物环境风险管控。</w:t>
                  </w:r>
                </w:p>
              </w:tc>
              <w:tc>
                <w:tcPr>
                  <w:tcW w:w="3054" w:type="dxa"/>
                  <w:tcBorders>
                    <w:tl2br w:val="nil"/>
                    <w:tr2bl w:val="nil"/>
                  </w:tcBorders>
                  <w:vAlign w:val="center"/>
                </w:tcPr>
                <w:p w14:paraId="1F844F0B">
                  <w:pPr>
                    <w:rPr>
                      <w:szCs w:val="21"/>
                    </w:rPr>
                  </w:pPr>
                  <w:r>
                    <w:rPr>
                      <w:rFonts w:hint="eastAsia" w:ascii="Times New Roman" w:eastAsia="宋体"/>
                      <w:szCs w:val="21"/>
                    </w:rPr>
                    <w:t>本项目在正式投入运行前，应编制突发环境事件应急预案并报送张掖市生态环境局临泽分局备案，</w:t>
                  </w:r>
                  <w:r>
                    <w:rPr>
                      <w:szCs w:val="21"/>
                    </w:rPr>
                    <w:t>并与园区应急预案做好衔接</w:t>
                  </w:r>
                  <w:r>
                    <w:rPr>
                      <w:rFonts w:hint="eastAsia"/>
                      <w:szCs w:val="21"/>
                    </w:rPr>
                    <w:t>、</w:t>
                  </w:r>
                  <w:r>
                    <w:rPr>
                      <w:szCs w:val="21"/>
                    </w:rPr>
                    <w:t xml:space="preserve">联动。 </w:t>
                  </w:r>
                </w:p>
                <w:p w14:paraId="31D90EDF">
                  <w:pPr>
                    <w:rPr>
                      <w:szCs w:val="21"/>
                    </w:rPr>
                  </w:pPr>
                  <w:r>
                    <w:rPr>
                      <w:rFonts w:hint="eastAsia"/>
                      <w:szCs w:val="21"/>
                    </w:rPr>
                    <w:t>建设单位按照要求</w:t>
                  </w:r>
                  <w:r>
                    <w:rPr>
                      <w:szCs w:val="21"/>
                    </w:rPr>
                    <w:t xml:space="preserve">加强应急救援队伍、装备和设施建设，储备应急物资，定期开展突发环境事件应急演练。 </w:t>
                  </w:r>
                </w:p>
                <w:p w14:paraId="6F1C4B7D">
                  <w:pPr>
                    <w:rPr>
                      <w:szCs w:val="21"/>
                    </w:rPr>
                  </w:pPr>
                  <w:r>
                    <w:rPr>
                      <w:szCs w:val="21"/>
                    </w:rPr>
                    <w:t>运营期采取</w:t>
                  </w:r>
                  <w:r>
                    <w:rPr>
                      <w:rFonts w:hint="eastAsia" w:ascii="Times New Roman" w:hAnsi="Times New Roman" w:eastAsia="宋体" w:cs="Times New Roman"/>
                      <w:szCs w:val="21"/>
                    </w:rPr>
                    <w:t>“</w:t>
                  </w:r>
                  <w:r>
                    <w:rPr>
                      <w:rFonts w:hint="eastAsia" w:ascii="Times New Roman" w:hAnsi="Times New Roman" w:cs="Times New Roman"/>
                      <w:szCs w:val="21"/>
                    </w:rPr>
                    <w:t>源头控制、分区防渗、加强巡检</w:t>
                  </w:r>
                  <w:r>
                    <w:rPr>
                      <w:rFonts w:hint="eastAsia" w:ascii="Times New Roman" w:hAnsi="Times New Roman" w:eastAsia="宋体" w:cs="Times New Roman"/>
                      <w:szCs w:val="21"/>
                    </w:rPr>
                    <w:t>”等防治措施</w:t>
                  </w:r>
                  <w:r>
                    <w:rPr>
                      <w:szCs w:val="21"/>
                    </w:rPr>
                    <w:t>，落实土壤</w:t>
                  </w:r>
                  <w:r>
                    <w:rPr>
                      <w:rFonts w:hint="eastAsia"/>
                      <w:szCs w:val="21"/>
                    </w:rPr>
                    <w:t>、</w:t>
                  </w:r>
                  <w:r>
                    <w:rPr>
                      <w:szCs w:val="21"/>
                    </w:rPr>
                    <w:t>地下水污染防治相关要求。</w:t>
                  </w:r>
                </w:p>
              </w:tc>
              <w:tc>
                <w:tcPr>
                  <w:tcW w:w="689" w:type="dxa"/>
                  <w:tcBorders>
                    <w:tl2br w:val="nil"/>
                    <w:tr2bl w:val="nil"/>
                  </w:tcBorders>
                  <w:vAlign w:val="center"/>
                </w:tcPr>
                <w:p w14:paraId="2B88E961">
                  <w:pPr>
                    <w:adjustRightInd w:val="0"/>
                    <w:snapToGrid w:val="0"/>
                    <w:jc w:val="center"/>
                    <w:rPr>
                      <w:rFonts w:eastAsia="仿宋"/>
                      <w:bCs/>
                      <w:color w:val="FF0000"/>
                      <w:szCs w:val="21"/>
                    </w:rPr>
                  </w:pPr>
                  <w:r>
                    <w:rPr>
                      <w:rFonts w:hint="eastAsia" w:ascii="Times New Roman" w:eastAsia="宋体"/>
                      <w:color w:val="000000" w:themeColor="text1"/>
                      <w:szCs w:val="21"/>
                      <w14:textFill>
                        <w14:solidFill>
                          <w14:schemeClr w14:val="tx1"/>
                        </w14:solidFill>
                      </w14:textFill>
                    </w:rPr>
                    <w:t>运营期落实要求后符合</w:t>
                  </w:r>
                </w:p>
              </w:tc>
            </w:tr>
            <w:tr w14:paraId="6DD3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121" w:type="dxa"/>
                  <w:vMerge w:val="continue"/>
                  <w:tcBorders>
                    <w:tl2br w:val="nil"/>
                    <w:tr2bl w:val="nil"/>
                  </w:tcBorders>
                  <w:vAlign w:val="center"/>
                </w:tcPr>
                <w:p w14:paraId="1E49F82A">
                  <w:pPr>
                    <w:jc w:val="center"/>
                    <w:rPr>
                      <w:color w:val="FF0000"/>
                      <w:szCs w:val="21"/>
                    </w:rPr>
                  </w:pPr>
                </w:p>
              </w:tc>
              <w:tc>
                <w:tcPr>
                  <w:tcW w:w="1120" w:type="dxa"/>
                  <w:tcBorders>
                    <w:tl2br w:val="nil"/>
                    <w:tr2bl w:val="nil"/>
                  </w:tcBorders>
                  <w:vAlign w:val="center"/>
                </w:tcPr>
                <w:p w14:paraId="16C223EC">
                  <w:pPr>
                    <w:jc w:val="center"/>
                    <w:rPr>
                      <w:color w:val="FF0000"/>
                      <w:szCs w:val="21"/>
                    </w:rPr>
                  </w:pPr>
                  <w:r>
                    <w:rPr>
                      <w:color w:val="000000" w:themeColor="text1"/>
                      <w:szCs w:val="21"/>
                      <w14:textFill>
                        <w14:solidFill>
                          <w14:schemeClr w14:val="tx1"/>
                        </w14:solidFill>
                      </w14:textFill>
                    </w:rPr>
                    <w:t>资源利用效率要求</w:t>
                  </w:r>
                </w:p>
              </w:tc>
              <w:tc>
                <w:tcPr>
                  <w:tcW w:w="6707" w:type="dxa"/>
                  <w:gridSpan w:val="2"/>
                  <w:tcBorders>
                    <w:tl2br w:val="nil"/>
                    <w:tr2bl w:val="nil"/>
                  </w:tcBorders>
                  <w:vAlign w:val="center"/>
                </w:tcPr>
                <w:p w14:paraId="30E8E535">
                  <w:pPr>
                    <w:numPr>
                      <w:ilvl w:val="0"/>
                      <w:numId w:val="2"/>
                    </w:numPr>
                    <w:wordWrap w:val="0"/>
                    <w:topLinePunct/>
                    <w:rPr>
                      <w:rFonts w:ascii="Times New Roman" w:hAnsi="Times New Roman" w:eastAsia="宋体" w:cs="Times New Roman"/>
                      <w:bCs/>
                      <w:szCs w:val="21"/>
                    </w:rPr>
                  </w:pPr>
                  <w:r>
                    <w:rPr>
                      <w:rFonts w:ascii="Times New Roman" w:hAnsi="Times New Roman" w:eastAsia="宋体" w:cs="Times New Roman"/>
                      <w:bCs/>
                      <w:szCs w:val="21"/>
                    </w:rPr>
                    <w:t>推进资源能源总量和强度“双控”，严守区域能源、水资源、土地资源等控制指标限值。</w:t>
                  </w:r>
                </w:p>
                <w:p w14:paraId="71ADFF3D">
                  <w:pPr>
                    <w:wordWrap w:val="0"/>
                    <w:topLinePunct/>
                    <w:rPr>
                      <w:color w:val="FF0000"/>
                      <w:szCs w:val="21"/>
                    </w:rPr>
                  </w:pPr>
                  <w:r>
                    <w:rPr>
                      <w:rFonts w:ascii="Times New Roman" w:hAnsi="Times New Roman" w:eastAsia="宋体" w:cs="Times New Roman"/>
                      <w:bCs/>
                      <w:szCs w:val="21"/>
                    </w:rPr>
                    <w:t>2</w:t>
                  </w:r>
                  <w:r>
                    <w:rPr>
                      <w:rFonts w:hint="eastAsia" w:ascii="Times New Roman" w:hAnsi="Times New Roman" w:eastAsia="宋体" w:cs="Times New Roman"/>
                      <w:bCs/>
                      <w:szCs w:val="21"/>
                    </w:rPr>
                    <w:t>.</w:t>
                  </w:r>
                  <w:r>
                    <w:rPr>
                      <w:rFonts w:ascii="Times New Roman" w:hAnsi="Times New Roman" w:eastAsia="宋体" w:cs="Times New Roman"/>
                      <w:bCs/>
                      <w:szCs w:val="21"/>
                    </w:rPr>
                    <w:t>提倡节约用水，提高水资源利用效率，大力推进节水型工业园区建设，实施清洁生产和循环化改造。</w:t>
                  </w:r>
                </w:p>
              </w:tc>
              <w:tc>
                <w:tcPr>
                  <w:tcW w:w="3054" w:type="dxa"/>
                  <w:tcBorders>
                    <w:tl2br w:val="nil"/>
                    <w:tr2bl w:val="nil"/>
                  </w:tcBorders>
                  <w:vAlign w:val="center"/>
                </w:tcPr>
                <w:p w14:paraId="3B25B0F6">
                  <w:pPr>
                    <w:jc w:val="center"/>
                    <w:rPr>
                      <w:color w:val="FF0000"/>
                      <w:szCs w:val="21"/>
                    </w:rPr>
                  </w:pPr>
                  <w:r>
                    <w:rPr>
                      <w:rFonts w:ascii="Times New Roman" w:hAnsi="Times New Roman" w:eastAsia="宋体" w:cs="Times New Roman"/>
                      <w:bCs/>
                      <w:szCs w:val="21"/>
                    </w:rPr>
                    <w:t>本项目运营过程中消耗的电能、水资源、</w:t>
                  </w:r>
                  <w:r>
                    <w:rPr>
                      <w:rFonts w:hint="eastAsia" w:ascii="Times New Roman" w:hAnsi="Times New Roman" w:eastAsia="宋体" w:cs="Times New Roman"/>
                      <w:bCs/>
                      <w:szCs w:val="21"/>
                    </w:rPr>
                    <w:t>轻质柴油</w:t>
                  </w:r>
                  <w:r>
                    <w:rPr>
                      <w:rFonts w:ascii="Times New Roman" w:hAnsi="Times New Roman" w:eastAsia="宋体" w:cs="Times New Roman"/>
                      <w:bCs/>
                      <w:szCs w:val="21"/>
                    </w:rPr>
                    <w:t>等</w:t>
                  </w:r>
                  <w:r>
                    <w:rPr>
                      <w:rFonts w:hint="eastAsia" w:ascii="Times New Roman" w:hAnsi="Times New Roman" w:eastAsia="宋体" w:cs="Times New Roman"/>
                      <w:bCs/>
                      <w:szCs w:val="21"/>
                    </w:rPr>
                    <w:t>资源能源</w:t>
                  </w:r>
                  <w:r>
                    <w:rPr>
                      <w:rFonts w:ascii="Times New Roman" w:hAnsi="Times New Roman" w:eastAsia="宋体" w:cs="Times New Roman"/>
                      <w:bCs/>
                      <w:szCs w:val="21"/>
                    </w:rPr>
                    <w:t>，不会突破区域资源利用上线的要求</w:t>
                  </w:r>
                  <w:r>
                    <w:rPr>
                      <w:rFonts w:hint="eastAsia" w:ascii="Times New Roman" w:hAnsi="Times New Roman" w:eastAsia="宋体" w:cs="Times New Roman"/>
                      <w:bCs/>
                      <w:szCs w:val="21"/>
                    </w:rPr>
                    <w:t>。</w:t>
                  </w:r>
                </w:p>
              </w:tc>
              <w:tc>
                <w:tcPr>
                  <w:tcW w:w="689" w:type="dxa"/>
                  <w:tcBorders>
                    <w:tl2br w:val="nil"/>
                    <w:tr2bl w:val="nil"/>
                  </w:tcBorders>
                  <w:vAlign w:val="center"/>
                </w:tcPr>
                <w:p w14:paraId="30029320">
                  <w:pPr>
                    <w:adjustRightInd w:val="0"/>
                    <w:snapToGrid w:val="0"/>
                    <w:jc w:val="center"/>
                    <w:rPr>
                      <w:rFonts w:eastAsia="仿宋"/>
                      <w:bCs/>
                      <w:color w:val="FF0000"/>
                      <w:szCs w:val="21"/>
                    </w:rPr>
                  </w:pPr>
                  <w:r>
                    <w:rPr>
                      <w:rFonts w:hint="eastAsia" w:ascii="Times New Roman" w:eastAsia="宋体"/>
                      <w:color w:val="000000" w:themeColor="text1"/>
                      <w:szCs w:val="21"/>
                      <w14:textFill>
                        <w14:solidFill>
                          <w14:schemeClr w14:val="tx1"/>
                        </w14:solidFill>
                      </w14:textFill>
                    </w:rPr>
                    <w:t>符合</w:t>
                  </w:r>
                </w:p>
              </w:tc>
            </w:tr>
          </w:tbl>
          <w:p w14:paraId="55301BCA">
            <w:pPr>
              <w:spacing w:line="360" w:lineRule="auto"/>
              <w:rPr>
                <w:sz w:val="24"/>
              </w:rPr>
            </w:pPr>
          </w:p>
          <w:p w14:paraId="31A6F15F">
            <w:pPr>
              <w:spacing w:line="360" w:lineRule="auto"/>
              <w:rPr>
                <w:sz w:val="24"/>
              </w:rPr>
            </w:pPr>
          </w:p>
          <w:p w14:paraId="6C868CF2">
            <w:pPr>
              <w:spacing w:line="360" w:lineRule="auto"/>
              <w:rPr>
                <w:sz w:val="24"/>
              </w:rPr>
            </w:pPr>
          </w:p>
          <w:p w14:paraId="00DA0C0A">
            <w:pPr>
              <w:spacing w:line="360" w:lineRule="auto"/>
              <w:rPr>
                <w:sz w:val="24"/>
              </w:rPr>
            </w:pPr>
          </w:p>
          <w:p w14:paraId="480C934E">
            <w:pPr>
              <w:spacing w:line="360" w:lineRule="auto"/>
              <w:rPr>
                <w:sz w:val="24"/>
              </w:rPr>
            </w:pPr>
          </w:p>
          <w:p w14:paraId="7A1793B5">
            <w:pPr>
              <w:spacing w:line="360" w:lineRule="auto"/>
              <w:rPr>
                <w:sz w:val="24"/>
              </w:rPr>
            </w:pPr>
          </w:p>
        </w:tc>
      </w:tr>
    </w:tbl>
    <w:p w14:paraId="5DB03F07">
      <w:pPr>
        <w:pStyle w:val="2"/>
        <w:ind w:firstLine="600"/>
        <w:sectPr>
          <w:pgSz w:w="16838" w:h="11906" w:orient="landscape"/>
          <w:pgMar w:top="1531" w:right="1702" w:bottom="1531" w:left="1702" w:header="851" w:footer="1417" w:gutter="0"/>
          <w:pgNumType w:fmt="decimal"/>
          <w:cols w:space="425" w:num="1"/>
          <w:docGrid w:type="lines" w:linePitch="312" w:charSpace="0"/>
        </w:sectPr>
      </w:pPr>
    </w:p>
    <w:p w14:paraId="4D6ECB2E">
      <w:pPr>
        <w:pStyle w:val="25"/>
        <w:spacing w:beforeAutospacing="0" w:afterAutospacing="0"/>
        <w:ind w:firstLine="600"/>
        <w:jc w:val="center"/>
        <w:outlineLvl w:val="0"/>
        <w:rPr>
          <w:rFonts w:hint="default" w:ascii="黑体" w:eastAsia="黑体" w:cs="黑体"/>
          <w:sz w:val="30"/>
          <w:szCs w:val="30"/>
        </w:rPr>
      </w:pPr>
      <w:r>
        <w:rPr>
          <w:rFonts w:ascii="黑体" w:eastAsia="黑体" w:cs="黑体"/>
          <w:snapToGrid w:val="0"/>
          <w:sz w:val="30"/>
          <w:szCs w:val="30"/>
        </w:rPr>
        <w:t>二、建设项目工程分析</w:t>
      </w:r>
    </w:p>
    <w:tbl>
      <w:tblPr>
        <w:tblStyle w:val="28"/>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23"/>
        <w:gridCol w:w="8102"/>
      </w:tblGrid>
      <w:tr w14:paraId="7D987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248" w:type="pct"/>
            <w:tcBorders>
              <w:tl2br w:val="nil"/>
              <w:tr2bl w:val="nil"/>
            </w:tcBorders>
            <w:vAlign w:val="center"/>
          </w:tcPr>
          <w:p w14:paraId="2E75832C">
            <w:pPr>
              <w:pStyle w:val="25"/>
              <w:adjustRightInd w:val="0"/>
              <w:snapToGrid w:val="0"/>
              <w:spacing w:beforeAutospacing="0" w:afterAutospacing="0"/>
              <w:ind w:firstLine="482"/>
              <w:jc w:val="center"/>
              <w:rPr>
                <w:rFonts w:cs="宋体"/>
                <w:b/>
                <w:bCs/>
                <w:szCs w:val="24"/>
              </w:rPr>
            </w:pPr>
            <w:r>
              <w:rPr>
                <w:rFonts w:cs="宋体"/>
                <w:b/>
                <w:bCs/>
                <w:szCs w:val="24"/>
              </w:rPr>
              <w:t>建建设内容</w:t>
            </w:r>
          </w:p>
        </w:tc>
        <w:tc>
          <w:tcPr>
            <w:tcW w:w="4751" w:type="pct"/>
            <w:tcBorders>
              <w:tl2br w:val="nil"/>
              <w:tr2bl w:val="nil"/>
            </w:tcBorders>
          </w:tcPr>
          <w:p w14:paraId="6D35F231">
            <w:pPr>
              <w:spacing w:line="360" w:lineRule="auto"/>
              <w:rPr>
                <w:rFonts w:ascii="Times New Roman" w:hAnsi="Times New Roman" w:eastAsia="宋体" w:cs="Times New Roman"/>
                <w:b/>
                <w:bCs/>
                <w:sz w:val="24"/>
                <w:shd w:val="clear" w:color="auto" w:fill="FFFFFF"/>
              </w:rPr>
            </w:pPr>
            <w:r>
              <w:rPr>
                <w:rFonts w:hint="eastAsia" w:ascii="Times New Roman" w:hAnsi="Times New Roman" w:eastAsia="宋体" w:cs="Times New Roman"/>
                <w:b/>
                <w:bCs/>
                <w:sz w:val="24"/>
                <w:shd w:val="clear" w:color="auto" w:fill="FFFFFF"/>
              </w:rPr>
              <w:t>1项目由来</w:t>
            </w:r>
          </w:p>
          <w:p w14:paraId="6F10AE69">
            <w:pPr>
              <w:spacing w:line="360" w:lineRule="auto"/>
              <w:ind w:firstLine="480" w:firstLineChars="200"/>
              <w:rPr>
                <w:rFonts w:hint="default" w:ascii="Times New Roman" w:hAnsi="Times New Roman" w:eastAsia="宋体" w:cs="Times New Roman"/>
                <w:bCs/>
                <w:color w:val="1331F5"/>
                <w:sz w:val="24"/>
                <w:shd w:val="clear" w:color="auto" w:fill="FFFFFF"/>
                <w:lang w:val="en-US" w:eastAsia="zh-CN"/>
              </w:rPr>
            </w:pPr>
            <w:r>
              <w:rPr>
                <w:rFonts w:hint="eastAsia" w:ascii="Times New Roman" w:hAnsi="Times New Roman" w:eastAsia="宋体" w:cs="Times New Roman"/>
                <w:bCs/>
                <w:color w:val="1331F5"/>
                <w:sz w:val="24"/>
                <w:shd w:val="clear" w:color="auto" w:fill="FFFFFF"/>
                <w:lang w:val="en-US" w:eastAsia="zh-CN"/>
              </w:rPr>
              <w:t>张掖市生态环境局于2026年7月28日对</w:t>
            </w:r>
            <w:r>
              <w:rPr>
                <w:rFonts w:ascii="Times New Roman" w:hAnsi="Times New Roman" w:eastAsia="宋体" w:cs="Times New Roman"/>
                <w:color w:val="1331F5"/>
                <w:kern w:val="0"/>
                <w:sz w:val="24"/>
              </w:rPr>
              <w:t>甘肃聚联新型材料有限公司</w:t>
            </w:r>
            <w:r>
              <w:rPr>
                <w:rFonts w:hint="eastAsia" w:ascii="Times New Roman" w:hAnsi="Times New Roman" w:eastAsia="宋体" w:cs="Times New Roman"/>
                <w:color w:val="1331F5"/>
                <w:kern w:val="0"/>
                <w:sz w:val="24"/>
                <w:lang w:eastAsia="zh-CN"/>
              </w:rPr>
              <w:t>（</w:t>
            </w:r>
            <w:r>
              <w:rPr>
                <w:rFonts w:hint="eastAsia" w:ascii="Times New Roman" w:hAnsi="Times New Roman" w:eastAsia="宋体" w:cs="Times New Roman"/>
                <w:color w:val="1331F5"/>
                <w:kern w:val="0"/>
                <w:sz w:val="24"/>
                <w:lang w:val="en-US" w:eastAsia="zh-CN"/>
              </w:rPr>
              <w:t>即本项目主体建设单位</w:t>
            </w:r>
            <w:r>
              <w:rPr>
                <w:rFonts w:hint="eastAsia" w:ascii="Times New Roman" w:hAnsi="Times New Roman" w:eastAsia="宋体" w:cs="Times New Roman"/>
                <w:color w:val="1331F5"/>
                <w:kern w:val="0"/>
                <w:sz w:val="24"/>
                <w:lang w:eastAsia="zh-CN"/>
              </w:rPr>
              <w:t>）</w:t>
            </w:r>
            <w:r>
              <w:rPr>
                <w:rFonts w:hint="eastAsia" w:ascii="Times New Roman" w:hAnsi="Times New Roman" w:eastAsia="宋体" w:cs="Times New Roman"/>
                <w:color w:val="1331F5"/>
                <w:kern w:val="0"/>
                <w:sz w:val="24"/>
                <w:lang w:val="en-US" w:eastAsia="zh-CN"/>
              </w:rPr>
              <w:t>进行了调查，发现</w:t>
            </w:r>
            <w:r>
              <w:rPr>
                <w:rFonts w:ascii="Times New Roman" w:hAnsi="Times New Roman" w:eastAsia="宋体" w:cs="Times New Roman"/>
                <w:color w:val="1331F5"/>
                <w:kern w:val="0"/>
                <w:sz w:val="24"/>
              </w:rPr>
              <w:t>甘肃聚联新型材料有限公司</w:t>
            </w:r>
            <w:r>
              <w:rPr>
                <w:rFonts w:hint="eastAsia" w:ascii="Times New Roman" w:hAnsi="Times New Roman" w:eastAsia="宋体" w:cs="Times New Roman"/>
                <w:color w:val="1331F5"/>
                <w:kern w:val="0"/>
                <w:sz w:val="24"/>
                <w:lang w:val="en-US" w:eastAsia="zh-CN"/>
              </w:rPr>
              <w:t>1条耐候性沥青混凝土生产线和1条乳化沥青生产线未经生态环境保护主管部门审批擅自建成（即未批先建）。张掖市生态环境局依据《中华人民共和国行政处罚法》第三十三条第一款“违法行为轻微并及时改正的，不予行政处罚。初次违法且危害后果轻微并及时改正的，可以不予行政处罚”的规定</w:t>
            </w:r>
            <w:r>
              <w:rPr>
                <w:rFonts w:hint="eastAsia" w:ascii="Times New Roman" w:hAnsi="Times New Roman" w:eastAsia="宋体" w:cs="Times New Roman"/>
                <w:bCs/>
                <w:color w:val="1331F5"/>
                <w:sz w:val="24"/>
                <w:shd w:val="clear" w:color="auto" w:fill="FFFFFF"/>
                <w:lang w:val="en-US" w:eastAsia="zh-CN"/>
              </w:rPr>
              <w:t>，参照《甘肃省生态环境领域“两清一免一重”清单（2025年版）》，</w:t>
            </w:r>
            <w:r>
              <w:rPr>
                <w:rFonts w:ascii="Times New Roman" w:hAnsi="Times New Roman" w:eastAsia="宋体" w:cs="Times New Roman"/>
                <w:color w:val="1331F5"/>
                <w:kern w:val="0"/>
                <w:sz w:val="24"/>
              </w:rPr>
              <w:t>甘肃聚联新型材料有限公司</w:t>
            </w:r>
            <w:r>
              <w:rPr>
                <w:rFonts w:hint="eastAsia" w:ascii="Times New Roman" w:hAnsi="Times New Roman" w:eastAsia="宋体" w:cs="Times New Roman"/>
                <w:color w:val="1331F5"/>
                <w:kern w:val="0"/>
                <w:sz w:val="24"/>
                <w:lang w:eastAsia="zh-CN"/>
              </w:rPr>
              <w:t>（</w:t>
            </w:r>
            <w:r>
              <w:rPr>
                <w:rFonts w:hint="eastAsia" w:ascii="Times New Roman" w:hAnsi="Times New Roman" w:eastAsia="宋体" w:cs="Times New Roman"/>
                <w:color w:val="1331F5"/>
                <w:kern w:val="0"/>
                <w:sz w:val="24"/>
                <w:lang w:val="en-US" w:eastAsia="zh-CN"/>
              </w:rPr>
              <w:t>未批先建行为</w:t>
            </w:r>
            <w:r>
              <w:rPr>
                <w:rFonts w:hint="eastAsia" w:ascii="Times New Roman" w:hAnsi="Times New Roman" w:eastAsia="宋体" w:cs="Times New Roman"/>
                <w:color w:val="1331F5"/>
                <w:kern w:val="0"/>
                <w:sz w:val="24"/>
                <w:lang w:eastAsia="zh-CN"/>
              </w:rPr>
              <w:t>）</w:t>
            </w:r>
            <w:r>
              <w:rPr>
                <w:rFonts w:hint="eastAsia" w:ascii="Times New Roman" w:hAnsi="Times New Roman" w:eastAsia="宋体" w:cs="Times New Roman"/>
                <w:color w:val="1331F5"/>
                <w:kern w:val="0"/>
                <w:sz w:val="24"/>
                <w:lang w:val="en-US" w:eastAsia="zh-CN"/>
              </w:rPr>
              <w:t>属于违法行为轻微并及时改正，没有造成危害后果，张掖市生态环境局决定不予处罚。 2026年8月12日，张掖市生态环境局出具了《张掖市生态环境局不予行政处罚决定书》（张环（临）不罚【2026】4号）（详见附件9）。</w:t>
            </w:r>
          </w:p>
          <w:p w14:paraId="49993F61">
            <w:pPr>
              <w:spacing w:line="360" w:lineRule="auto"/>
              <w:ind w:firstLine="480" w:firstLineChars="200"/>
              <w:rPr>
                <w:rFonts w:ascii="Times New Roman" w:hAnsi="Times New Roman" w:eastAsia="宋体" w:cs="Times New Roman"/>
                <w:bCs/>
                <w:color w:val="1331F5"/>
                <w:sz w:val="24"/>
                <w:shd w:val="clear" w:color="auto" w:fill="FFFFFF"/>
              </w:rPr>
            </w:pPr>
            <w:r>
              <w:rPr>
                <w:rFonts w:hint="eastAsia" w:ascii="Times New Roman" w:hAnsi="Times New Roman" w:eastAsia="宋体" w:cs="Times New Roman"/>
                <w:bCs/>
                <w:color w:val="1331F5"/>
                <w:sz w:val="24"/>
                <w:shd w:val="clear" w:color="auto" w:fill="FFFFFF"/>
                <w:lang w:val="en-US" w:eastAsia="zh-CN"/>
              </w:rPr>
              <w:t>甘肃聚联新型材料有限公司已深刻认识到建设项目依法履行环境影响评价制度的重要性，为进一步强化主体责任意识，已停止相关建设，并积极按照生态环境保护法律法规要求完善环评报批手续。在此背景下，</w:t>
            </w:r>
            <w:r>
              <w:rPr>
                <w:rFonts w:hint="eastAsia" w:ascii="Times New Roman" w:hAnsi="Times New Roman" w:eastAsia="宋体" w:cs="Times New Roman"/>
                <w:bCs/>
                <w:color w:val="1331F5"/>
                <w:sz w:val="24"/>
                <w:shd w:val="clear" w:color="auto" w:fill="FFFFFF"/>
              </w:rPr>
              <w:t>甘肃聚联新型材料有限公司委托我单位承担该项目的环境影响评价工作（委托书详见附件1），根据《建设项目环境影响评价分类管理名录（2021年版）》，本项目应编制环境影响评价报告表。在接受委托后，我单位组织有关技术人员对该项目进行了现场踏勘，收集了所需资料，结合项目</w:t>
            </w:r>
            <w:r>
              <w:rPr>
                <w:rFonts w:hint="eastAsia" w:ascii="Times New Roman" w:hAnsi="Times New Roman" w:eastAsia="宋体" w:cs="Times New Roman"/>
                <w:bCs/>
                <w:color w:val="1331F5"/>
                <w:sz w:val="24"/>
                <w:shd w:val="clear" w:color="auto" w:fill="FFFFFF"/>
                <w:lang w:val="en-US" w:eastAsia="zh-CN"/>
              </w:rPr>
              <w:t>已建工程情况、</w:t>
            </w:r>
            <w:r>
              <w:rPr>
                <w:rFonts w:hint="eastAsia" w:ascii="Times New Roman" w:hAnsi="Times New Roman" w:eastAsia="宋体" w:cs="Times New Roman"/>
                <w:bCs/>
                <w:color w:val="1331F5"/>
                <w:sz w:val="24"/>
                <w:shd w:val="clear" w:color="auto" w:fill="FFFFFF"/>
              </w:rPr>
              <w:t>周边环境情况及项目特点，编制完成了《甘肃聚联新型材料有限公司凹凸棒石基新型低碳功能性建筑材料综合开发项目</w:t>
            </w:r>
            <w:r>
              <w:rPr>
                <w:rFonts w:hint="eastAsia" w:ascii="Times New Roman" w:hAnsi="Times New Roman" w:eastAsia="宋体" w:cs="Times New Roman"/>
                <w:bCs/>
                <w:color w:val="1331F5"/>
                <w:sz w:val="24"/>
                <w:shd w:val="clear" w:color="auto" w:fill="FFFFFF"/>
                <w:lang w:eastAsia="zh-CN"/>
              </w:rPr>
              <w:t>（</w:t>
            </w:r>
            <w:r>
              <w:rPr>
                <w:rFonts w:hint="eastAsia" w:ascii="Times New Roman" w:hAnsi="Times New Roman" w:eastAsia="宋体" w:cs="Times New Roman"/>
                <w:bCs/>
                <w:color w:val="1331F5"/>
                <w:sz w:val="24"/>
                <w:shd w:val="clear" w:color="auto" w:fill="FFFFFF"/>
                <w:lang w:val="en-US" w:eastAsia="zh-CN"/>
              </w:rPr>
              <w:t>一期工程</w:t>
            </w:r>
            <w:r>
              <w:rPr>
                <w:rFonts w:hint="eastAsia" w:ascii="Times New Roman" w:hAnsi="Times New Roman" w:eastAsia="宋体" w:cs="Times New Roman"/>
                <w:bCs/>
                <w:color w:val="1331F5"/>
                <w:sz w:val="24"/>
                <w:shd w:val="clear" w:color="auto" w:fill="FFFFFF"/>
                <w:lang w:eastAsia="zh-CN"/>
              </w:rPr>
              <w:t>）</w:t>
            </w:r>
            <w:r>
              <w:rPr>
                <w:rFonts w:hint="eastAsia" w:ascii="Times New Roman" w:hAnsi="Times New Roman" w:eastAsia="宋体" w:cs="Times New Roman"/>
                <w:bCs/>
                <w:color w:val="1331F5"/>
                <w:sz w:val="24"/>
                <w:shd w:val="clear" w:color="auto" w:fill="FFFFFF"/>
              </w:rPr>
              <w:t>环境影响报告表》，为工程设计和环境科学管理提供依据。</w:t>
            </w:r>
          </w:p>
          <w:p w14:paraId="17215690">
            <w:pPr>
              <w:spacing w:line="360" w:lineRule="auto"/>
              <w:rPr>
                <w:rFonts w:ascii="Times New Roman" w:hAnsi="Times New Roman" w:eastAsia="宋体" w:cs="Times New Roman"/>
                <w:b/>
                <w:bCs/>
                <w:sz w:val="24"/>
                <w:shd w:val="clear" w:color="auto" w:fill="FFFFFF"/>
              </w:rPr>
            </w:pPr>
            <w:r>
              <w:rPr>
                <w:rFonts w:hint="eastAsia" w:ascii="Times New Roman" w:hAnsi="Times New Roman" w:eastAsia="宋体" w:cs="Times New Roman"/>
                <w:b/>
                <w:bCs/>
                <w:sz w:val="24"/>
                <w:shd w:val="clear" w:color="auto" w:fill="FFFFFF"/>
              </w:rPr>
              <w:t>2项目内容及规模</w:t>
            </w:r>
          </w:p>
          <w:p w14:paraId="7502A27C">
            <w:pPr>
              <w:spacing w:line="360" w:lineRule="auto"/>
              <w:ind w:firstLine="482" w:firstLineChars="200"/>
              <w:rPr>
                <w:rFonts w:ascii="Times New Roman" w:hAnsi="Times New Roman" w:eastAsia="宋体" w:cs="Times New Roman"/>
                <w:b/>
                <w:bCs/>
                <w:sz w:val="24"/>
                <w:shd w:val="clear" w:color="auto" w:fill="FFFFFF"/>
              </w:rPr>
            </w:pPr>
            <w:r>
              <w:rPr>
                <w:rFonts w:ascii="Times New Roman" w:hAnsi="Times New Roman" w:eastAsia="宋体" w:cs="Times New Roman"/>
                <w:b/>
                <w:bCs/>
                <w:sz w:val="24"/>
                <w:shd w:val="clear" w:color="auto" w:fill="FFFFFF"/>
              </w:rPr>
              <w:t>2.1</w:t>
            </w:r>
            <w:r>
              <w:rPr>
                <w:rFonts w:hint="eastAsia" w:ascii="Times New Roman" w:hAnsi="Times New Roman" w:eastAsia="宋体" w:cs="Times New Roman"/>
                <w:b/>
                <w:bCs/>
                <w:sz w:val="24"/>
                <w:shd w:val="clear" w:color="auto" w:fill="FFFFFF"/>
              </w:rPr>
              <w:t>项目概况</w:t>
            </w:r>
          </w:p>
          <w:p w14:paraId="01205687">
            <w:pPr>
              <w:spacing w:line="360" w:lineRule="auto"/>
              <w:ind w:firstLine="480" w:firstLineChars="200"/>
              <w:rPr>
                <w:rFonts w:ascii="Times New Roman" w:hAnsi="Times New Roman" w:eastAsia="宋体" w:cs="Times New Roman"/>
                <w:bCs/>
                <w:sz w:val="24"/>
                <w:shd w:val="clear" w:color="auto" w:fill="FFFFFF"/>
              </w:rPr>
            </w:pPr>
            <w:r>
              <w:rPr>
                <w:rFonts w:hint="eastAsia" w:ascii="Times New Roman" w:hAnsi="Times New Roman" w:eastAsia="宋体" w:cs="Times New Roman"/>
                <w:bCs/>
                <w:sz w:val="24"/>
                <w:shd w:val="clear" w:color="auto" w:fill="FFFFFF"/>
              </w:rPr>
              <w:t>(1)项目名称：</w:t>
            </w:r>
            <w:r>
              <w:rPr>
                <w:rFonts w:hint="eastAsia" w:ascii="Times New Roman" w:hAnsi="Times New Roman" w:eastAsia="宋体" w:cs="Times New Roman"/>
                <w:kern w:val="0"/>
                <w:sz w:val="24"/>
              </w:rPr>
              <w:t>甘肃聚联新型材料有限公司凹凸棒石基新型低碳功能性建筑材料综合开发项目</w:t>
            </w:r>
            <w:r>
              <w:rPr>
                <w:rFonts w:hint="eastAsia" w:ascii="Times New Roman" w:hAnsi="Times New Roman" w:eastAsia="宋体" w:cs="Times New Roman"/>
                <w:kern w:val="0"/>
                <w:sz w:val="24"/>
                <w:lang w:eastAsia="zh-CN"/>
              </w:rPr>
              <w:t>（</w:t>
            </w:r>
            <w:r>
              <w:rPr>
                <w:rFonts w:hint="eastAsia" w:ascii="Times New Roman" w:hAnsi="Times New Roman" w:eastAsia="宋体" w:cs="Times New Roman"/>
                <w:kern w:val="0"/>
                <w:sz w:val="24"/>
                <w:lang w:val="en-US" w:eastAsia="zh-CN"/>
              </w:rPr>
              <w:t>一期工程</w:t>
            </w:r>
            <w:r>
              <w:rPr>
                <w:rFonts w:hint="eastAsia" w:ascii="Times New Roman" w:hAnsi="Times New Roman" w:eastAsia="宋体" w:cs="Times New Roman"/>
                <w:kern w:val="0"/>
                <w:sz w:val="24"/>
                <w:lang w:eastAsia="zh-CN"/>
              </w:rPr>
              <w:t>）</w:t>
            </w:r>
            <w:r>
              <w:rPr>
                <w:rFonts w:hint="eastAsia" w:ascii="Times New Roman" w:hAnsi="Times New Roman" w:eastAsia="宋体" w:cs="Times New Roman"/>
                <w:bCs/>
                <w:sz w:val="24"/>
                <w:shd w:val="clear" w:color="auto" w:fill="FFFFFF"/>
              </w:rPr>
              <w:t>；</w:t>
            </w:r>
          </w:p>
          <w:p w14:paraId="50A426AC">
            <w:pPr>
              <w:spacing w:line="360" w:lineRule="auto"/>
              <w:ind w:firstLine="480" w:firstLineChars="200"/>
              <w:rPr>
                <w:rFonts w:ascii="Times New Roman" w:hAnsi="Times New Roman" w:eastAsia="宋体" w:cs="Times New Roman"/>
                <w:bCs/>
                <w:color w:val="FF0000"/>
                <w:sz w:val="24"/>
                <w:shd w:val="clear" w:color="auto" w:fill="FFFFFF"/>
              </w:rPr>
            </w:pPr>
            <w:r>
              <w:rPr>
                <w:rFonts w:hint="eastAsia" w:ascii="Times New Roman" w:hAnsi="Times New Roman" w:eastAsia="宋体" w:cs="Times New Roman"/>
                <w:bCs/>
                <w:sz w:val="24"/>
                <w:shd w:val="clear" w:color="auto" w:fill="FFFFFF"/>
              </w:rPr>
              <w:t>(2)建设性质：新建；</w:t>
            </w:r>
          </w:p>
          <w:p w14:paraId="446C8614">
            <w:pPr>
              <w:spacing w:line="360" w:lineRule="auto"/>
              <w:ind w:firstLine="480" w:firstLineChars="200"/>
              <w:rPr>
                <w:rFonts w:ascii="Times New Roman" w:hAnsi="Times New Roman" w:eastAsia="宋体" w:cs="Times New Roman"/>
                <w:bCs/>
                <w:sz w:val="24"/>
                <w:shd w:val="clear" w:color="auto" w:fill="FFFFFF"/>
              </w:rPr>
            </w:pPr>
            <w:r>
              <w:rPr>
                <w:rFonts w:hint="eastAsia" w:ascii="Times New Roman" w:hAnsi="Times New Roman" w:eastAsia="宋体" w:cs="Times New Roman"/>
                <w:bCs/>
                <w:sz w:val="24"/>
                <w:shd w:val="clear" w:color="auto" w:fill="FFFFFF"/>
              </w:rPr>
              <w:t>(3)建设单位：</w:t>
            </w:r>
            <w:r>
              <w:rPr>
                <w:rFonts w:hint="eastAsia" w:ascii="Times New Roman" w:hAnsi="Times New Roman" w:eastAsia="宋体" w:cs="Times New Roman"/>
                <w:kern w:val="0"/>
                <w:sz w:val="24"/>
              </w:rPr>
              <w:t>甘肃聚联新型材料有限公司</w:t>
            </w:r>
            <w:r>
              <w:rPr>
                <w:rFonts w:hint="eastAsia" w:ascii="Times New Roman" w:hAnsi="Times New Roman" w:eastAsia="宋体" w:cs="Times New Roman"/>
                <w:bCs/>
                <w:sz w:val="24"/>
                <w:shd w:val="clear" w:color="auto" w:fill="FFFFFF"/>
              </w:rPr>
              <w:t>；</w:t>
            </w:r>
          </w:p>
          <w:p w14:paraId="12607A4C">
            <w:pPr>
              <w:wordWrap w:val="0"/>
              <w:topLinePunct/>
              <w:spacing w:line="360" w:lineRule="auto"/>
              <w:ind w:firstLine="480" w:firstLineChars="200"/>
              <w:rPr>
                <w:rFonts w:ascii="Times New Roman" w:hAnsi="Times New Roman" w:eastAsia="宋体" w:cs="Times New Roman"/>
                <w:bCs/>
                <w:sz w:val="24"/>
                <w:shd w:val="clear" w:color="auto" w:fill="FFFFFF"/>
              </w:rPr>
            </w:pPr>
            <w:r>
              <w:rPr>
                <w:rFonts w:hint="eastAsia" w:ascii="Times New Roman" w:hAnsi="Times New Roman" w:eastAsia="宋体" w:cs="Times New Roman"/>
                <w:bCs/>
                <w:sz w:val="24"/>
                <w:shd w:val="clear" w:color="auto" w:fill="FFFFFF"/>
              </w:rPr>
              <w:t>(4)建设地点：甘肃省张掖市临泽工业园区(产业功能区)-凹凸棒石新材料产业园（初级加工区）</w:t>
            </w:r>
            <w:r>
              <w:rPr>
                <w:rFonts w:hint="eastAsia" w:ascii="Times New Roman" w:hAnsi="Times New Roman" w:eastAsia="宋体" w:cs="Times New Roman"/>
                <w:kern w:val="0"/>
                <w:sz w:val="24"/>
              </w:rPr>
              <w:t>，项目</w:t>
            </w:r>
            <w:r>
              <w:rPr>
                <w:rFonts w:hint="eastAsia" w:ascii="Times New Roman" w:hAnsi="Times New Roman" w:eastAsia="宋体" w:cs="Times New Roman"/>
                <w:bCs/>
                <w:sz w:val="24"/>
                <w:shd w:val="clear" w:color="auto" w:fill="FFFFFF"/>
              </w:rPr>
              <w:t>中心地理坐标为：</w:t>
            </w:r>
            <w:r>
              <w:rPr>
                <w:rFonts w:hint="eastAsia" w:ascii="Times New Roman" w:hAnsi="Times New Roman" w:eastAsia="宋体" w:cs="Times New Roman"/>
                <w:bCs/>
                <w:color w:val="1331F5"/>
                <w:sz w:val="24"/>
                <w:shd w:val="clear" w:color="auto" w:fill="FFFFFF"/>
              </w:rPr>
              <w:t>东经：</w:t>
            </w:r>
            <w:r>
              <w:rPr>
                <w:rFonts w:hint="eastAsia" w:ascii="Times New Roman" w:hAnsi="Times New Roman" w:eastAsia="宋体" w:cs="Times New Roman"/>
                <w:bCs/>
                <w:color w:val="1331F5"/>
                <w:sz w:val="24"/>
                <w:shd w:val="clear" w:color="auto" w:fill="FFFFFF"/>
                <w:lang w:val="en-US" w:eastAsia="zh-CN"/>
              </w:rPr>
              <w:t>100°18′24.120″</w:t>
            </w:r>
            <w:r>
              <w:rPr>
                <w:rFonts w:hint="eastAsia" w:ascii="Times New Roman" w:hAnsi="Times New Roman" w:eastAsia="宋体" w:cs="Times New Roman"/>
                <w:bCs/>
                <w:color w:val="1331F5"/>
                <w:sz w:val="24"/>
                <w:shd w:val="clear" w:color="auto" w:fill="FFFFFF"/>
              </w:rPr>
              <w:t>，北纬：</w:t>
            </w:r>
            <w:r>
              <w:rPr>
                <w:rFonts w:hint="eastAsia" w:ascii="Times New Roman" w:hAnsi="Times New Roman" w:eastAsia="宋体" w:cs="Times New Roman"/>
                <w:bCs/>
                <w:color w:val="1331F5"/>
                <w:sz w:val="24"/>
                <w:shd w:val="clear" w:color="auto" w:fill="FFFFFF"/>
                <w:lang w:val="en-US" w:eastAsia="zh-CN"/>
              </w:rPr>
              <w:t>39°16′0.840″</w:t>
            </w:r>
            <w:r>
              <w:rPr>
                <w:rFonts w:hint="eastAsia" w:ascii="Times New Roman" w:hAnsi="Times New Roman" w:eastAsia="宋体" w:cs="Times New Roman"/>
                <w:bCs/>
                <w:color w:val="1331F5"/>
                <w:sz w:val="24"/>
                <w:shd w:val="clear" w:color="auto" w:fill="FFFFFF"/>
              </w:rPr>
              <w:t>。</w:t>
            </w:r>
            <w:r>
              <w:rPr>
                <w:rFonts w:hint="eastAsia" w:ascii="Times New Roman" w:hAnsi="Times New Roman" w:eastAsia="宋体" w:cs="Times New Roman"/>
                <w:bCs/>
                <w:sz w:val="24"/>
                <w:shd w:val="clear" w:color="auto" w:fill="FFFFFF"/>
              </w:rPr>
              <w:t>项目交通地理位置图见附图4。</w:t>
            </w:r>
          </w:p>
          <w:p w14:paraId="1A405E99">
            <w:pPr>
              <w:spacing w:line="360" w:lineRule="auto"/>
              <w:ind w:firstLine="480" w:firstLineChars="200"/>
              <w:rPr>
                <w:rFonts w:ascii="Times New Roman" w:hAnsi="Times New Roman" w:eastAsia="宋体" w:cs="Times New Roman"/>
                <w:bCs/>
                <w:sz w:val="24"/>
                <w:shd w:val="clear" w:color="auto" w:fill="FFFFFF"/>
              </w:rPr>
            </w:pPr>
            <w:r>
              <w:rPr>
                <w:rFonts w:hint="eastAsia" w:ascii="Times New Roman" w:hAnsi="Times New Roman" w:eastAsia="宋体" w:cs="Times New Roman"/>
                <w:bCs/>
                <w:sz w:val="24"/>
                <w:shd w:val="clear" w:color="auto" w:fill="FFFFFF"/>
              </w:rPr>
              <w:t>(5)总投资：本项目总投资2000万元，均为企业融资自筹。</w:t>
            </w:r>
          </w:p>
          <w:p w14:paraId="3279D4C5">
            <w:pPr>
              <w:spacing w:line="360" w:lineRule="auto"/>
              <w:ind w:firstLine="480" w:firstLineChars="200"/>
              <w:rPr>
                <w:rFonts w:ascii="Times New Roman" w:hAnsi="Times New Roman" w:eastAsia="宋体" w:cs="Times New Roman"/>
                <w:bCs/>
                <w:sz w:val="24"/>
                <w:shd w:val="clear" w:color="auto" w:fill="FFFFFF"/>
              </w:rPr>
            </w:pPr>
            <w:r>
              <w:rPr>
                <w:rFonts w:hint="eastAsia" w:ascii="Times New Roman" w:hAnsi="Times New Roman" w:eastAsia="宋体" w:cs="Times New Roman"/>
                <w:bCs/>
                <w:sz w:val="24"/>
                <w:shd w:val="clear" w:color="auto" w:fill="FFFFFF"/>
              </w:rPr>
              <w:t>(6)厂址现状：本项目北侧为临泽县奋君矿业有限公司，西侧为预留二期建设用地，东侧为甘肃融万科技有限公司，南侧为空地，西南侧为凹凸棒石初级加工园区污水处理厂。本项目周边关系示意图见附图5。</w:t>
            </w:r>
          </w:p>
          <w:p w14:paraId="06E46475">
            <w:pPr>
              <w:wordWrap w:val="0"/>
              <w:topLinePunct/>
              <w:spacing w:line="360" w:lineRule="auto"/>
              <w:ind w:firstLine="482" w:firstLineChars="200"/>
              <w:rPr>
                <w:rFonts w:ascii="Times New Roman" w:hAnsi="Times New Roman" w:eastAsia="宋体" w:cs="Times New Roman"/>
                <w:b/>
                <w:bCs/>
                <w:sz w:val="24"/>
                <w:shd w:val="clear" w:color="auto" w:fill="FFFFFF"/>
              </w:rPr>
            </w:pPr>
            <w:r>
              <w:rPr>
                <w:rFonts w:hint="eastAsia" w:ascii="Times New Roman" w:hAnsi="Times New Roman" w:eastAsia="宋体" w:cs="Times New Roman"/>
                <w:b/>
                <w:bCs/>
                <w:sz w:val="24"/>
                <w:shd w:val="clear" w:color="auto" w:fill="FFFFFF"/>
              </w:rPr>
              <w:t>2.2项目建设内容及规模</w:t>
            </w:r>
          </w:p>
          <w:p w14:paraId="02EE9CA6">
            <w:pPr>
              <w:spacing w:line="360" w:lineRule="auto"/>
              <w:ind w:firstLine="480" w:firstLineChars="200"/>
              <w:rPr>
                <w:rFonts w:ascii="Times New Roman" w:hAnsi="Times New Roman" w:eastAsia="宋体" w:cs="Times New Roman"/>
                <w:bCs/>
                <w:sz w:val="24"/>
                <w:shd w:val="clear" w:color="auto" w:fill="FFFFFF"/>
              </w:rPr>
            </w:pPr>
            <w:r>
              <w:rPr>
                <w:rFonts w:hint="eastAsia" w:ascii="Times New Roman" w:hAnsi="Times New Roman" w:eastAsia="宋体" w:cs="Times New Roman"/>
                <w:bCs/>
                <w:sz w:val="24"/>
                <w:shd w:val="clear" w:color="auto" w:fill="FFFFFF"/>
              </w:rPr>
              <w:t>本项目</w:t>
            </w:r>
            <w:r>
              <w:rPr>
                <w:rFonts w:ascii="Times New Roman" w:hAnsi="Times New Roman" w:eastAsia="宋体" w:cs="Times New Roman"/>
                <w:bCs/>
                <w:sz w:val="24"/>
                <w:shd w:val="clear" w:color="auto" w:fill="FFFFFF"/>
              </w:rPr>
              <w:t>位于</w:t>
            </w:r>
            <w:r>
              <w:rPr>
                <w:rFonts w:hint="eastAsia" w:ascii="Times New Roman" w:hAnsi="Times New Roman" w:eastAsia="宋体" w:cs="Times New Roman"/>
                <w:sz w:val="24"/>
              </w:rPr>
              <w:t>临泽工业园区(产业功能区)-凹凸棒石新材料产业园（初级加工区）。</w:t>
            </w:r>
            <w:r>
              <w:rPr>
                <w:rFonts w:hint="eastAsia" w:ascii="Times New Roman" w:hAnsi="Times New Roman" w:eastAsia="宋体" w:cs="Times New Roman"/>
                <w:bCs/>
                <w:sz w:val="24"/>
                <w:shd w:val="clear" w:color="auto" w:fill="FFFFFF"/>
              </w:rPr>
              <w:t>本</w:t>
            </w:r>
            <w:r>
              <w:rPr>
                <w:rFonts w:ascii="Times New Roman" w:hAnsi="Times New Roman" w:eastAsia="宋体" w:cs="Times New Roman"/>
                <w:bCs/>
                <w:sz w:val="24"/>
                <w:shd w:val="clear" w:color="auto" w:fill="FFFFFF"/>
              </w:rPr>
              <w:t>项目</w:t>
            </w:r>
            <w:r>
              <w:rPr>
                <w:rFonts w:hint="eastAsia" w:ascii="Times New Roman" w:hAnsi="Times New Roman" w:eastAsia="宋体" w:cs="Times New Roman"/>
                <w:bCs/>
                <w:sz w:val="24"/>
                <w:shd w:val="clear" w:color="auto" w:fill="FFFFFF"/>
              </w:rPr>
              <w:t>租赁甘肃凯西生态环境工程有限公司土地</w:t>
            </w:r>
            <w:r>
              <w:rPr>
                <w:rFonts w:hint="eastAsia" w:ascii="Times New Roman" w:hAnsi="Times New Roman" w:eastAsia="宋体" w:cs="Times New Roman"/>
                <w:sz w:val="24"/>
              </w:rPr>
              <w:t>开展生产活动（</w:t>
            </w:r>
            <w:r>
              <w:rPr>
                <w:rFonts w:hint="eastAsia" w:ascii="Times New Roman" w:hAnsi="Times New Roman" w:eastAsia="宋体" w:cs="Times New Roman"/>
                <w:bCs/>
                <w:sz w:val="24"/>
              </w:rPr>
              <w:t>用地权属甘肃凯西生态环境工程有限公司</w:t>
            </w:r>
            <w:r>
              <w:rPr>
                <w:rFonts w:hint="eastAsia" w:ascii="Times New Roman" w:hAnsi="Times New Roman" w:eastAsia="宋体" w:cs="Times New Roman"/>
                <w:sz w:val="24"/>
              </w:rPr>
              <w:t>）</w:t>
            </w:r>
            <w:r>
              <w:rPr>
                <w:rFonts w:ascii="Times New Roman" w:hAnsi="Times New Roman" w:eastAsia="宋体" w:cs="Times New Roman"/>
                <w:bCs/>
                <w:sz w:val="24"/>
                <w:shd w:val="clear" w:color="auto" w:fill="FFFFFF"/>
              </w:rPr>
              <w:t>，</w:t>
            </w:r>
            <w:r>
              <w:rPr>
                <w:rFonts w:hint="eastAsia" w:ascii="Times New Roman" w:hAnsi="Times New Roman" w:eastAsia="宋体" w:cs="Times New Roman"/>
                <w:bCs/>
                <w:sz w:val="24"/>
                <w:shd w:val="clear" w:color="auto" w:fill="FFFFFF"/>
              </w:rPr>
              <w:t>总</w:t>
            </w:r>
            <w:r>
              <w:rPr>
                <w:rFonts w:ascii="Times New Roman" w:hAnsi="Times New Roman" w:eastAsia="宋体" w:cs="Times New Roman"/>
                <w:bCs/>
                <w:sz w:val="24"/>
                <w:shd w:val="clear" w:color="auto" w:fill="FFFFFF"/>
              </w:rPr>
              <w:t>占地面积为</w:t>
            </w:r>
            <w:r>
              <w:rPr>
                <w:rFonts w:hint="eastAsia" w:ascii="Times New Roman" w:hAnsi="Times New Roman" w:eastAsia="宋体" w:cs="Times New Roman"/>
                <w:bCs/>
                <w:sz w:val="24"/>
                <w:shd w:val="clear" w:color="auto" w:fill="FFFFFF"/>
              </w:rPr>
              <w:t>16008</w:t>
            </w:r>
            <w:r>
              <w:rPr>
                <w:rFonts w:ascii="Times New Roman" w:hAnsi="Times New Roman" w:eastAsia="宋体" w:cs="Times New Roman"/>
                <w:bCs/>
                <w:sz w:val="24"/>
                <w:shd w:val="clear" w:color="auto" w:fill="FFFFFF"/>
              </w:rPr>
              <w:t>m</w:t>
            </w:r>
            <w:r>
              <w:rPr>
                <w:rFonts w:ascii="Times New Roman" w:hAnsi="Times New Roman" w:eastAsia="宋体" w:cs="Times New Roman"/>
                <w:bCs/>
                <w:sz w:val="24"/>
                <w:shd w:val="clear" w:color="auto" w:fill="FFFFFF"/>
                <w:vertAlign w:val="superscript"/>
              </w:rPr>
              <w:t>2</w:t>
            </w:r>
            <w:r>
              <w:rPr>
                <w:rFonts w:hint="eastAsia" w:ascii="Times New Roman" w:hAnsi="Times New Roman" w:eastAsia="宋体" w:cs="Times New Roman"/>
                <w:bCs/>
                <w:sz w:val="24"/>
                <w:shd w:val="clear" w:color="auto" w:fill="FFFFFF"/>
              </w:rPr>
              <w:t>（约24亩）</w:t>
            </w:r>
            <w:r>
              <w:rPr>
                <w:rFonts w:ascii="Times New Roman" w:hAnsi="Times New Roman" w:eastAsia="宋体" w:cs="Times New Roman"/>
                <w:bCs/>
                <w:sz w:val="24"/>
                <w:shd w:val="clear" w:color="auto" w:fill="FFFFFF"/>
              </w:rPr>
              <w:t>。</w:t>
            </w:r>
          </w:p>
          <w:p w14:paraId="16FC2C01">
            <w:pPr>
              <w:wordWrap w:val="0"/>
              <w:topLinePunct/>
              <w:spacing w:line="360" w:lineRule="auto"/>
              <w:ind w:firstLine="480" w:firstLineChars="200"/>
              <w:rPr>
                <w:rFonts w:ascii="Times New Roman" w:hAnsi="Times New Roman" w:eastAsia="宋体" w:cs="Times New Roman"/>
                <w:bCs/>
                <w:color w:val="FF0000"/>
                <w:sz w:val="24"/>
                <w:shd w:val="clear" w:color="auto" w:fill="FFFFFF"/>
              </w:rPr>
            </w:pPr>
            <w:r>
              <w:rPr>
                <w:rFonts w:hint="eastAsia" w:ascii="Times New Roman" w:hAnsi="Times New Roman" w:eastAsia="宋体" w:cs="Times New Roman"/>
                <w:bCs/>
                <w:sz w:val="24"/>
                <w:shd w:val="clear" w:color="auto" w:fill="FFFFFF"/>
              </w:rPr>
              <w:t>根据建设单位核准结合备案和建设单位实际需求，本次评价和建设1条15万t/a耐候性沥青混凝土生产线</w:t>
            </w:r>
            <w:r>
              <w:rPr>
                <w:rFonts w:hint="eastAsia" w:ascii="Times New Roman" w:hAnsi="Times New Roman" w:eastAsia="宋体" w:cs="Times New Roman"/>
                <w:bCs/>
                <w:sz w:val="24"/>
                <w:shd w:val="clear" w:color="auto" w:fill="FFFFFF"/>
                <w:lang w:eastAsia="zh-CN"/>
              </w:rPr>
              <w:t>、</w:t>
            </w:r>
            <w:r>
              <w:rPr>
                <w:rFonts w:hint="eastAsia" w:ascii="Times New Roman" w:hAnsi="Times New Roman" w:eastAsia="宋体" w:cs="Times New Roman"/>
                <w:bCs/>
                <w:color w:val="1331F5"/>
                <w:sz w:val="24"/>
                <w:shd w:val="clear" w:color="auto" w:fill="FFFFFF"/>
                <w:lang w:val="en-US" w:eastAsia="zh-CN"/>
              </w:rPr>
              <w:t>1条500t/a乳化沥青生产线及相关配套设施</w:t>
            </w:r>
            <w:r>
              <w:rPr>
                <w:rFonts w:hint="eastAsia" w:ascii="Times New Roman" w:hAnsi="Times New Roman" w:eastAsia="宋体" w:cs="Times New Roman"/>
                <w:bCs/>
                <w:sz w:val="24"/>
                <w:shd w:val="clear" w:color="auto" w:fill="FFFFFF"/>
                <w:lang w:eastAsia="zh-CN"/>
              </w:rPr>
              <w:t>，</w:t>
            </w:r>
            <w:r>
              <w:rPr>
                <w:rFonts w:hint="eastAsia" w:ascii="Times New Roman" w:hAnsi="Times New Roman" w:eastAsia="宋体" w:cs="Times New Roman"/>
                <w:bCs/>
                <w:sz w:val="24"/>
                <w:shd w:val="clear" w:color="auto" w:fill="FFFFFF"/>
              </w:rPr>
              <w:t>项目建设</w:t>
            </w:r>
            <w:r>
              <w:rPr>
                <w:rFonts w:hint="eastAsia" w:ascii="Times New Roman" w:hAnsi="Times New Roman" w:eastAsia="宋体" w:cs="Times New Roman"/>
                <w:bCs/>
                <w:color w:val="1331F5"/>
                <w:sz w:val="24"/>
                <w:shd w:val="clear" w:color="auto" w:fill="FFFFFF"/>
              </w:rPr>
              <w:t>综合生活办公区域</w:t>
            </w:r>
            <w:r>
              <w:rPr>
                <w:rFonts w:hint="eastAsia" w:ascii="Times New Roman" w:hAnsi="Times New Roman" w:eastAsia="宋体" w:cs="Times New Roman"/>
                <w:bCs/>
                <w:color w:val="auto"/>
                <w:sz w:val="24"/>
                <w:shd w:val="clear" w:color="auto" w:fill="FFFFFF"/>
              </w:rPr>
              <w:t>，轻质柴油、沥青储罐区，1台</w:t>
            </w:r>
            <w:r>
              <w:rPr>
                <w:rFonts w:hint="eastAsia" w:ascii="Times New Roman" w:hAnsi="Times New Roman" w:eastAsia="宋体" w:cs="Times New Roman"/>
                <w:bCs/>
                <w:sz w:val="24"/>
                <w:shd w:val="clear" w:color="auto" w:fill="FFFFFF"/>
              </w:rPr>
              <w:t>1160kw有机热载体炉（导热油），1台37kw燃烧器，1</w:t>
            </w:r>
            <w:r>
              <w:rPr>
                <w:rFonts w:ascii="Times New Roman" w:hAnsi="Times New Roman" w:eastAsia="宋体" w:cs="Times New Roman"/>
                <w:bCs/>
                <w:sz w:val="24"/>
                <w:shd w:val="clear" w:color="auto" w:fill="FFFFFF"/>
              </w:rPr>
              <w:t>座耐候性沥青混凝土</w:t>
            </w:r>
            <w:r>
              <w:rPr>
                <w:rFonts w:hint="eastAsia" w:ascii="Times New Roman" w:hAnsi="Times New Roman" w:eastAsia="宋体" w:cs="Times New Roman"/>
                <w:bCs/>
                <w:sz w:val="24"/>
                <w:shd w:val="clear" w:color="auto" w:fill="FFFFFF"/>
              </w:rPr>
              <w:t>拌合楼及储运、公用、环保工程等。</w:t>
            </w:r>
          </w:p>
          <w:p w14:paraId="6330CF78">
            <w:pPr>
              <w:spacing w:line="360" w:lineRule="auto"/>
              <w:ind w:firstLine="480" w:firstLineChars="200"/>
              <w:rPr>
                <w:rFonts w:ascii="Times New Roman" w:hAnsi="Times New Roman" w:eastAsia="宋体" w:cs="Times New Roman"/>
                <w:bCs/>
                <w:sz w:val="24"/>
                <w:shd w:val="clear" w:color="auto" w:fill="FFFFFF"/>
              </w:rPr>
            </w:pPr>
            <w:r>
              <w:rPr>
                <w:rFonts w:hint="eastAsia" w:ascii="Times New Roman" w:hAnsi="Times New Roman" w:eastAsia="宋体" w:cs="Times New Roman"/>
                <w:bCs/>
                <w:sz w:val="24"/>
                <w:shd w:val="clear" w:color="auto" w:fill="FFFFFF"/>
              </w:rPr>
              <w:t>本项目工程组成及规模详见表2-1。</w:t>
            </w:r>
          </w:p>
          <w:p w14:paraId="62942CC5">
            <w:pPr>
              <w:spacing w:line="360" w:lineRule="auto"/>
              <w:jc w:val="center"/>
              <w:rPr>
                <w:rFonts w:ascii="Times New Roman" w:hAnsi="Times New Roman" w:eastAsia="宋体" w:cs="Times New Roman"/>
                <w:b/>
                <w:bCs/>
                <w:snapToGrid w:val="0"/>
                <w:kern w:val="0"/>
                <w:sz w:val="24"/>
              </w:rPr>
            </w:pPr>
            <w:r>
              <w:rPr>
                <w:rFonts w:ascii="Times New Roman" w:hAnsi="Times New Roman" w:eastAsia="宋体" w:cs="Times New Roman"/>
                <w:b/>
                <w:bCs/>
                <w:snapToGrid w:val="0"/>
                <w:kern w:val="0"/>
                <w:sz w:val="24"/>
              </w:rPr>
              <w:t>表2-</w:t>
            </w:r>
            <w:r>
              <w:rPr>
                <w:rFonts w:hint="eastAsia" w:ascii="Times New Roman" w:hAnsi="Times New Roman" w:eastAsia="宋体" w:cs="Times New Roman"/>
                <w:b/>
                <w:bCs/>
                <w:snapToGrid w:val="0"/>
                <w:kern w:val="0"/>
                <w:sz w:val="24"/>
              </w:rPr>
              <w:t xml:space="preserve">1 </w:t>
            </w:r>
            <w:r>
              <w:rPr>
                <w:rFonts w:ascii="Times New Roman" w:hAnsi="Times New Roman" w:eastAsia="宋体" w:cs="Times New Roman"/>
                <w:b/>
                <w:bCs/>
                <w:snapToGrid w:val="0"/>
                <w:kern w:val="0"/>
                <w:sz w:val="24"/>
              </w:rPr>
              <w:t>项目工程组成及规模一览表</w:t>
            </w:r>
          </w:p>
          <w:tbl>
            <w:tblPr>
              <w:tblStyle w:val="28"/>
              <w:tblW w:w="50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889"/>
              <w:gridCol w:w="5434"/>
              <w:gridCol w:w="1067"/>
            </w:tblGrid>
            <w:tr w14:paraId="171D1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99" w:type="pct"/>
                  <w:tcBorders>
                    <w:tl2br w:val="nil"/>
                    <w:tr2bl w:val="nil"/>
                  </w:tcBorders>
                  <w:vAlign w:val="center"/>
                </w:tcPr>
                <w:p w14:paraId="69867D45">
                  <w:pPr>
                    <w:jc w:val="center"/>
                    <w:rPr>
                      <w:rFonts w:ascii="Times New Roman" w:hAnsi="Times New Roman" w:eastAsia="宋体" w:cs="Times New Roman"/>
                      <w:b/>
                      <w:szCs w:val="21"/>
                    </w:rPr>
                  </w:pPr>
                  <w:r>
                    <w:rPr>
                      <w:rFonts w:ascii="Times New Roman" w:hAnsi="Times New Roman" w:eastAsia="宋体" w:cs="Times New Roman"/>
                      <w:b/>
                      <w:szCs w:val="21"/>
                    </w:rPr>
                    <w:t>工程类别</w:t>
                  </w:r>
                </w:p>
              </w:tc>
              <w:tc>
                <w:tcPr>
                  <w:tcW w:w="553" w:type="pct"/>
                  <w:tcBorders>
                    <w:tl2br w:val="nil"/>
                    <w:tr2bl w:val="nil"/>
                  </w:tcBorders>
                  <w:vAlign w:val="center"/>
                </w:tcPr>
                <w:p w14:paraId="6780BBFF">
                  <w:pPr>
                    <w:jc w:val="center"/>
                    <w:rPr>
                      <w:rFonts w:ascii="Times New Roman" w:hAnsi="Times New Roman" w:eastAsia="宋体" w:cs="Times New Roman"/>
                      <w:b/>
                      <w:szCs w:val="21"/>
                    </w:rPr>
                  </w:pPr>
                  <w:r>
                    <w:rPr>
                      <w:rFonts w:ascii="Times New Roman" w:hAnsi="Times New Roman" w:eastAsia="宋体" w:cs="Times New Roman"/>
                      <w:b/>
                      <w:szCs w:val="21"/>
                    </w:rPr>
                    <w:t>工程</w:t>
                  </w:r>
                </w:p>
                <w:p w14:paraId="50B9101C">
                  <w:pPr>
                    <w:jc w:val="center"/>
                    <w:rPr>
                      <w:rFonts w:ascii="Times New Roman" w:hAnsi="Times New Roman" w:eastAsia="宋体" w:cs="Times New Roman"/>
                      <w:b/>
                      <w:szCs w:val="21"/>
                    </w:rPr>
                  </w:pPr>
                  <w:r>
                    <w:rPr>
                      <w:rFonts w:ascii="Times New Roman" w:hAnsi="Times New Roman" w:eastAsia="宋体" w:cs="Times New Roman"/>
                      <w:b/>
                      <w:szCs w:val="21"/>
                    </w:rPr>
                    <w:t>名称</w:t>
                  </w:r>
                </w:p>
              </w:tc>
              <w:tc>
                <w:tcPr>
                  <w:tcW w:w="3382" w:type="pct"/>
                  <w:tcBorders>
                    <w:tl2br w:val="nil"/>
                    <w:tr2bl w:val="nil"/>
                  </w:tcBorders>
                  <w:vAlign w:val="center"/>
                </w:tcPr>
                <w:p w14:paraId="66ABE048">
                  <w:pPr>
                    <w:jc w:val="center"/>
                    <w:rPr>
                      <w:rFonts w:ascii="Times New Roman" w:hAnsi="Times New Roman" w:eastAsia="宋体" w:cs="Times New Roman"/>
                      <w:b/>
                      <w:szCs w:val="21"/>
                    </w:rPr>
                  </w:pPr>
                  <w:r>
                    <w:rPr>
                      <w:rFonts w:hint="eastAsia" w:ascii="Times New Roman" w:hAnsi="Times New Roman" w:eastAsia="宋体" w:cs="Times New Roman"/>
                      <w:b/>
                      <w:szCs w:val="21"/>
                    </w:rPr>
                    <w:t>项目建设内容及规模</w:t>
                  </w:r>
                </w:p>
              </w:tc>
              <w:tc>
                <w:tcPr>
                  <w:tcW w:w="664" w:type="pct"/>
                  <w:tcBorders>
                    <w:tl2br w:val="nil"/>
                    <w:tr2bl w:val="nil"/>
                  </w:tcBorders>
                  <w:vAlign w:val="center"/>
                </w:tcPr>
                <w:p w14:paraId="6AC80963">
                  <w:pPr>
                    <w:jc w:val="center"/>
                    <w:rPr>
                      <w:rFonts w:ascii="Times New Roman" w:hAnsi="Times New Roman" w:eastAsia="宋体" w:cs="Times New Roman"/>
                      <w:b/>
                      <w:szCs w:val="21"/>
                    </w:rPr>
                  </w:pPr>
                  <w:r>
                    <w:rPr>
                      <w:rFonts w:ascii="Times New Roman" w:hAnsi="Times New Roman" w:eastAsia="宋体" w:cs="Times New Roman"/>
                      <w:b/>
                      <w:szCs w:val="21"/>
                    </w:rPr>
                    <w:t>备注</w:t>
                  </w:r>
                </w:p>
              </w:tc>
            </w:tr>
            <w:tr w14:paraId="6E287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399" w:type="pct"/>
                  <w:vMerge w:val="restart"/>
                  <w:tcBorders>
                    <w:tl2br w:val="nil"/>
                    <w:tr2bl w:val="nil"/>
                  </w:tcBorders>
                  <w:vAlign w:val="center"/>
                </w:tcPr>
                <w:p w14:paraId="51E1BB5E">
                  <w:pPr>
                    <w:jc w:val="center"/>
                    <w:rPr>
                      <w:rFonts w:ascii="Times New Roman" w:hAnsi="Times New Roman" w:eastAsia="宋体" w:cs="Times New Roman"/>
                      <w:b/>
                      <w:szCs w:val="21"/>
                    </w:rPr>
                  </w:pPr>
                  <w:r>
                    <w:rPr>
                      <w:rFonts w:ascii="Times New Roman" w:hAnsi="Times New Roman" w:eastAsia="宋体" w:cs="Times New Roman"/>
                      <w:b/>
                      <w:szCs w:val="21"/>
                    </w:rPr>
                    <w:t>主体工程</w:t>
                  </w:r>
                </w:p>
              </w:tc>
              <w:tc>
                <w:tcPr>
                  <w:tcW w:w="553" w:type="pct"/>
                  <w:tcBorders>
                    <w:tl2br w:val="nil"/>
                    <w:tr2bl w:val="nil"/>
                  </w:tcBorders>
                  <w:vAlign w:val="center"/>
                </w:tcPr>
                <w:p w14:paraId="5BDDD5EB">
                  <w:pPr>
                    <w:jc w:val="center"/>
                    <w:rPr>
                      <w:rFonts w:ascii="Times New Roman" w:hAnsi="Times New Roman" w:eastAsia="宋体" w:cs="Times New Roman"/>
                      <w:bCs/>
                      <w:szCs w:val="21"/>
                    </w:rPr>
                  </w:pPr>
                  <w:r>
                    <w:rPr>
                      <w:rFonts w:hint="eastAsia" w:ascii="Times New Roman" w:hAnsi="Times New Roman" w:eastAsia="宋体" w:cs="Times New Roman"/>
                      <w:bCs/>
                      <w:szCs w:val="21"/>
                    </w:rPr>
                    <w:t>耐候性沥青混凝土生产线</w:t>
                  </w:r>
                </w:p>
              </w:tc>
              <w:tc>
                <w:tcPr>
                  <w:tcW w:w="3382" w:type="pct"/>
                  <w:tcBorders>
                    <w:tl2br w:val="nil"/>
                    <w:tr2bl w:val="nil"/>
                  </w:tcBorders>
                  <w:vAlign w:val="center"/>
                </w:tcPr>
                <w:p w14:paraId="6864913A">
                  <w:pPr>
                    <w:wordWrap w:val="0"/>
                    <w:topLinePunct/>
                    <w:rPr>
                      <w:rFonts w:ascii="Times New Roman" w:hAnsi="Times New Roman" w:eastAsia="宋体" w:cs="Times New Roman"/>
                      <w:bCs/>
                      <w:color w:val="auto"/>
                      <w:szCs w:val="21"/>
                    </w:rPr>
                  </w:pPr>
                  <w:r>
                    <w:rPr>
                      <w:rFonts w:hint="eastAsia" w:ascii="Times New Roman" w:hAnsi="Times New Roman" w:eastAsia="宋体" w:cs="Times New Roman"/>
                      <w:bCs/>
                      <w:szCs w:val="21"/>
                    </w:rPr>
                    <w:t>设置</w:t>
                  </w:r>
                  <w:r>
                    <w:rPr>
                      <w:rFonts w:ascii="Times New Roman" w:hAnsi="Times New Roman" w:eastAsia="宋体" w:cs="Times New Roman"/>
                      <w:bCs/>
                      <w:szCs w:val="21"/>
                    </w:rPr>
                    <w:t>1条15万t/a耐候性沥青混凝土生产线</w:t>
                  </w:r>
                  <w:r>
                    <w:rPr>
                      <w:rFonts w:hint="eastAsia" w:ascii="Times New Roman" w:hAnsi="Times New Roman" w:eastAsia="宋体" w:cs="Times New Roman"/>
                      <w:bCs/>
                      <w:szCs w:val="21"/>
                    </w:rPr>
                    <w:t>，包括搅拌主楼、冷料供给系统、粉料供给系统、燃油供给系统、干燥系统、沥青供给系</w:t>
                  </w:r>
                  <w:r>
                    <w:rPr>
                      <w:rFonts w:hint="eastAsia" w:ascii="Times New Roman" w:hAnsi="Times New Roman" w:eastAsia="宋体" w:cs="Times New Roman"/>
                      <w:bCs/>
                      <w:color w:val="auto"/>
                      <w:szCs w:val="21"/>
                    </w:rPr>
                    <w:t>统、除尘系统、控制系统等。</w:t>
                  </w:r>
                </w:p>
                <w:p w14:paraId="75245DBF">
                  <w:pPr>
                    <w:wordWrap w:val="0"/>
                    <w:topLinePunct/>
                    <w:rPr>
                      <w:rFonts w:ascii="Times New Roman" w:hAnsi="Times New Roman" w:eastAsia="宋体" w:cs="Times New Roman"/>
                      <w:bCs/>
                      <w:szCs w:val="21"/>
                    </w:rPr>
                  </w:pPr>
                  <w:r>
                    <w:rPr>
                      <w:rFonts w:ascii="Times New Roman" w:hAnsi="Times New Roman" w:eastAsia="宋体" w:cs="Times New Roman"/>
                      <w:bCs/>
                      <w:color w:val="auto"/>
                      <w:szCs w:val="21"/>
                    </w:rPr>
                    <w:t>耐候性沥青混凝土</w:t>
                  </w:r>
                  <w:r>
                    <w:rPr>
                      <w:rFonts w:hint="eastAsia" w:ascii="Times New Roman" w:hAnsi="Times New Roman" w:eastAsia="宋体" w:cs="Times New Roman"/>
                      <w:bCs/>
                      <w:color w:val="auto"/>
                      <w:szCs w:val="21"/>
                    </w:rPr>
                    <w:t>拌合楼占地面积316m</w:t>
                  </w:r>
                  <w:r>
                    <w:rPr>
                      <w:rFonts w:hint="eastAsia" w:ascii="Times New Roman" w:hAnsi="Times New Roman" w:eastAsia="宋体" w:cs="Times New Roman"/>
                      <w:bCs/>
                      <w:color w:val="auto"/>
                      <w:szCs w:val="21"/>
                      <w:vertAlign w:val="superscript"/>
                    </w:rPr>
                    <w:t>2</w:t>
                  </w:r>
                  <w:r>
                    <w:rPr>
                      <w:rFonts w:hint="eastAsia" w:ascii="Times New Roman" w:hAnsi="Times New Roman" w:eastAsia="宋体" w:cs="Times New Roman"/>
                      <w:bCs/>
                      <w:color w:val="auto"/>
                      <w:szCs w:val="21"/>
                    </w:rPr>
                    <w:t>，</w:t>
                  </w:r>
                  <w:r>
                    <w:rPr>
                      <w:rFonts w:ascii="Times New Roman" w:hAnsi="Times New Roman" w:eastAsia="宋体" w:cs="Times New Roman"/>
                      <w:bCs/>
                      <w:color w:val="auto"/>
                      <w:szCs w:val="21"/>
                    </w:rPr>
                    <w:t>整体封闭，高度为</w:t>
                  </w:r>
                  <w:r>
                    <w:rPr>
                      <w:rFonts w:hint="eastAsia" w:ascii="Times New Roman" w:hAnsi="Times New Roman" w:eastAsia="宋体" w:cs="Times New Roman"/>
                      <w:bCs/>
                      <w:color w:val="auto"/>
                      <w:szCs w:val="21"/>
                    </w:rPr>
                    <w:t>22</w:t>
                  </w:r>
                  <w:r>
                    <w:rPr>
                      <w:rFonts w:ascii="Times New Roman" w:hAnsi="Times New Roman" w:eastAsia="宋体" w:cs="Times New Roman"/>
                      <w:bCs/>
                      <w:color w:val="auto"/>
                      <w:szCs w:val="21"/>
                    </w:rPr>
                    <w:t>m，包括上料口、</w:t>
                  </w:r>
                  <w:r>
                    <w:rPr>
                      <w:rFonts w:hint="eastAsia" w:ascii="Times New Roman" w:hAnsi="Times New Roman" w:eastAsia="宋体" w:cs="Times New Roman"/>
                      <w:bCs/>
                      <w:color w:val="auto"/>
                      <w:szCs w:val="21"/>
                    </w:rPr>
                    <w:t>输送</w:t>
                  </w:r>
                  <w:r>
                    <w:rPr>
                      <w:rFonts w:ascii="Times New Roman" w:hAnsi="Times New Roman" w:eastAsia="宋体" w:cs="Times New Roman"/>
                      <w:bCs/>
                      <w:color w:val="auto"/>
                      <w:szCs w:val="21"/>
                    </w:rPr>
                    <w:t>带、</w:t>
                  </w:r>
                  <w:r>
                    <w:rPr>
                      <w:rFonts w:hint="eastAsia" w:ascii="Times New Roman" w:hAnsi="Times New Roman" w:eastAsia="宋体" w:cs="Times New Roman"/>
                      <w:bCs/>
                      <w:color w:val="auto"/>
                      <w:szCs w:val="21"/>
                    </w:rPr>
                    <w:t>矿粉罐、</w:t>
                  </w:r>
                  <w:r>
                    <w:rPr>
                      <w:rFonts w:ascii="Times New Roman" w:hAnsi="Times New Roman" w:eastAsia="宋体" w:cs="Times New Roman"/>
                      <w:bCs/>
                      <w:color w:val="auto"/>
                      <w:szCs w:val="21"/>
                    </w:rPr>
                    <w:t>搅拌设施</w:t>
                  </w:r>
                  <w:r>
                    <w:rPr>
                      <w:rFonts w:hint="eastAsia" w:ascii="Times New Roman" w:hAnsi="Times New Roman" w:eastAsia="宋体" w:cs="Times New Roman"/>
                      <w:bCs/>
                      <w:color w:val="auto"/>
                      <w:szCs w:val="21"/>
                    </w:rPr>
                    <w:t>、筛分、除尘系统、废料仓等；</w:t>
                  </w:r>
                  <w:r>
                    <w:rPr>
                      <w:rFonts w:ascii="Times New Roman" w:hAnsi="Times New Roman" w:eastAsia="宋体" w:cs="Times New Roman"/>
                      <w:bCs/>
                      <w:color w:val="auto"/>
                      <w:szCs w:val="21"/>
                    </w:rPr>
                    <w:t>设置一个干燥筒，热量由1台37kw燃烧器提供，用于加热</w:t>
                  </w:r>
                  <w:r>
                    <w:rPr>
                      <w:rFonts w:hint="eastAsia" w:ascii="Times New Roman" w:hAnsi="Times New Roman" w:eastAsia="宋体" w:cs="Times New Roman"/>
                      <w:bCs/>
                      <w:color w:val="auto"/>
                      <w:szCs w:val="21"/>
                    </w:rPr>
                    <w:t>骨料</w:t>
                  </w:r>
                  <w:r>
                    <w:rPr>
                      <w:rFonts w:ascii="Times New Roman" w:hAnsi="Times New Roman" w:eastAsia="宋体" w:cs="Times New Roman"/>
                      <w:bCs/>
                      <w:color w:val="auto"/>
                      <w:szCs w:val="21"/>
                    </w:rPr>
                    <w:t>。沥青</w:t>
                  </w:r>
                  <w:r>
                    <w:rPr>
                      <w:rFonts w:hint="eastAsia" w:ascii="Times New Roman" w:hAnsi="Times New Roman" w:eastAsia="宋体" w:cs="Times New Roman"/>
                      <w:bCs/>
                      <w:color w:val="auto"/>
                      <w:szCs w:val="21"/>
                    </w:rPr>
                    <w:t>储罐</w:t>
                  </w:r>
                  <w:r>
                    <w:rPr>
                      <w:rFonts w:ascii="Times New Roman" w:hAnsi="Times New Roman" w:eastAsia="宋体" w:cs="Times New Roman"/>
                      <w:bCs/>
                      <w:color w:val="auto"/>
                      <w:szCs w:val="21"/>
                    </w:rPr>
                    <w:t>内的沥青通过1台1160kw有机热载体</w:t>
                  </w:r>
                  <w:r>
                    <w:rPr>
                      <w:rFonts w:ascii="Times New Roman" w:hAnsi="Times New Roman" w:eastAsia="宋体" w:cs="Times New Roman"/>
                      <w:bCs/>
                      <w:szCs w:val="21"/>
                    </w:rPr>
                    <w:t>炉间接加热，使其维持在1</w:t>
                  </w:r>
                  <w:r>
                    <w:rPr>
                      <w:rFonts w:hint="eastAsia" w:ascii="Times New Roman" w:hAnsi="Times New Roman" w:eastAsia="宋体" w:cs="Times New Roman"/>
                      <w:bCs/>
                      <w:szCs w:val="21"/>
                    </w:rPr>
                    <w:t>6</w:t>
                  </w:r>
                  <w:r>
                    <w:rPr>
                      <w:rFonts w:ascii="Times New Roman" w:hAnsi="Times New Roman" w:eastAsia="宋体" w:cs="Times New Roman"/>
                      <w:bCs/>
                      <w:szCs w:val="21"/>
                    </w:rPr>
                    <w:t>0℃到1</w:t>
                  </w:r>
                  <w:r>
                    <w:rPr>
                      <w:rFonts w:hint="eastAsia" w:ascii="Times New Roman" w:hAnsi="Times New Roman" w:eastAsia="宋体" w:cs="Times New Roman"/>
                      <w:bCs/>
                      <w:szCs w:val="21"/>
                    </w:rPr>
                    <w:t>9</w:t>
                  </w:r>
                  <w:r>
                    <w:rPr>
                      <w:rFonts w:ascii="Times New Roman" w:hAnsi="Times New Roman" w:eastAsia="宋体" w:cs="Times New Roman"/>
                      <w:bCs/>
                      <w:szCs w:val="21"/>
                    </w:rPr>
                    <w:t>0℃。</w:t>
                  </w:r>
                </w:p>
                <w:p w14:paraId="0F2D5603">
                  <w:pPr>
                    <w:wordWrap w:val="0"/>
                    <w:topLinePunct/>
                    <w:rPr>
                      <w:rFonts w:ascii="Times New Roman" w:hAnsi="Times New Roman" w:eastAsia="宋体" w:cs="Times New Roman"/>
                      <w:bCs/>
                      <w:color w:val="FF0000"/>
                      <w:szCs w:val="21"/>
                    </w:rPr>
                  </w:pPr>
                  <w:r>
                    <w:rPr>
                      <w:rFonts w:hint="eastAsia" w:ascii="Times New Roman" w:hAnsi="Times New Roman" w:eastAsia="宋体" w:cs="Times New Roman"/>
                      <w:bCs/>
                      <w:szCs w:val="21"/>
                    </w:rPr>
                    <w:t>本项目年产15万吨耐候性沥青混凝土，</w:t>
                  </w:r>
                  <w:r>
                    <w:rPr>
                      <w:rFonts w:ascii="Times New Roman" w:hAnsi="Times New Roman" w:eastAsia="宋体" w:cs="Times New Roman"/>
                      <w:bCs/>
                      <w:szCs w:val="21"/>
                    </w:rPr>
                    <w:t>耐候性沥青混凝土成品从搅拌</w:t>
                  </w:r>
                  <w:r>
                    <w:rPr>
                      <w:rFonts w:hint="eastAsia" w:ascii="Times New Roman" w:hAnsi="Times New Roman" w:eastAsia="宋体" w:cs="Times New Roman"/>
                      <w:bCs/>
                      <w:szCs w:val="21"/>
                    </w:rPr>
                    <w:t>楼</w:t>
                  </w:r>
                  <w:r>
                    <w:rPr>
                      <w:rFonts w:ascii="Times New Roman" w:hAnsi="Times New Roman" w:eastAsia="宋体" w:cs="Times New Roman"/>
                      <w:bCs/>
                      <w:szCs w:val="21"/>
                    </w:rPr>
                    <w:t>出料后</w:t>
                  </w:r>
                  <w:r>
                    <w:rPr>
                      <w:rFonts w:hint="eastAsia" w:ascii="Times New Roman" w:hAnsi="Times New Roman" w:eastAsia="宋体" w:cs="Times New Roman"/>
                      <w:bCs/>
                      <w:szCs w:val="21"/>
                    </w:rPr>
                    <w:t>即时</w:t>
                  </w:r>
                  <w:r>
                    <w:rPr>
                      <w:rFonts w:ascii="Times New Roman" w:hAnsi="Times New Roman" w:eastAsia="宋体" w:cs="Times New Roman"/>
                      <w:bCs/>
                      <w:szCs w:val="21"/>
                    </w:rPr>
                    <w:t>运出，厂区内不设置耐候性沥青混凝土</w:t>
                  </w:r>
                  <w:r>
                    <w:rPr>
                      <w:rFonts w:hint="eastAsia" w:ascii="Times New Roman" w:hAnsi="Times New Roman" w:eastAsia="宋体" w:cs="Times New Roman"/>
                      <w:bCs/>
                      <w:szCs w:val="21"/>
                    </w:rPr>
                    <w:t>成品</w:t>
                  </w:r>
                  <w:r>
                    <w:rPr>
                      <w:rFonts w:ascii="Times New Roman" w:hAnsi="Times New Roman" w:eastAsia="宋体" w:cs="Times New Roman"/>
                      <w:bCs/>
                      <w:szCs w:val="21"/>
                    </w:rPr>
                    <w:t>罐。</w:t>
                  </w:r>
                </w:p>
              </w:tc>
              <w:tc>
                <w:tcPr>
                  <w:tcW w:w="664" w:type="pct"/>
                  <w:tcBorders>
                    <w:tl2br w:val="nil"/>
                    <w:tr2bl w:val="nil"/>
                  </w:tcBorders>
                  <w:vAlign w:val="center"/>
                </w:tcPr>
                <w:p w14:paraId="59495AAD">
                  <w:pPr>
                    <w:jc w:val="center"/>
                    <w:rPr>
                      <w:rFonts w:ascii="Times New Roman" w:hAnsi="Times New Roman" w:eastAsia="宋体" w:cs="Times New Roman"/>
                      <w:bCs/>
                      <w:color w:val="FF0000"/>
                      <w:szCs w:val="21"/>
                    </w:rPr>
                  </w:pPr>
                  <w:r>
                    <w:rPr>
                      <w:rFonts w:hint="eastAsia" w:ascii="Times New Roman" w:hAnsi="Times New Roman" w:eastAsia="宋体" w:cs="Times New Roman"/>
                    </w:rPr>
                    <w:t>新建</w:t>
                  </w:r>
                </w:p>
              </w:tc>
            </w:tr>
            <w:tr w14:paraId="5DA1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399" w:type="pct"/>
                  <w:vMerge w:val="continue"/>
                  <w:tcBorders>
                    <w:tl2br w:val="nil"/>
                    <w:tr2bl w:val="nil"/>
                  </w:tcBorders>
                  <w:vAlign w:val="center"/>
                </w:tcPr>
                <w:p w14:paraId="2093F628">
                  <w:pPr>
                    <w:jc w:val="center"/>
                    <w:rPr>
                      <w:rFonts w:ascii="Times New Roman" w:hAnsi="Times New Roman" w:eastAsia="宋体" w:cs="Times New Roman"/>
                      <w:b/>
                      <w:szCs w:val="21"/>
                    </w:rPr>
                  </w:pPr>
                </w:p>
              </w:tc>
              <w:tc>
                <w:tcPr>
                  <w:tcW w:w="553" w:type="pct"/>
                  <w:tcBorders>
                    <w:tl2br w:val="nil"/>
                    <w:tr2bl w:val="nil"/>
                  </w:tcBorders>
                  <w:vAlign w:val="center"/>
                </w:tcPr>
                <w:p w14:paraId="67571FBD">
                  <w:pPr>
                    <w:jc w:val="center"/>
                    <w:rPr>
                      <w:rFonts w:ascii="Times New Roman" w:hAnsi="Times New Roman" w:eastAsia="宋体" w:cs="Times New Roman"/>
                      <w:bCs/>
                      <w:szCs w:val="21"/>
                    </w:rPr>
                  </w:pPr>
                  <w:r>
                    <w:rPr>
                      <w:rFonts w:hint="eastAsia" w:ascii="Times New Roman" w:hAnsi="Times New Roman" w:eastAsia="宋体" w:cs="Times New Roman"/>
                      <w:szCs w:val="21"/>
                    </w:rPr>
                    <w:t>乳化沥青生产系统</w:t>
                  </w:r>
                </w:p>
              </w:tc>
              <w:tc>
                <w:tcPr>
                  <w:tcW w:w="3382" w:type="pct"/>
                  <w:tcBorders>
                    <w:tl2br w:val="nil"/>
                    <w:tr2bl w:val="nil"/>
                  </w:tcBorders>
                  <w:vAlign w:val="center"/>
                </w:tcPr>
                <w:p w14:paraId="1469933E">
                  <w:pPr>
                    <w:jc w:val="center"/>
                    <w:rPr>
                      <w:rFonts w:ascii="Times New Roman" w:hAnsi="Times New Roman" w:eastAsia="宋体" w:cs="Times New Roman"/>
                      <w:bCs/>
                      <w:szCs w:val="21"/>
                    </w:rPr>
                  </w:pPr>
                  <w:r>
                    <w:rPr>
                      <w:rFonts w:hint="eastAsia" w:ascii="Times New Roman" w:hAnsi="Times New Roman" w:eastAsia="宋体" w:cs="Times New Roman"/>
                      <w:bCs/>
                      <w:color w:val="0000FF"/>
                      <w:szCs w:val="21"/>
                    </w:rPr>
                    <w:t>10t/h集装箱式改性乳化沥青生产线，年产500t改性乳化沥青，出料即时运出，不在厂区内设置成品储罐。</w:t>
                  </w:r>
                </w:p>
              </w:tc>
              <w:tc>
                <w:tcPr>
                  <w:tcW w:w="664" w:type="pct"/>
                  <w:tcBorders>
                    <w:tl2br w:val="nil"/>
                    <w:tr2bl w:val="nil"/>
                  </w:tcBorders>
                  <w:vAlign w:val="center"/>
                </w:tcPr>
                <w:p w14:paraId="3142757C">
                  <w:pPr>
                    <w:jc w:val="center"/>
                    <w:rPr>
                      <w:rFonts w:ascii="Times New Roman" w:hAnsi="Times New Roman" w:eastAsia="宋体" w:cs="Times New Roman"/>
                    </w:rPr>
                  </w:pPr>
                  <w:r>
                    <w:rPr>
                      <w:rFonts w:hint="eastAsia" w:ascii="Times New Roman" w:hAnsi="Times New Roman" w:eastAsia="宋体" w:cs="Times New Roman"/>
                    </w:rPr>
                    <w:t>新建</w:t>
                  </w:r>
                </w:p>
              </w:tc>
            </w:tr>
            <w:tr w14:paraId="6306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99" w:type="pct"/>
                  <w:vMerge w:val="restart"/>
                  <w:tcBorders>
                    <w:tl2br w:val="nil"/>
                    <w:tr2bl w:val="nil"/>
                  </w:tcBorders>
                  <w:vAlign w:val="center"/>
                </w:tcPr>
                <w:p w14:paraId="2709D9D2">
                  <w:pPr>
                    <w:jc w:val="center"/>
                    <w:rPr>
                      <w:rFonts w:ascii="Times New Roman" w:hAnsi="Times New Roman" w:eastAsia="宋体" w:cs="Times New Roman"/>
                      <w:b/>
                      <w:color w:val="FF0000"/>
                      <w:szCs w:val="21"/>
                    </w:rPr>
                  </w:pPr>
                  <w:r>
                    <w:rPr>
                      <w:rFonts w:hint="eastAsia" w:ascii="Times New Roman" w:hAnsi="Times New Roman" w:eastAsia="宋体" w:cs="Times New Roman"/>
                      <w:b/>
                      <w:szCs w:val="21"/>
                    </w:rPr>
                    <w:t>辅助工程</w:t>
                  </w:r>
                </w:p>
              </w:tc>
              <w:tc>
                <w:tcPr>
                  <w:tcW w:w="553" w:type="pct"/>
                  <w:tcBorders>
                    <w:tl2br w:val="nil"/>
                    <w:tr2bl w:val="nil"/>
                  </w:tcBorders>
                  <w:vAlign w:val="center"/>
                </w:tcPr>
                <w:p w14:paraId="3FF62136">
                  <w:pPr>
                    <w:jc w:val="center"/>
                    <w:rPr>
                      <w:rFonts w:ascii="Times New Roman" w:hAnsi="Times New Roman" w:eastAsia="宋体" w:cs="Times New Roman"/>
                      <w:szCs w:val="21"/>
                    </w:rPr>
                  </w:pPr>
                  <w:r>
                    <w:rPr>
                      <w:rFonts w:hint="eastAsia" w:ascii="Times New Roman" w:hAnsi="Times New Roman" w:eastAsia="宋体" w:cs="Times New Roman"/>
                      <w:szCs w:val="21"/>
                    </w:rPr>
                    <w:t>综合</w:t>
                  </w:r>
                </w:p>
                <w:p w14:paraId="6064D8E0">
                  <w:pPr>
                    <w:jc w:val="center"/>
                    <w:rPr>
                      <w:rFonts w:ascii="Times New Roman" w:hAnsi="Times New Roman" w:eastAsia="宋体" w:cs="Times New Roman"/>
                      <w:bCs/>
                      <w:color w:val="FF0000"/>
                      <w:szCs w:val="21"/>
                    </w:rPr>
                  </w:pPr>
                  <w:r>
                    <w:rPr>
                      <w:rFonts w:hint="eastAsia" w:ascii="Times New Roman" w:hAnsi="Times New Roman" w:eastAsia="宋体" w:cs="Times New Roman"/>
                      <w:szCs w:val="21"/>
                    </w:rPr>
                    <w:t>用房</w:t>
                  </w:r>
                </w:p>
              </w:tc>
              <w:tc>
                <w:tcPr>
                  <w:tcW w:w="3382" w:type="pct"/>
                  <w:tcBorders>
                    <w:tl2br w:val="nil"/>
                    <w:tr2bl w:val="nil"/>
                  </w:tcBorders>
                  <w:vAlign w:val="center"/>
                </w:tcPr>
                <w:p w14:paraId="17E0F56D">
                  <w:pPr>
                    <w:jc w:val="center"/>
                    <w:rPr>
                      <w:rFonts w:ascii="Times New Roman" w:hAnsi="Times New Roman" w:eastAsia="宋体" w:cs="Times New Roman"/>
                      <w:bCs/>
                      <w:color w:val="FF0000"/>
                      <w:szCs w:val="21"/>
                    </w:rPr>
                  </w:pPr>
                  <w:r>
                    <w:rPr>
                      <w:rFonts w:hint="eastAsia" w:ascii="Times New Roman" w:hAnsi="Times New Roman" w:eastAsia="宋体" w:cs="Times New Roman"/>
                      <w:bCs/>
                      <w:szCs w:val="21"/>
                    </w:rPr>
                    <w:t>砖混结构，1</w:t>
                  </w:r>
                  <w:r>
                    <w:rPr>
                      <w:rFonts w:ascii="Times New Roman" w:hAnsi="Times New Roman" w:eastAsia="宋体" w:cs="Times New Roman"/>
                      <w:bCs/>
                      <w:szCs w:val="21"/>
                    </w:rPr>
                    <w:t>F</w:t>
                  </w:r>
                  <w:r>
                    <w:rPr>
                      <w:rFonts w:hint="eastAsia" w:ascii="Times New Roman" w:hAnsi="Times New Roman" w:eastAsia="宋体" w:cs="Times New Roman"/>
                      <w:bCs/>
                      <w:szCs w:val="21"/>
                    </w:rPr>
                    <w:t>，占地面积657.6m</w:t>
                  </w:r>
                  <w:r>
                    <w:rPr>
                      <w:rFonts w:hint="eastAsia" w:ascii="Times New Roman" w:hAnsi="Times New Roman" w:eastAsia="宋体" w:cs="Times New Roman"/>
                      <w:bCs/>
                      <w:szCs w:val="21"/>
                      <w:vertAlign w:val="superscript"/>
                    </w:rPr>
                    <w:t>2</w:t>
                  </w:r>
                  <w:r>
                    <w:rPr>
                      <w:rFonts w:hint="eastAsia" w:ascii="Times New Roman" w:hAnsi="Times New Roman" w:eastAsia="宋体" w:cs="Times New Roman"/>
                      <w:bCs/>
                      <w:szCs w:val="21"/>
                    </w:rPr>
                    <w:t>，主要用于厂内职工办公、食宿、盥洗等</w:t>
                  </w:r>
                </w:p>
              </w:tc>
              <w:tc>
                <w:tcPr>
                  <w:tcW w:w="664" w:type="pct"/>
                  <w:tcBorders>
                    <w:tl2br w:val="nil"/>
                    <w:tr2bl w:val="nil"/>
                  </w:tcBorders>
                  <w:vAlign w:val="center"/>
                </w:tcPr>
                <w:p w14:paraId="2C34073A">
                  <w:pPr>
                    <w:jc w:val="center"/>
                    <w:rPr>
                      <w:rFonts w:ascii="Times New Roman" w:hAnsi="Times New Roman" w:eastAsia="宋体" w:cs="Times New Roman"/>
                      <w:bCs/>
                      <w:color w:val="FF0000"/>
                      <w:szCs w:val="21"/>
                    </w:rPr>
                  </w:pPr>
                  <w:r>
                    <w:rPr>
                      <w:rFonts w:hint="eastAsia" w:ascii="Times New Roman" w:hAnsi="Times New Roman" w:eastAsia="宋体" w:cs="Times New Roman"/>
                      <w:bCs/>
                      <w:szCs w:val="21"/>
                    </w:rPr>
                    <w:t>新建</w:t>
                  </w:r>
                </w:p>
              </w:tc>
            </w:tr>
            <w:tr w14:paraId="42198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399" w:type="pct"/>
                  <w:vMerge w:val="continue"/>
                  <w:tcBorders>
                    <w:tl2br w:val="nil"/>
                    <w:tr2bl w:val="nil"/>
                  </w:tcBorders>
                  <w:vAlign w:val="center"/>
                </w:tcPr>
                <w:p w14:paraId="40081127">
                  <w:pPr>
                    <w:jc w:val="center"/>
                    <w:rPr>
                      <w:rFonts w:hint="eastAsia" w:ascii="Times New Roman" w:hAnsi="Times New Roman" w:eastAsia="宋体" w:cs="Times New Roman"/>
                      <w:b/>
                      <w:szCs w:val="21"/>
                    </w:rPr>
                  </w:pPr>
                </w:p>
              </w:tc>
              <w:tc>
                <w:tcPr>
                  <w:tcW w:w="553" w:type="pct"/>
                  <w:tcBorders>
                    <w:tl2br w:val="nil"/>
                    <w:tr2bl w:val="nil"/>
                  </w:tcBorders>
                  <w:vAlign w:val="center"/>
                </w:tcPr>
                <w:p w14:paraId="54283DD1">
                  <w:pPr>
                    <w:jc w:val="center"/>
                    <w:rPr>
                      <w:rFonts w:hint="default" w:ascii="Times New Roman" w:hAnsi="Times New Roman" w:eastAsia="宋体" w:cs="Times New Roman"/>
                      <w:color w:val="FF0000"/>
                      <w:szCs w:val="21"/>
                      <w:lang w:val="en-US" w:eastAsia="zh-CN"/>
                    </w:rPr>
                  </w:pPr>
                  <w:r>
                    <w:rPr>
                      <w:rFonts w:hint="eastAsia" w:ascii="Times New Roman" w:hAnsi="Times New Roman" w:eastAsia="宋体" w:cs="Times New Roman"/>
                      <w:color w:val="FF0000"/>
                      <w:szCs w:val="21"/>
                      <w:lang w:val="en-US" w:eastAsia="zh-CN"/>
                    </w:rPr>
                    <w:t>有机热载体炉房</w:t>
                  </w:r>
                </w:p>
              </w:tc>
              <w:tc>
                <w:tcPr>
                  <w:tcW w:w="3382" w:type="pct"/>
                  <w:tcBorders>
                    <w:tl2br w:val="nil"/>
                    <w:tr2bl w:val="nil"/>
                  </w:tcBorders>
                  <w:vAlign w:val="center"/>
                </w:tcPr>
                <w:p w14:paraId="0ADB5083">
                  <w:pPr>
                    <w:jc w:val="center"/>
                    <w:rPr>
                      <w:rFonts w:hint="default" w:ascii="Times New Roman" w:hAnsi="Times New Roman" w:eastAsia="宋体" w:cs="Times New Roman"/>
                      <w:bCs/>
                      <w:color w:val="FF0000"/>
                      <w:szCs w:val="21"/>
                      <w:lang w:val="en-US" w:eastAsia="zh-CN"/>
                    </w:rPr>
                  </w:pPr>
                  <w:r>
                    <w:rPr>
                      <w:rFonts w:hint="eastAsia" w:ascii="Times New Roman" w:hAnsi="Times New Roman" w:eastAsia="宋体" w:cs="Times New Roman"/>
                      <w:bCs/>
                      <w:color w:val="FF0000"/>
                      <w:szCs w:val="21"/>
                      <w:lang w:val="en-US" w:eastAsia="zh-CN"/>
                    </w:rPr>
                    <w:t>彩钢结构，</w:t>
                  </w:r>
                  <w:r>
                    <w:rPr>
                      <w:rFonts w:hint="default" w:ascii="Times New Roman" w:hAnsi="Times New Roman" w:eastAsia="宋体" w:cs="Times New Roman"/>
                      <w:bCs/>
                      <w:color w:val="FF0000"/>
                      <w:szCs w:val="21"/>
                      <w:lang w:val="en-US" w:eastAsia="zh-CN"/>
                    </w:rPr>
                    <w:t>1F</w:t>
                  </w:r>
                  <w:r>
                    <w:rPr>
                      <w:rFonts w:hint="eastAsia" w:ascii="Times New Roman" w:hAnsi="Times New Roman" w:eastAsia="宋体" w:cs="Times New Roman"/>
                      <w:bCs/>
                      <w:color w:val="FF0000"/>
                      <w:szCs w:val="21"/>
                      <w:lang w:val="en-US" w:eastAsia="zh-CN"/>
                    </w:rPr>
                    <w:t>，</w:t>
                  </w:r>
                  <w:r>
                    <w:rPr>
                      <w:rFonts w:hint="default" w:ascii="Times New Roman" w:hAnsi="Times New Roman" w:eastAsia="宋体" w:cs="Times New Roman"/>
                      <w:bCs/>
                      <w:color w:val="FF0000"/>
                      <w:szCs w:val="21"/>
                      <w:lang w:val="en-US" w:eastAsia="zh-CN"/>
                    </w:rPr>
                    <w:t>H=</w:t>
                  </w:r>
                  <w:r>
                    <w:rPr>
                      <w:rFonts w:hint="eastAsia" w:ascii="Times New Roman" w:hAnsi="Times New Roman" w:eastAsia="宋体" w:cs="Times New Roman"/>
                      <w:bCs/>
                      <w:color w:val="FF0000"/>
                      <w:szCs w:val="21"/>
                      <w:lang w:val="en-US" w:eastAsia="zh-CN"/>
                    </w:rPr>
                    <w:t>11m，占地面积61.6</w:t>
                  </w:r>
                  <w:r>
                    <w:rPr>
                      <w:rFonts w:hint="eastAsia" w:ascii="Times New Roman" w:hAnsi="Times New Roman" w:eastAsia="宋体" w:cs="Times New Roman"/>
                      <w:bCs/>
                      <w:color w:val="FF0000"/>
                      <w:szCs w:val="21"/>
                    </w:rPr>
                    <w:t>m</w:t>
                  </w:r>
                  <w:r>
                    <w:rPr>
                      <w:rFonts w:hint="eastAsia" w:ascii="Times New Roman" w:hAnsi="Times New Roman" w:eastAsia="宋体" w:cs="Times New Roman"/>
                      <w:bCs/>
                      <w:color w:val="FF0000"/>
                      <w:szCs w:val="21"/>
                      <w:vertAlign w:val="superscript"/>
                    </w:rPr>
                    <w:t>2</w:t>
                  </w:r>
                  <w:r>
                    <w:rPr>
                      <w:rFonts w:hint="eastAsia" w:ascii="Times New Roman" w:hAnsi="Times New Roman" w:eastAsia="宋体" w:cs="Times New Roman"/>
                      <w:bCs/>
                      <w:color w:val="FF0000"/>
                      <w:szCs w:val="21"/>
                    </w:rPr>
                    <w:t>，</w:t>
                  </w:r>
                  <w:r>
                    <w:rPr>
                      <w:rFonts w:ascii="Times New Roman" w:hAnsi="Times New Roman" w:eastAsia="宋体" w:cs="Times New Roman"/>
                      <w:bCs/>
                      <w:color w:val="FF0000"/>
                      <w:szCs w:val="21"/>
                    </w:rPr>
                    <w:t>沥青罐加热使用1台1160kw有机热载体炉将沥青</w:t>
                  </w:r>
                  <w:r>
                    <w:rPr>
                      <w:rFonts w:hint="eastAsia" w:ascii="Times New Roman" w:hAnsi="Times New Roman" w:eastAsia="宋体" w:cs="Times New Roman"/>
                      <w:bCs/>
                      <w:color w:val="FF0000"/>
                      <w:szCs w:val="21"/>
                    </w:rPr>
                    <w:t>间接</w:t>
                  </w:r>
                  <w:r>
                    <w:rPr>
                      <w:rFonts w:ascii="Times New Roman" w:hAnsi="Times New Roman" w:eastAsia="宋体" w:cs="Times New Roman"/>
                      <w:bCs/>
                      <w:color w:val="FF0000"/>
                      <w:szCs w:val="21"/>
                    </w:rPr>
                    <w:t>加热至1</w:t>
                  </w:r>
                  <w:r>
                    <w:rPr>
                      <w:rFonts w:hint="eastAsia" w:ascii="Times New Roman" w:hAnsi="Times New Roman" w:eastAsia="宋体" w:cs="Times New Roman"/>
                      <w:bCs/>
                      <w:color w:val="FF0000"/>
                      <w:szCs w:val="21"/>
                    </w:rPr>
                    <w:t>6</w:t>
                  </w:r>
                  <w:r>
                    <w:rPr>
                      <w:rFonts w:ascii="Times New Roman" w:hAnsi="Times New Roman" w:eastAsia="宋体" w:cs="Times New Roman"/>
                      <w:bCs/>
                      <w:color w:val="FF0000"/>
                      <w:szCs w:val="21"/>
                    </w:rPr>
                    <w:t>0～1</w:t>
                  </w:r>
                  <w:r>
                    <w:rPr>
                      <w:rFonts w:hint="eastAsia" w:ascii="Times New Roman" w:hAnsi="Times New Roman" w:eastAsia="宋体" w:cs="Times New Roman"/>
                      <w:bCs/>
                      <w:color w:val="FF0000"/>
                      <w:szCs w:val="21"/>
                    </w:rPr>
                    <w:t>9</w:t>
                  </w:r>
                  <w:r>
                    <w:rPr>
                      <w:rFonts w:ascii="Times New Roman" w:hAnsi="Times New Roman" w:eastAsia="宋体" w:cs="Times New Roman"/>
                      <w:bCs/>
                      <w:color w:val="FF0000"/>
                      <w:szCs w:val="21"/>
                    </w:rPr>
                    <w:t>0℃</w:t>
                  </w:r>
                </w:p>
              </w:tc>
              <w:tc>
                <w:tcPr>
                  <w:tcW w:w="664" w:type="pct"/>
                  <w:tcBorders>
                    <w:tl2br w:val="nil"/>
                    <w:tr2bl w:val="nil"/>
                  </w:tcBorders>
                  <w:vAlign w:val="center"/>
                </w:tcPr>
                <w:p w14:paraId="6D0065AC">
                  <w:pPr>
                    <w:jc w:val="center"/>
                    <w:rPr>
                      <w:rFonts w:hint="eastAsia" w:ascii="Times New Roman" w:hAnsi="Times New Roman" w:eastAsia="宋体" w:cs="Times New Roman"/>
                      <w:bCs/>
                      <w:color w:val="FF0000"/>
                      <w:szCs w:val="21"/>
                      <w:lang w:val="en-US" w:eastAsia="zh-CN"/>
                    </w:rPr>
                  </w:pPr>
                  <w:r>
                    <w:rPr>
                      <w:rFonts w:hint="eastAsia" w:ascii="Times New Roman" w:hAnsi="Times New Roman" w:eastAsia="宋体" w:cs="Times New Roman"/>
                      <w:bCs/>
                      <w:color w:val="FF0000"/>
                      <w:szCs w:val="21"/>
                      <w:lang w:val="en-US" w:eastAsia="zh-CN"/>
                    </w:rPr>
                    <w:t>新建</w:t>
                  </w:r>
                </w:p>
              </w:tc>
            </w:tr>
            <w:tr w14:paraId="3C6E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399" w:type="pct"/>
                  <w:vMerge w:val="continue"/>
                  <w:tcBorders>
                    <w:tl2br w:val="nil"/>
                    <w:tr2bl w:val="nil"/>
                  </w:tcBorders>
                  <w:vAlign w:val="center"/>
                </w:tcPr>
                <w:p w14:paraId="2F155D1C">
                  <w:pPr>
                    <w:jc w:val="center"/>
                    <w:rPr>
                      <w:rFonts w:ascii="Times New Roman" w:hAnsi="Times New Roman" w:eastAsia="宋体" w:cs="Times New Roman"/>
                      <w:b/>
                      <w:color w:val="FF0000"/>
                      <w:szCs w:val="21"/>
                    </w:rPr>
                  </w:pPr>
                </w:p>
              </w:tc>
              <w:tc>
                <w:tcPr>
                  <w:tcW w:w="553" w:type="pct"/>
                  <w:tcBorders>
                    <w:tl2br w:val="nil"/>
                    <w:tr2bl w:val="nil"/>
                  </w:tcBorders>
                  <w:vAlign w:val="center"/>
                </w:tcPr>
                <w:p w14:paraId="0F655E45">
                  <w:pPr>
                    <w:jc w:val="center"/>
                    <w:rPr>
                      <w:rFonts w:ascii="Times New Roman" w:hAnsi="Times New Roman" w:eastAsia="宋体" w:cs="Times New Roman"/>
                      <w:szCs w:val="21"/>
                    </w:rPr>
                  </w:pPr>
                  <w:r>
                    <w:rPr>
                      <w:rFonts w:hint="eastAsia" w:ascii="Times New Roman" w:hAnsi="Times New Roman" w:eastAsia="宋体" w:cs="Times New Roman"/>
                      <w:szCs w:val="21"/>
                    </w:rPr>
                    <w:t>车棚</w:t>
                  </w:r>
                </w:p>
              </w:tc>
              <w:tc>
                <w:tcPr>
                  <w:tcW w:w="3382" w:type="pct"/>
                  <w:tcBorders>
                    <w:tl2br w:val="nil"/>
                    <w:tr2bl w:val="nil"/>
                  </w:tcBorders>
                  <w:vAlign w:val="center"/>
                </w:tcPr>
                <w:p w14:paraId="3EDE3557">
                  <w:pPr>
                    <w:jc w:val="center"/>
                    <w:rPr>
                      <w:rFonts w:ascii="Times New Roman" w:hAnsi="Times New Roman" w:eastAsia="宋体" w:cs="Times New Roman"/>
                      <w:bCs/>
                      <w:color w:val="FF0000"/>
                      <w:szCs w:val="21"/>
                    </w:rPr>
                  </w:pPr>
                  <w:r>
                    <w:rPr>
                      <w:rFonts w:hint="eastAsia" w:ascii="Times New Roman" w:hAnsi="Times New Roman" w:eastAsia="宋体" w:cs="Times New Roman"/>
                      <w:bCs/>
                      <w:szCs w:val="21"/>
                    </w:rPr>
                    <w:t>占地面积123m</w:t>
                  </w:r>
                  <w:r>
                    <w:rPr>
                      <w:rFonts w:hint="eastAsia" w:ascii="Times New Roman" w:hAnsi="Times New Roman" w:eastAsia="宋体" w:cs="Times New Roman"/>
                      <w:bCs/>
                      <w:szCs w:val="21"/>
                      <w:vertAlign w:val="superscript"/>
                    </w:rPr>
                    <w:t>2</w:t>
                  </w:r>
                  <w:r>
                    <w:rPr>
                      <w:rFonts w:hint="eastAsia" w:ascii="Times New Roman" w:hAnsi="Times New Roman" w:eastAsia="宋体" w:cs="Times New Roman"/>
                      <w:bCs/>
                      <w:szCs w:val="21"/>
                    </w:rPr>
                    <w:t>，用于统一停放职工车辆</w:t>
                  </w:r>
                </w:p>
              </w:tc>
              <w:tc>
                <w:tcPr>
                  <w:tcW w:w="664" w:type="pct"/>
                  <w:tcBorders>
                    <w:tl2br w:val="nil"/>
                    <w:tr2bl w:val="nil"/>
                  </w:tcBorders>
                  <w:vAlign w:val="center"/>
                </w:tcPr>
                <w:p w14:paraId="6DB10DE3">
                  <w:pPr>
                    <w:jc w:val="center"/>
                    <w:rPr>
                      <w:rFonts w:ascii="Times New Roman" w:hAnsi="Times New Roman" w:eastAsia="宋体" w:cs="Times New Roman"/>
                      <w:color w:val="FF0000"/>
                    </w:rPr>
                  </w:pPr>
                  <w:r>
                    <w:rPr>
                      <w:rFonts w:hint="eastAsia" w:ascii="Times New Roman" w:hAnsi="Times New Roman" w:eastAsia="宋体" w:cs="Times New Roman"/>
                    </w:rPr>
                    <w:t>新建</w:t>
                  </w:r>
                </w:p>
              </w:tc>
            </w:tr>
            <w:tr w14:paraId="6BBE9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99" w:type="pct"/>
                  <w:vMerge w:val="continue"/>
                  <w:tcBorders>
                    <w:tl2br w:val="nil"/>
                    <w:tr2bl w:val="nil"/>
                  </w:tcBorders>
                  <w:vAlign w:val="center"/>
                </w:tcPr>
                <w:p w14:paraId="0015D35F">
                  <w:pPr>
                    <w:jc w:val="center"/>
                    <w:rPr>
                      <w:rFonts w:ascii="Times New Roman" w:hAnsi="Times New Roman" w:eastAsia="宋体" w:cs="Times New Roman"/>
                      <w:b/>
                      <w:color w:val="FF0000"/>
                      <w:szCs w:val="21"/>
                    </w:rPr>
                  </w:pPr>
                </w:p>
              </w:tc>
              <w:tc>
                <w:tcPr>
                  <w:tcW w:w="553" w:type="pct"/>
                  <w:tcBorders>
                    <w:tl2br w:val="nil"/>
                    <w:tr2bl w:val="nil"/>
                  </w:tcBorders>
                  <w:vAlign w:val="center"/>
                </w:tcPr>
                <w:p w14:paraId="605A94AA">
                  <w:pPr>
                    <w:jc w:val="center"/>
                    <w:rPr>
                      <w:rFonts w:ascii="Times New Roman" w:hAnsi="Times New Roman" w:eastAsia="宋体" w:cs="Times New Roman"/>
                      <w:szCs w:val="21"/>
                    </w:rPr>
                  </w:pPr>
                  <w:r>
                    <w:rPr>
                      <w:rFonts w:hint="eastAsia" w:ascii="Times New Roman" w:hAnsi="Times New Roman" w:eastAsia="宋体" w:cs="Times New Roman"/>
                      <w:szCs w:val="21"/>
                    </w:rPr>
                    <w:t>配电</w:t>
                  </w:r>
                </w:p>
                <w:p w14:paraId="0E061D99">
                  <w:pPr>
                    <w:jc w:val="center"/>
                    <w:rPr>
                      <w:rFonts w:ascii="Times New Roman" w:hAnsi="Times New Roman" w:eastAsia="宋体" w:cs="Times New Roman"/>
                      <w:szCs w:val="21"/>
                    </w:rPr>
                  </w:pPr>
                  <w:r>
                    <w:rPr>
                      <w:rFonts w:hint="eastAsia" w:ascii="Times New Roman" w:hAnsi="Times New Roman" w:eastAsia="宋体" w:cs="Times New Roman"/>
                      <w:szCs w:val="21"/>
                    </w:rPr>
                    <w:t>系统</w:t>
                  </w:r>
                </w:p>
              </w:tc>
              <w:tc>
                <w:tcPr>
                  <w:tcW w:w="3382" w:type="pct"/>
                  <w:tcBorders>
                    <w:tl2br w:val="nil"/>
                    <w:tr2bl w:val="nil"/>
                  </w:tcBorders>
                  <w:vAlign w:val="center"/>
                </w:tcPr>
                <w:p w14:paraId="1BAA1D8C">
                  <w:pPr>
                    <w:jc w:val="center"/>
                    <w:rPr>
                      <w:rFonts w:ascii="Times New Roman" w:hAnsi="Times New Roman" w:eastAsia="宋体" w:cs="Times New Roman"/>
                      <w:bCs/>
                      <w:color w:val="FF0000"/>
                      <w:szCs w:val="21"/>
                    </w:rPr>
                  </w:pPr>
                  <w:r>
                    <w:rPr>
                      <w:rFonts w:hint="eastAsia" w:ascii="Times New Roman" w:hAnsi="Times New Roman" w:eastAsia="宋体" w:cs="Times New Roman"/>
                      <w:bCs/>
                      <w:szCs w:val="21"/>
                    </w:rPr>
                    <w:t>1000KVA变压器供给生产用电；250KVA变压器供给生活用电</w:t>
                  </w:r>
                </w:p>
              </w:tc>
              <w:tc>
                <w:tcPr>
                  <w:tcW w:w="664" w:type="pct"/>
                  <w:tcBorders>
                    <w:tl2br w:val="nil"/>
                    <w:tr2bl w:val="nil"/>
                  </w:tcBorders>
                  <w:vAlign w:val="center"/>
                </w:tcPr>
                <w:p w14:paraId="683C48B7">
                  <w:pPr>
                    <w:jc w:val="center"/>
                    <w:rPr>
                      <w:rFonts w:ascii="Times New Roman" w:hAnsi="Times New Roman" w:eastAsia="宋体" w:cs="Times New Roman"/>
                      <w:color w:val="FF0000"/>
                    </w:rPr>
                  </w:pPr>
                  <w:r>
                    <w:rPr>
                      <w:rFonts w:hint="eastAsia" w:ascii="Times New Roman" w:hAnsi="Times New Roman" w:eastAsia="宋体" w:cs="Times New Roman"/>
                    </w:rPr>
                    <w:t>新建</w:t>
                  </w:r>
                </w:p>
              </w:tc>
            </w:tr>
            <w:tr w14:paraId="4F06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399" w:type="pct"/>
                  <w:vMerge w:val="continue"/>
                  <w:tcBorders>
                    <w:tl2br w:val="nil"/>
                    <w:tr2bl w:val="nil"/>
                  </w:tcBorders>
                  <w:vAlign w:val="center"/>
                </w:tcPr>
                <w:p w14:paraId="4F2CA38B">
                  <w:pPr>
                    <w:jc w:val="center"/>
                    <w:rPr>
                      <w:rFonts w:ascii="Times New Roman" w:hAnsi="Times New Roman" w:eastAsia="宋体" w:cs="Times New Roman"/>
                      <w:b/>
                      <w:color w:val="FF0000"/>
                      <w:szCs w:val="21"/>
                    </w:rPr>
                  </w:pPr>
                </w:p>
              </w:tc>
              <w:tc>
                <w:tcPr>
                  <w:tcW w:w="553" w:type="pct"/>
                  <w:tcBorders>
                    <w:tl2br w:val="nil"/>
                    <w:tr2bl w:val="nil"/>
                  </w:tcBorders>
                  <w:vAlign w:val="center"/>
                </w:tcPr>
                <w:p w14:paraId="769D70B8">
                  <w:pPr>
                    <w:jc w:val="center"/>
                    <w:rPr>
                      <w:rFonts w:hint="default" w:ascii="Times New Roman" w:hAnsi="Times New Roman" w:eastAsia="宋体" w:cs="Times New Roman"/>
                      <w:color w:val="1331F5"/>
                      <w:szCs w:val="21"/>
                      <w:lang w:val="en-US" w:eastAsia="zh-CN"/>
                    </w:rPr>
                  </w:pPr>
                  <w:r>
                    <w:rPr>
                      <w:rFonts w:hint="eastAsia" w:ascii="Times New Roman" w:hAnsi="Times New Roman" w:eastAsia="宋体" w:cs="Times New Roman"/>
                      <w:color w:val="1331F5"/>
                      <w:szCs w:val="21"/>
                      <w:lang w:val="en-US" w:eastAsia="zh-CN"/>
                    </w:rPr>
                    <w:t>车辆冲洗平台</w:t>
                  </w:r>
                </w:p>
              </w:tc>
              <w:tc>
                <w:tcPr>
                  <w:tcW w:w="3382" w:type="pct"/>
                  <w:tcBorders>
                    <w:tl2br w:val="nil"/>
                    <w:tr2bl w:val="nil"/>
                  </w:tcBorders>
                  <w:vAlign w:val="center"/>
                </w:tcPr>
                <w:p w14:paraId="4EEE4961">
                  <w:pPr>
                    <w:jc w:val="center"/>
                    <w:rPr>
                      <w:rFonts w:hint="default" w:ascii="Times New Roman" w:hAnsi="Times New Roman" w:eastAsia="宋体" w:cs="Times New Roman"/>
                      <w:bCs/>
                      <w:color w:val="1331F5"/>
                      <w:szCs w:val="21"/>
                      <w:lang w:val="en-US" w:eastAsia="zh-CN"/>
                    </w:rPr>
                  </w:pPr>
                  <w:r>
                    <w:rPr>
                      <w:rFonts w:hint="eastAsia" w:ascii="Times New Roman" w:hAnsi="Times New Roman" w:eastAsia="宋体" w:cs="Times New Roman"/>
                      <w:bCs/>
                      <w:color w:val="1331F5"/>
                      <w:szCs w:val="21"/>
                      <w:lang w:val="en-US" w:eastAsia="zh-CN"/>
                    </w:rPr>
                    <w:t>厂区进出口（为同一个）设置车辆冲洗平台，对物料运输车辆轮胎进行冲洗，并配套建设2m</w:t>
                  </w:r>
                  <w:r>
                    <w:rPr>
                      <w:rFonts w:hint="eastAsia" w:ascii="Times New Roman" w:hAnsi="Times New Roman" w:eastAsia="宋体" w:cs="Times New Roman"/>
                      <w:bCs/>
                      <w:color w:val="1331F5"/>
                      <w:szCs w:val="21"/>
                      <w:vertAlign w:val="superscript"/>
                      <w:lang w:val="en-US" w:eastAsia="zh-CN"/>
                    </w:rPr>
                    <w:t>3</w:t>
                  </w:r>
                  <w:r>
                    <w:rPr>
                      <w:rFonts w:hint="eastAsia" w:ascii="Times New Roman" w:hAnsi="Times New Roman" w:eastAsia="宋体" w:cs="Times New Roman"/>
                      <w:bCs/>
                      <w:color w:val="1331F5"/>
                      <w:szCs w:val="21"/>
                      <w:lang w:val="en-US" w:eastAsia="zh-CN"/>
                    </w:rPr>
                    <w:t>车辆冲洗废水沉淀池</w:t>
                  </w:r>
                </w:p>
              </w:tc>
              <w:tc>
                <w:tcPr>
                  <w:tcW w:w="664" w:type="pct"/>
                  <w:tcBorders>
                    <w:tl2br w:val="nil"/>
                    <w:tr2bl w:val="nil"/>
                  </w:tcBorders>
                  <w:vAlign w:val="center"/>
                </w:tcPr>
                <w:p w14:paraId="5A87FE6E">
                  <w:pPr>
                    <w:jc w:val="center"/>
                    <w:rPr>
                      <w:rFonts w:hint="eastAsia" w:ascii="Times New Roman" w:hAnsi="Times New Roman" w:eastAsia="宋体" w:cs="Times New Roman"/>
                      <w:color w:val="1331F5"/>
                      <w:lang w:val="en-US" w:eastAsia="zh-CN"/>
                    </w:rPr>
                  </w:pPr>
                  <w:r>
                    <w:rPr>
                      <w:rFonts w:hint="eastAsia" w:ascii="Times New Roman" w:hAnsi="Times New Roman" w:eastAsia="宋体" w:cs="Times New Roman"/>
                      <w:color w:val="1331F5"/>
                      <w:lang w:val="en-US" w:eastAsia="zh-CN"/>
                    </w:rPr>
                    <w:t>新建</w:t>
                  </w:r>
                </w:p>
              </w:tc>
            </w:tr>
            <w:tr w14:paraId="55D8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399" w:type="pct"/>
                  <w:vMerge w:val="restart"/>
                  <w:tcBorders>
                    <w:tl2br w:val="nil"/>
                    <w:tr2bl w:val="nil"/>
                  </w:tcBorders>
                  <w:vAlign w:val="center"/>
                </w:tcPr>
                <w:p w14:paraId="08F07409">
                  <w:pPr>
                    <w:jc w:val="center"/>
                    <w:rPr>
                      <w:rFonts w:ascii="Times New Roman" w:hAnsi="Times New Roman" w:eastAsia="宋体" w:cs="Times New Roman"/>
                      <w:b/>
                      <w:szCs w:val="21"/>
                    </w:rPr>
                  </w:pPr>
                  <w:r>
                    <w:rPr>
                      <w:rFonts w:hint="eastAsia" w:ascii="Times New Roman" w:hAnsi="Times New Roman" w:eastAsia="宋体" w:cs="Times New Roman"/>
                      <w:b/>
                      <w:szCs w:val="21"/>
                    </w:rPr>
                    <w:t>储运</w:t>
                  </w:r>
                </w:p>
                <w:p w14:paraId="0BA02F66">
                  <w:pPr>
                    <w:jc w:val="center"/>
                    <w:rPr>
                      <w:rFonts w:ascii="Times New Roman" w:hAnsi="Times New Roman" w:eastAsia="宋体" w:cs="Times New Roman"/>
                      <w:b/>
                      <w:color w:val="FF0000"/>
                      <w:szCs w:val="21"/>
                    </w:rPr>
                  </w:pPr>
                  <w:r>
                    <w:rPr>
                      <w:rFonts w:hint="eastAsia" w:ascii="Times New Roman" w:hAnsi="Times New Roman" w:eastAsia="宋体" w:cs="Times New Roman"/>
                      <w:b/>
                      <w:szCs w:val="21"/>
                    </w:rPr>
                    <w:t>工程</w:t>
                  </w:r>
                </w:p>
              </w:tc>
              <w:tc>
                <w:tcPr>
                  <w:tcW w:w="553" w:type="pct"/>
                  <w:tcBorders>
                    <w:tl2br w:val="nil"/>
                    <w:tr2bl w:val="nil"/>
                  </w:tcBorders>
                  <w:vAlign w:val="center"/>
                </w:tcPr>
                <w:p w14:paraId="1B472364">
                  <w:pPr>
                    <w:jc w:val="center"/>
                    <w:rPr>
                      <w:rFonts w:ascii="Times New Roman" w:hAnsi="Times New Roman" w:eastAsia="宋体" w:cs="Times New Roman"/>
                      <w:szCs w:val="21"/>
                    </w:rPr>
                  </w:pPr>
                  <w:r>
                    <w:rPr>
                      <w:rFonts w:ascii="Times New Roman" w:hAnsi="Times New Roman" w:eastAsia="宋体" w:cs="Times New Roman"/>
                      <w:szCs w:val="21"/>
                    </w:rPr>
                    <w:t>原料</w:t>
                  </w:r>
                </w:p>
                <w:p w14:paraId="132563CF">
                  <w:pPr>
                    <w:jc w:val="center"/>
                    <w:rPr>
                      <w:rFonts w:ascii="Times New Roman" w:hAnsi="Times New Roman" w:eastAsia="宋体" w:cs="Times New Roman"/>
                      <w:color w:val="FF0000"/>
                      <w:szCs w:val="21"/>
                    </w:rPr>
                  </w:pPr>
                  <w:r>
                    <w:rPr>
                      <w:rFonts w:hint="eastAsia" w:ascii="Times New Roman" w:hAnsi="Times New Roman" w:eastAsia="宋体" w:cs="Times New Roman"/>
                      <w:szCs w:val="21"/>
                    </w:rPr>
                    <w:t>堆棚</w:t>
                  </w:r>
                </w:p>
              </w:tc>
              <w:tc>
                <w:tcPr>
                  <w:tcW w:w="3382" w:type="pct"/>
                  <w:tcBorders>
                    <w:tl2br w:val="nil"/>
                    <w:tr2bl w:val="nil"/>
                  </w:tcBorders>
                  <w:vAlign w:val="center"/>
                </w:tcPr>
                <w:p w14:paraId="1C72C3AF">
                  <w:pPr>
                    <w:rPr>
                      <w:rFonts w:ascii="Times New Roman" w:hAnsi="Times New Roman" w:eastAsia="宋体" w:cs="Times New Roman"/>
                      <w:bCs/>
                      <w:szCs w:val="21"/>
                    </w:rPr>
                  </w:pPr>
                  <w:r>
                    <w:rPr>
                      <w:rFonts w:hint="eastAsia" w:ascii="Times New Roman" w:hAnsi="Times New Roman" w:eastAsia="宋体" w:cs="Times New Roman"/>
                      <w:bCs/>
                      <w:szCs w:val="21"/>
                    </w:rPr>
                    <w:t>建设原料堆棚1座</w:t>
                  </w:r>
                  <w:r>
                    <w:rPr>
                      <w:rFonts w:ascii="Times New Roman" w:hAnsi="Times New Roman" w:eastAsia="宋体" w:cs="Times New Roman"/>
                      <w:bCs/>
                      <w:szCs w:val="21"/>
                    </w:rPr>
                    <w:t>，</w:t>
                  </w:r>
                  <w:r>
                    <w:rPr>
                      <w:rFonts w:hint="eastAsia" w:ascii="Times New Roman" w:hAnsi="Times New Roman" w:eastAsia="宋体" w:cs="Times New Roman"/>
                      <w:bCs/>
                      <w:szCs w:val="21"/>
                    </w:rPr>
                    <w:t>混凝土精钢结构，半封闭式，</w:t>
                  </w:r>
                  <w:r>
                    <w:rPr>
                      <w:rFonts w:ascii="Times New Roman" w:hAnsi="Times New Roman" w:eastAsia="宋体" w:cs="Times New Roman"/>
                      <w:bCs/>
                      <w:szCs w:val="21"/>
                    </w:rPr>
                    <w:t>占地面积为</w:t>
                  </w:r>
                  <w:r>
                    <w:rPr>
                      <w:rFonts w:hint="eastAsia" w:ascii="Times New Roman" w:hAnsi="Times New Roman" w:eastAsia="宋体" w:cs="Times New Roman"/>
                      <w:bCs/>
                      <w:szCs w:val="21"/>
                    </w:rPr>
                    <w:t>3416</w:t>
                  </w:r>
                  <w:r>
                    <w:rPr>
                      <w:rFonts w:ascii="Times New Roman" w:hAnsi="Times New Roman" w:eastAsia="宋体" w:cs="Times New Roman"/>
                      <w:bCs/>
                      <w:szCs w:val="21"/>
                    </w:rPr>
                    <w:t>m</w:t>
                  </w:r>
                  <w:r>
                    <w:rPr>
                      <w:rFonts w:ascii="Times New Roman" w:hAnsi="Times New Roman" w:eastAsia="宋体" w:cs="Times New Roman"/>
                      <w:bCs/>
                      <w:szCs w:val="21"/>
                      <w:vertAlign w:val="superscript"/>
                    </w:rPr>
                    <w:t>2</w:t>
                  </w:r>
                  <w:r>
                    <w:rPr>
                      <w:rFonts w:ascii="Times New Roman" w:hAnsi="Times New Roman" w:eastAsia="宋体" w:cs="Times New Roman"/>
                      <w:bCs/>
                      <w:szCs w:val="21"/>
                    </w:rPr>
                    <w:t>，主要用于</w:t>
                  </w:r>
                  <w:r>
                    <w:rPr>
                      <w:rFonts w:hint="eastAsia" w:ascii="Times New Roman" w:hAnsi="Times New Roman" w:eastAsia="宋体" w:cs="Times New Roman"/>
                      <w:bCs/>
                      <w:szCs w:val="21"/>
                    </w:rPr>
                    <w:t>石料</w:t>
                  </w:r>
                  <w:r>
                    <w:rPr>
                      <w:rFonts w:ascii="Times New Roman" w:hAnsi="Times New Roman" w:eastAsia="宋体" w:cs="Times New Roman"/>
                      <w:bCs/>
                      <w:szCs w:val="21"/>
                    </w:rPr>
                    <w:t>堆存。</w:t>
                  </w:r>
                </w:p>
                <w:p w14:paraId="79C9CEFC">
                  <w:pPr>
                    <w:rPr>
                      <w:rFonts w:ascii="Times New Roman" w:hAnsi="Times New Roman" w:eastAsia="宋体" w:cs="Times New Roman"/>
                      <w:bCs/>
                      <w:color w:val="FF0000"/>
                      <w:szCs w:val="21"/>
                    </w:rPr>
                  </w:pPr>
                  <w:r>
                    <w:rPr>
                      <w:rFonts w:hint="eastAsia" w:ascii="Times New Roman" w:hAnsi="Times New Roman" w:eastAsia="宋体" w:cs="Times New Roman"/>
                      <w:bCs/>
                      <w:szCs w:val="21"/>
                    </w:rPr>
                    <w:t>原料堆棚分隔为5个独立贮存堆棚，分别堆存0-3mm，3-5mm，5-10mm，10-15mm，10-20mm粒径的石料，最大堆高6m。石料最大贮存量约为2万吨，每7天周转一次</w:t>
                  </w:r>
                  <w:r>
                    <w:rPr>
                      <w:rFonts w:ascii="Times New Roman" w:hAnsi="Times New Roman" w:eastAsia="宋体" w:cs="Times New Roman"/>
                      <w:bCs/>
                      <w:szCs w:val="21"/>
                    </w:rPr>
                    <w:t>。</w:t>
                  </w:r>
                </w:p>
              </w:tc>
              <w:tc>
                <w:tcPr>
                  <w:tcW w:w="664" w:type="pct"/>
                  <w:tcBorders>
                    <w:tl2br w:val="nil"/>
                    <w:tr2bl w:val="nil"/>
                  </w:tcBorders>
                  <w:vAlign w:val="center"/>
                </w:tcPr>
                <w:p w14:paraId="4E16A583">
                  <w:pPr>
                    <w:jc w:val="center"/>
                    <w:rPr>
                      <w:rFonts w:ascii="Times New Roman" w:hAnsi="Times New Roman" w:eastAsia="宋体" w:cs="Times New Roman"/>
                      <w:color w:val="FF0000"/>
                    </w:rPr>
                  </w:pPr>
                  <w:r>
                    <w:rPr>
                      <w:rFonts w:hint="eastAsia" w:ascii="Times New Roman" w:hAnsi="Times New Roman" w:eastAsia="宋体" w:cs="Times New Roman"/>
                    </w:rPr>
                    <w:t>新建</w:t>
                  </w:r>
                </w:p>
              </w:tc>
            </w:tr>
            <w:tr w14:paraId="47553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399" w:type="pct"/>
                  <w:vMerge w:val="continue"/>
                  <w:tcBorders>
                    <w:tl2br w:val="nil"/>
                    <w:tr2bl w:val="nil"/>
                  </w:tcBorders>
                  <w:vAlign w:val="center"/>
                </w:tcPr>
                <w:p w14:paraId="6C84F575">
                  <w:pPr>
                    <w:ind w:firstLine="482"/>
                    <w:jc w:val="center"/>
                    <w:rPr>
                      <w:rFonts w:ascii="Times New Roman" w:hAnsi="Times New Roman" w:eastAsia="宋体" w:cs="Times New Roman"/>
                      <w:b/>
                      <w:color w:val="FF0000"/>
                    </w:rPr>
                  </w:pPr>
                </w:p>
              </w:tc>
              <w:tc>
                <w:tcPr>
                  <w:tcW w:w="553" w:type="pct"/>
                  <w:tcBorders>
                    <w:tl2br w:val="nil"/>
                    <w:tr2bl w:val="nil"/>
                  </w:tcBorders>
                  <w:vAlign w:val="center"/>
                </w:tcPr>
                <w:p w14:paraId="43C96C2F">
                  <w:pPr>
                    <w:rPr>
                      <w:rFonts w:ascii="Times New Roman" w:hAnsi="Times New Roman" w:eastAsia="宋体" w:cs="Times New Roman"/>
                      <w:color w:val="FF0000"/>
                      <w:szCs w:val="21"/>
                    </w:rPr>
                  </w:pPr>
                  <w:r>
                    <w:rPr>
                      <w:rFonts w:hint="eastAsia" w:ascii="Times New Roman" w:hAnsi="Times New Roman" w:eastAsia="宋体" w:cs="Times New Roman"/>
                      <w:szCs w:val="21"/>
                    </w:rPr>
                    <w:t>矿粉罐</w:t>
                  </w:r>
                </w:p>
              </w:tc>
              <w:tc>
                <w:tcPr>
                  <w:tcW w:w="3382" w:type="pct"/>
                  <w:tcBorders>
                    <w:tl2br w:val="nil"/>
                    <w:tr2bl w:val="nil"/>
                  </w:tcBorders>
                  <w:vAlign w:val="center"/>
                </w:tcPr>
                <w:p w14:paraId="21482975">
                  <w:pPr>
                    <w:rPr>
                      <w:rFonts w:ascii="Times New Roman" w:hAnsi="Times New Roman" w:eastAsia="宋体" w:cs="Times New Roman"/>
                      <w:bCs/>
                      <w:szCs w:val="21"/>
                    </w:rPr>
                  </w:pPr>
                  <w:r>
                    <w:rPr>
                      <w:rFonts w:hint="eastAsia" w:ascii="Times New Roman" w:hAnsi="Times New Roman" w:eastAsia="宋体" w:cs="Times New Roman"/>
                      <w:bCs/>
                      <w:szCs w:val="21"/>
                    </w:rPr>
                    <w:t>新建两个矿粉罐。</w:t>
                  </w:r>
                </w:p>
                <w:p w14:paraId="686B33EF">
                  <w:pPr>
                    <w:rPr>
                      <w:rFonts w:ascii="Times New Roman" w:hAnsi="Times New Roman" w:eastAsia="宋体" w:cs="Times New Roman"/>
                      <w:bCs/>
                      <w:szCs w:val="21"/>
                    </w:rPr>
                  </w:pPr>
                  <w:r>
                    <w:rPr>
                      <w:rFonts w:hint="eastAsia" w:ascii="Times New Roman" w:hAnsi="Times New Roman" w:eastAsia="宋体" w:cs="Times New Roman"/>
                      <w:bCs/>
                      <w:szCs w:val="21"/>
                    </w:rPr>
                    <w:t>1#矿粉罐：单体双层罐体，上仓矿粉仓70m</w:t>
                  </w:r>
                  <w:r>
                    <w:rPr>
                      <w:rFonts w:hint="eastAsia" w:ascii="Times New Roman" w:hAnsi="Times New Roman" w:eastAsia="宋体" w:cs="Times New Roman"/>
                      <w:bCs/>
                      <w:szCs w:val="21"/>
                      <w:vertAlign w:val="superscript"/>
                    </w:rPr>
                    <w:t>3</w:t>
                  </w:r>
                  <w:r>
                    <w:rPr>
                      <w:rFonts w:hint="eastAsia" w:ascii="Times New Roman" w:hAnsi="Times New Roman" w:eastAsia="宋体" w:cs="Times New Roman"/>
                      <w:bCs/>
                      <w:szCs w:val="21"/>
                    </w:rPr>
                    <w:t>，下仓回收粉尘仓30m</w:t>
                  </w:r>
                  <w:r>
                    <w:rPr>
                      <w:rFonts w:hint="eastAsia" w:ascii="Times New Roman" w:hAnsi="Times New Roman" w:eastAsia="宋体" w:cs="Times New Roman"/>
                      <w:bCs/>
                      <w:szCs w:val="21"/>
                      <w:vertAlign w:val="superscript"/>
                    </w:rPr>
                    <w:t>3</w:t>
                  </w:r>
                  <w:r>
                    <w:rPr>
                      <w:rFonts w:hint="eastAsia" w:ascii="Times New Roman" w:hAnsi="Times New Roman" w:eastAsia="宋体" w:cs="Times New Roman"/>
                      <w:bCs/>
                      <w:szCs w:val="21"/>
                    </w:rPr>
                    <w:t>，配备振动式仓顶收尘机，高度15m；1#矿粉罐最大贮存</w:t>
                  </w:r>
                  <w:r>
                    <w:rPr>
                      <w:rFonts w:hint="eastAsia" w:ascii="Times New Roman" w:hAnsi="Times New Roman" w:eastAsia="宋体" w:cs="Times New Roman"/>
                      <w:bCs/>
                      <w:color w:val="auto"/>
                      <w:szCs w:val="21"/>
                    </w:rPr>
                    <w:t>量为60t，矿粉</w:t>
                  </w:r>
                  <w:r>
                    <w:rPr>
                      <w:rFonts w:hint="eastAsia" w:ascii="Times New Roman" w:hAnsi="Times New Roman" w:eastAsia="宋体" w:cs="Times New Roman"/>
                      <w:bCs/>
                      <w:szCs w:val="21"/>
                    </w:rPr>
                    <w:t>罐整体内嵌于</w:t>
                  </w:r>
                  <w:r>
                    <w:rPr>
                      <w:rFonts w:ascii="Times New Roman" w:hAnsi="Times New Roman" w:eastAsia="宋体" w:cs="Times New Roman"/>
                      <w:bCs/>
                      <w:szCs w:val="21"/>
                    </w:rPr>
                    <w:t>耐候性沥青混凝土</w:t>
                  </w:r>
                  <w:r>
                    <w:rPr>
                      <w:rFonts w:hint="eastAsia" w:ascii="Times New Roman" w:hAnsi="Times New Roman" w:eastAsia="宋体" w:cs="Times New Roman"/>
                      <w:bCs/>
                      <w:szCs w:val="21"/>
                    </w:rPr>
                    <w:t>拌合楼。</w:t>
                  </w:r>
                </w:p>
                <w:p w14:paraId="73B44E22">
                  <w:r>
                    <w:rPr>
                      <w:rFonts w:hint="eastAsia" w:ascii="Times New Roman" w:hAnsi="Times New Roman" w:eastAsia="宋体" w:cs="Times New Roman"/>
                      <w:bCs/>
                      <w:szCs w:val="21"/>
                    </w:rPr>
                    <w:t>2#矿粉罐：单体罐，独立于沥青混凝土拌合楼外，高度15m，最大贮存量80t，设置振动式仓顶收尘机。</w:t>
                  </w:r>
                </w:p>
              </w:tc>
              <w:tc>
                <w:tcPr>
                  <w:tcW w:w="664" w:type="pct"/>
                  <w:tcBorders>
                    <w:tl2br w:val="nil"/>
                    <w:tr2bl w:val="nil"/>
                  </w:tcBorders>
                  <w:vAlign w:val="center"/>
                </w:tcPr>
                <w:p w14:paraId="67266749">
                  <w:pPr>
                    <w:jc w:val="center"/>
                    <w:rPr>
                      <w:rFonts w:ascii="Times New Roman" w:hAnsi="Times New Roman" w:eastAsia="宋体" w:cs="Times New Roman"/>
                      <w:color w:val="FF0000"/>
                      <w:highlight w:val="yellow"/>
                    </w:rPr>
                  </w:pPr>
                  <w:r>
                    <w:rPr>
                      <w:rFonts w:hint="eastAsia" w:ascii="Times New Roman" w:hAnsi="Times New Roman" w:eastAsia="宋体" w:cs="Times New Roman"/>
                    </w:rPr>
                    <w:t>新建</w:t>
                  </w:r>
                </w:p>
              </w:tc>
            </w:tr>
            <w:tr w14:paraId="7E1C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399" w:type="pct"/>
                  <w:vMerge w:val="continue"/>
                  <w:tcBorders>
                    <w:tl2br w:val="nil"/>
                    <w:tr2bl w:val="nil"/>
                  </w:tcBorders>
                  <w:vAlign w:val="center"/>
                </w:tcPr>
                <w:p w14:paraId="2BE9D0B7">
                  <w:pPr>
                    <w:ind w:firstLine="482"/>
                    <w:jc w:val="center"/>
                    <w:rPr>
                      <w:rFonts w:ascii="Times New Roman" w:hAnsi="Times New Roman" w:eastAsia="宋体" w:cs="Times New Roman"/>
                      <w:b/>
                      <w:color w:val="FF0000"/>
                    </w:rPr>
                  </w:pPr>
                </w:p>
              </w:tc>
              <w:tc>
                <w:tcPr>
                  <w:tcW w:w="553" w:type="pct"/>
                  <w:tcBorders>
                    <w:tl2br w:val="nil"/>
                    <w:tr2bl w:val="nil"/>
                  </w:tcBorders>
                  <w:vAlign w:val="center"/>
                </w:tcPr>
                <w:p w14:paraId="43F8C47D">
                  <w:pPr>
                    <w:jc w:val="center"/>
                    <w:rPr>
                      <w:rFonts w:ascii="Times New Roman" w:hAnsi="Times New Roman" w:eastAsia="宋体" w:cs="Times New Roman"/>
                      <w:szCs w:val="21"/>
                    </w:rPr>
                  </w:pPr>
                  <w:r>
                    <w:rPr>
                      <w:rFonts w:hint="eastAsia" w:ascii="Times New Roman" w:hAnsi="Times New Roman" w:eastAsia="宋体" w:cs="Times New Roman"/>
                      <w:szCs w:val="21"/>
                    </w:rPr>
                    <w:t>冷料仓</w:t>
                  </w:r>
                </w:p>
              </w:tc>
              <w:tc>
                <w:tcPr>
                  <w:tcW w:w="3382" w:type="pct"/>
                  <w:tcBorders>
                    <w:tl2br w:val="nil"/>
                    <w:tr2bl w:val="nil"/>
                  </w:tcBorders>
                  <w:vAlign w:val="center"/>
                </w:tcPr>
                <w:p w14:paraId="3996B83E">
                  <w:pPr>
                    <w:jc w:val="both"/>
                    <w:rPr>
                      <w:highlight w:val="yellow"/>
                    </w:rPr>
                  </w:pPr>
                  <w:r>
                    <w:rPr>
                      <w:rFonts w:hint="eastAsia" w:ascii="Times New Roman" w:hAnsi="Times New Roman" w:eastAsia="宋体" w:cs="Times New Roman"/>
                      <w:bCs/>
                      <w:color w:val="1331F5"/>
                      <w:szCs w:val="21"/>
                    </w:rPr>
                    <w:t>新建6个冷料仓</w:t>
                  </w:r>
                  <w:r>
                    <w:rPr>
                      <w:rFonts w:hint="eastAsia" w:ascii="Times New Roman" w:hAnsi="Times New Roman" w:eastAsia="宋体" w:cs="Times New Roman"/>
                      <w:bCs/>
                      <w:color w:val="1331F5"/>
                      <w:szCs w:val="21"/>
                      <w:lang w:eastAsia="zh-CN"/>
                    </w:rPr>
                    <w:t>（</w:t>
                  </w:r>
                  <w:r>
                    <w:rPr>
                      <w:rFonts w:hint="eastAsia" w:ascii="Times New Roman" w:hAnsi="Times New Roman" w:eastAsia="宋体" w:cs="Times New Roman"/>
                      <w:bCs/>
                      <w:color w:val="1331F5"/>
                      <w:szCs w:val="21"/>
                      <w:lang w:val="en-US" w:eastAsia="zh-CN"/>
                    </w:rPr>
                    <w:t>3+3仓式冷料仓</w:t>
                  </w:r>
                  <w:r>
                    <w:rPr>
                      <w:rFonts w:hint="eastAsia" w:ascii="Times New Roman" w:hAnsi="Times New Roman" w:eastAsia="宋体" w:cs="Times New Roman"/>
                      <w:bCs/>
                      <w:color w:val="1331F5"/>
                      <w:szCs w:val="21"/>
                      <w:lang w:eastAsia="zh-CN"/>
                    </w:rPr>
                    <w:t>）</w:t>
                  </w:r>
                  <w:r>
                    <w:rPr>
                      <w:rFonts w:hint="eastAsia" w:ascii="Times New Roman" w:hAnsi="Times New Roman" w:eastAsia="宋体" w:cs="Times New Roman"/>
                      <w:bCs/>
                      <w:color w:val="1331F5"/>
                      <w:szCs w:val="21"/>
                    </w:rPr>
                    <w:t>，</w:t>
                  </w:r>
                  <w:r>
                    <w:rPr>
                      <w:rFonts w:hint="eastAsia" w:ascii="Times New Roman" w:hAnsi="Times New Roman" w:eastAsia="宋体" w:cs="Times New Roman"/>
                      <w:bCs/>
                      <w:color w:val="1331F5"/>
                      <w:szCs w:val="21"/>
                      <w:lang w:val="en-US" w:eastAsia="zh-CN"/>
                    </w:rPr>
                    <w:t>碳素结构钢；</w:t>
                  </w:r>
                  <w:r>
                    <w:rPr>
                      <w:rFonts w:hint="eastAsia" w:ascii="Times New Roman" w:hAnsi="Times New Roman" w:eastAsia="宋体" w:cs="Times New Roman"/>
                      <w:bCs/>
                      <w:szCs w:val="21"/>
                    </w:rPr>
                    <w:t>每个冷料仓最大瞬时容量20t，最大瞬时暂存容量120t</w:t>
                  </w:r>
                </w:p>
              </w:tc>
              <w:tc>
                <w:tcPr>
                  <w:tcW w:w="664" w:type="pct"/>
                  <w:tcBorders>
                    <w:tl2br w:val="nil"/>
                    <w:tr2bl w:val="nil"/>
                  </w:tcBorders>
                  <w:vAlign w:val="center"/>
                </w:tcPr>
                <w:p w14:paraId="6626EB47">
                  <w:pPr>
                    <w:jc w:val="center"/>
                    <w:rPr>
                      <w:rFonts w:ascii="Times New Roman" w:hAnsi="Times New Roman" w:eastAsia="宋体" w:cs="Times New Roman"/>
                    </w:rPr>
                  </w:pPr>
                  <w:r>
                    <w:rPr>
                      <w:rFonts w:hint="eastAsia" w:ascii="Times New Roman" w:hAnsi="Times New Roman" w:eastAsia="宋体" w:cs="Times New Roman"/>
                    </w:rPr>
                    <w:t>新建</w:t>
                  </w:r>
                </w:p>
              </w:tc>
            </w:tr>
            <w:tr w14:paraId="6FCF6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399" w:type="pct"/>
                  <w:vMerge w:val="continue"/>
                  <w:tcBorders>
                    <w:tl2br w:val="nil"/>
                    <w:tr2bl w:val="nil"/>
                  </w:tcBorders>
                  <w:vAlign w:val="center"/>
                </w:tcPr>
                <w:p w14:paraId="366E0BD3">
                  <w:pPr>
                    <w:ind w:firstLine="482"/>
                    <w:jc w:val="center"/>
                    <w:rPr>
                      <w:rFonts w:ascii="Times New Roman" w:hAnsi="Times New Roman" w:eastAsia="宋体" w:cs="Times New Roman"/>
                      <w:b/>
                      <w:color w:val="FF0000"/>
                    </w:rPr>
                  </w:pPr>
                </w:p>
              </w:tc>
              <w:tc>
                <w:tcPr>
                  <w:tcW w:w="553" w:type="pct"/>
                  <w:tcBorders>
                    <w:tl2br w:val="nil"/>
                    <w:tr2bl w:val="nil"/>
                  </w:tcBorders>
                  <w:vAlign w:val="center"/>
                </w:tcPr>
                <w:p w14:paraId="36C86343">
                  <w:pPr>
                    <w:jc w:val="center"/>
                    <w:rPr>
                      <w:rFonts w:ascii="Times New Roman" w:hAnsi="Times New Roman" w:eastAsia="宋体" w:cs="Times New Roman"/>
                      <w:bCs/>
                      <w:szCs w:val="21"/>
                    </w:rPr>
                  </w:pPr>
                  <w:r>
                    <w:rPr>
                      <w:rFonts w:hint="eastAsia" w:ascii="Times New Roman" w:hAnsi="Times New Roman" w:eastAsia="宋体" w:cs="Times New Roman"/>
                      <w:bCs/>
                      <w:szCs w:val="21"/>
                    </w:rPr>
                    <w:t>废料仓</w:t>
                  </w:r>
                </w:p>
              </w:tc>
              <w:tc>
                <w:tcPr>
                  <w:tcW w:w="3382" w:type="pct"/>
                  <w:tcBorders>
                    <w:tl2br w:val="nil"/>
                    <w:tr2bl w:val="nil"/>
                  </w:tcBorders>
                  <w:vAlign w:val="center"/>
                </w:tcPr>
                <w:p w14:paraId="4094D15D">
                  <w:pPr>
                    <w:jc w:val="center"/>
                    <w:rPr>
                      <w:rFonts w:ascii="Times New Roman" w:hAnsi="Times New Roman" w:eastAsia="宋体" w:cs="Times New Roman"/>
                      <w:bCs/>
                      <w:szCs w:val="21"/>
                    </w:rPr>
                  </w:pPr>
                  <w:r>
                    <w:rPr>
                      <w:rFonts w:hint="eastAsia" w:ascii="Times New Roman" w:hAnsi="Times New Roman" w:eastAsia="宋体" w:cs="Times New Roman"/>
                      <w:bCs/>
                      <w:szCs w:val="21"/>
                    </w:rPr>
                    <w:t>新建废料仓2座，单座容积15.3m</w:t>
                  </w:r>
                  <w:r>
                    <w:rPr>
                      <w:rFonts w:hint="eastAsia" w:ascii="Times New Roman" w:hAnsi="Times New Roman" w:eastAsia="宋体" w:cs="Times New Roman"/>
                      <w:bCs/>
                      <w:szCs w:val="21"/>
                      <w:vertAlign w:val="superscript"/>
                    </w:rPr>
                    <w:t>3</w:t>
                  </w:r>
                  <w:r>
                    <w:rPr>
                      <w:rFonts w:hint="eastAsia" w:ascii="Times New Roman" w:hAnsi="Times New Roman" w:eastAsia="宋体" w:cs="Times New Roman"/>
                      <w:bCs/>
                      <w:szCs w:val="21"/>
                    </w:rPr>
                    <w:t>，混凝土结构，三面封闭，顶上敞口，1座用于接收矿粉罐下仓回收粉尘仓经加湿后的回收粉尘，1座用于接收不合格石料</w:t>
                  </w:r>
                </w:p>
              </w:tc>
              <w:tc>
                <w:tcPr>
                  <w:tcW w:w="664" w:type="pct"/>
                  <w:tcBorders>
                    <w:tl2br w:val="nil"/>
                    <w:tr2bl w:val="nil"/>
                  </w:tcBorders>
                  <w:vAlign w:val="center"/>
                </w:tcPr>
                <w:p w14:paraId="2830B654">
                  <w:pPr>
                    <w:jc w:val="center"/>
                    <w:rPr>
                      <w:rFonts w:ascii="Times New Roman" w:hAnsi="Times New Roman" w:eastAsia="宋体" w:cs="Times New Roman"/>
                      <w:color w:val="FF0000"/>
                    </w:rPr>
                  </w:pPr>
                  <w:r>
                    <w:rPr>
                      <w:rFonts w:hint="eastAsia" w:ascii="Times New Roman" w:hAnsi="Times New Roman" w:eastAsia="宋体" w:cs="Times New Roman"/>
                    </w:rPr>
                    <w:t>新建</w:t>
                  </w:r>
                </w:p>
              </w:tc>
            </w:tr>
            <w:tr w14:paraId="371D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399" w:type="pct"/>
                  <w:vMerge w:val="continue"/>
                  <w:tcBorders>
                    <w:tl2br w:val="nil"/>
                    <w:tr2bl w:val="nil"/>
                  </w:tcBorders>
                  <w:vAlign w:val="center"/>
                </w:tcPr>
                <w:p w14:paraId="032E68F1">
                  <w:pPr>
                    <w:ind w:firstLine="482"/>
                    <w:jc w:val="center"/>
                    <w:rPr>
                      <w:rFonts w:ascii="Times New Roman" w:hAnsi="Times New Roman" w:eastAsia="宋体" w:cs="Times New Roman"/>
                      <w:b/>
                      <w:color w:val="FF0000"/>
                    </w:rPr>
                  </w:pPr>
                </w:p>
              </w:tc>
              <w:tc>
                <w:tcPr>
                  <w:tcW w:w="553" w:type="pct"/>
                  <w:tcBorders>
                    <w:tl2br w:val="nil"/>
                    <w:tr2bl w:val="nil"/>
                  </w:tcBorders>
                  <w:vAlign w:val="center"/>
                </w:tcPr>
                <w:p w14:paraId="267C8BFE">
                  <w:pPr>
                    <w:rPr>
                      <w:rFonts w:ascii="Times New Roman" w:hAnsi="Times New Roman" w:eastAsia="宋体" w:cs="Times New Roman"/>
                      <w:bCs/>
                      <w:szCs w:val="21"/>
                    </w:rPr>
                  </w:pPr>
                  <w:r>
                    <w:rPr>
                      <w:rFonts w:ascii="Times New Roman" w:hAnsi="Times New Roman" w:eastAsia="宋体" w:cs="Times New Roman"/>
                      <w:bCs/>
                      <w:szCs w:val="21"/>
                    </w:rPr>
                    <w:t>沥青罐</w:t>
                  </w:r>
                </w:p>
              </w:tc>
              <w:tc>
                <w:tcPr>
                  <w:tcW w:w="3382" w:type="pct"/>
                  <w:tcBorders>
                    <w:tl2br w:val="nil"/>
                    <w:tr2bl w:val="nil"/>
                  </w:tcBorders>
                  <w:vAlign w:val="center"/>
                </w:tcPr>
                <w:p w14:paraId="131349B9">
                  <w:pPr>
                    <w:rPr>
                      <w:rFonts w:ascii="Times New Roman" w:hAnsi="Times New Roman" w:eastAsia="宋体" w:cs="Times New Roman"/>
                      <w:bCs/>
                      <w:color w:val="0000FF"/>
                      <w:szCs w:val="21"/>
                    </w:rPr>
                  </w:pPr>
                  <w:r>
                    <w:rPr>
                      <w:rFonts w:ascii="Times New Roman" w:hAnsi="Times New Roman" w:eastAsia="宋体" w:cs="Times New Roman"/>
                      <w:bCs/>
                      <w:szCs w:val="21"/>
                    </w:rPr>
                    <w:t>新建</w:t>
                  </w:r>
                  <w:r>
                    <w:rPr>
                      <w:rFonts w:hint="eastAsia" w:ascii="Times New Roman" w:hAnsi="Times New Roman" w:eastAsia="宋体" w:cs="Times New Roman"/>
                      <w:bCs/>
                      <w:szCs w:val="21"/>
                    </w:rPr>
                    <w:t>7</w:t>
                  </w:r>
                  <w:r>
                    <w:rPr>
                      <w:rFonts w:ascii="Times New Roman" w:hAnsi="Times New Roman" w:eastAsia="宋体" w:cs="Times New Roman"/>
                      <w:bCs/>
                      <w:szCs w:val="21"/>
                    </w:rPr>
                    <w:t>个封闭式</w:t>
                  </w:r>
                  <w:r>
                    <w:rPr>
                      <w:rFonts w:hint="eastAsia" w:ascii="Times New Roman" w:hAnsi="Times New Roman" w:eastAsia="宋体" w:cs="Times New Roman"/>
                      <w:bCs/>
                      <w:szCs w:val="21"/>
                    </w:rPr>
                    <w:t>卧式精钢沥青罐</w:t>
                  </w:r>
                  <w:r>
                    <w:rPr>
                      <w:rFonts w:ascii="Times New Roman" w:hAnsi="Times New Roman" w:eastAsia="宋体" w:cs="Times New Roman"/>
                      <w:bCs/>
                      <w:szCs w:val="21"/>
                    </w:rPr>
                    <w:t>，</w:t>
                  </w:r>
                  <w:r>
                    <w:rPr>
                      <w:rFonts w:hint="eastAsia" w:ascii="Times New Roman" w:hAnsi="Times New Roman" w:eastAsia="宋体" w:cs="Times New Roman"/>
                      <w:bCs/>
                      <w:szCs w:val="21"/>
                    </w:rPr>
                    <w:t>单个罐体容积50m</w:t>
                  </w:r>
                  <w:r>
                    <w:rPr>
                      <w:rFonts w:hint="eastAsia" w:ascii="Times New Roman" w:hAnsi="Times New Roman" w:eastAsia="宋体" w:cs="Times New Roman"/>
                      <w:bCs/>
                      <w:szCs w:val="21"/>
                      <w:vertAlign w:val="superscript"/>
                    </w:rPr>
                    <w:t>3</w:t>
                  </w:r>
                  <w:r>
                    <w:rPr>
                      <w:rFonts w:hint="eastAsia" w:ascii="Times New Roman" w:hAnsi="Times New Roman" w:eastAsia="宋体" w:cs="Times New Roman"/>
                      <w:bCs/>
                      <w:szCs w:val="21"/>
                    </w:rPr>
                    <w:t>，单个罐体</w:t>
                  </w:r>
                  <w:r>
                    <w:rPr>
                      <w:rFonts w:ascii="Times New Roman" w:hAnsi="Times New Roman" w:eastAsia="宋体" w:cs="Times New Roman"/>
                      <w:bCs/>
                      <w:szCs w:val="21"/>
                    </w:rPr>
                    <w:t>最大</w:t>
                  </w:r>
                  <w:r>
                    <w:rPr>
                      <w:rFonts w:hint="eastAsia" w:ascii="Times New Roman" w:hAnsi="Times New Roman" w:eastAsia="宋体" w:cs="Times New Roman"/>
                      <w:bCs/>
                      <w:szCs w:val="21"/>
                    </w:rPr>
                    <w:t>贮存</w:t>
                  </w:r>
                  <w:r>
                    <w:rPr>
                      <w:rFonts w:ascii="Times New Roman" w:hAnsi="Times New Roman" w:eastAsia="宋体" w:cs="Times New Roman"/>
                      <w:bCs/>
                      <w:szCs w:val="21"/>
                    </w:rPr>
                    <w:t>量为</w:t>
                  </w:r>
                  <w:r>
                    <w:rPr>
                      <w:rFonts w:hint="eastAsia" w:ascii="Times New Roman" w:hAnsi="Times New Roman" w:eastAsia="宋体" w:cs="Times New Roman"/>
                      <w:bCs/>
                      <w:szCs w:val="21"/>
                    </w:rPr>
                    <w:t>40t</w:t>
                  </w:r>
                  <w:r>
                    <w:rPr>
                      <w:rFonts w:ascii="Times New Roman" w:hAnsi="Times New Roman" w:eastAsia="宋体" w:cs="Times New Roman"/>
                      <w:bCs/>
                      <w:szCs w:val="21"/>
                    </w:rPr>
                    <w:t>。采用1台1160kw有机热载体炉对沥青储罐进行</w:t>
                  </w:r>
                  <w:r>
                    <w:rPr>
                      <w:rFonts w:hint="eastAsia" w:ascii="Times New Roman" w:hAnsi="Times New Roman" w:eastAsia="宋体" w:cs="Times New Roman"/>
                      <w:bCs/>
                      <w:szCs w:val="21"/>
                    </w:rPr>
                    <w:t>间接</w:t>
                  </w:r>
                  <w:r>
                    <w:rPr>
                      <w:rFonts w:ascii="Times New Roman" w:hAnsi="Times New Roman" w:eastAsia="宋体" w:cs="Times New Roman"/>
                      <w:bCs/>
                      <w:szCs w:val="21"/>
                    </w:rPr>
                    <w:t>加热。</w:t>
                  </w:r>
                </w:p>
                <w:p w14:paraId="65FFFC65">
                  <w:pPr>
                    <w:rPr>
                      <w:rFonts w:ascii="Times New Roman" w:hAnsi="Times New Roman" w:eastAsia="宋体" w:cs="Times New Roman"/>
                      <w:bCs/>
                      <w:szCs w:val="21"/>
                    </w:rPr>
                  </w:pPr>
                  <w:r>
                    <w:rPr>
                      <w:rFonts w:hint="eastAsia" w:ascii="Times New Roman" w:hAnsi="Times New Roman" w:eastAsia="宋体" w:cs="Times New Roman"/>
                      <w:bCs/>
                      <w:szCs w:val="21"/>
                    </w:rPr>
                    <w:t>新建1座单体1000t沥青储罐，精钢立式罐体，高度11m，最大贮存量750t。</w:t>
                  </w:r>
                </w:p>
              </w:tc>
              <w:tc>
                <w:tcPr>
                  <w:tcW w:w="664" w:type="pct"/>
                  <w:vMerge w:val="restart"/>
                  <w:tcBorders>
                    <w:tl2br w:val="nil"/>
                    <w:tr2bl w:val="nil"/>
                  </w:tcBorders>
                  <w:vAlign w:val="center"/>
                </w:tcPr>
                <w:p w14:paraId="2882A5C1">
                  <w:pPr>
                    <w:jc w:val="center"/>
                    <w:rPr>
                      <w:rFonts w:ascii="Times New Roman" w:hAnsi="Times New Roman" w:eastAsia="宋体" w:cs="Times New Roman"/>
                    </w:rPr>
                  </w:pPr>
                  <w:r>
                    <w:rPr>
                      <w:rFonts w:hint="eastAsia" w:ascii="Times New Roman" w:hAnsi="Times New Roman" w:eastAsia="宋体" w:cs="Times New Roman"/>
                    </w:rPr>
                    <w:t>新建</w:t>
                  </w:r>
                </w:p>
              </w:tc>
            </w:tr>
            <w:tr w14:paraId="7FC59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99" w:type="pct"/>
                  <w:vMerge w:val="continue"/>
                  <w:tcBorders>
                    <w:tl2br w:val="nil"/>
                    <w:tr2bl w:val="nil"/>
                  </w:tcBorders>
                  <w:vAlign w:val="center"/>
                </w:tcPr>
                <w:p w14:paraId="07DB7904">
                  <w:pPr>
                    <w:ind w:firstLine="482"/>
                    <w:jc w:val="center"/>
                    <w:rPr>
                      <w:rFonts w:ascii="Times New Roman" w:hAnsi="Times New Roman" w:eastAsia="宋体" w:cs="Times New Roman"/>
                      <w:b/>
                      <w:color w:val="FF0000"/>
                    </w:rPr>
                  </w:pPr>
                </w:p>
              </w:tc>
              <w:tc>
                <w:tcPr>
                  <w:tcW w:w="553" w:type="pct"/>
                  <w:tcBorders>
                    <w:tl2br w:val="nil"/>
                    <w:tr2bl w:val="nil"/>
                  </w:tcBorders>
                  <w:vAlign w:val="center"/>
                </w:tcPr>
                <w:p w14:paraId="09BE5557">
                  <w:pPr>
                    <w:jc w:val="center"/>
                    <w:rPr>
                      <w:rFonts w:ascii="Times New Roman" w:hAnsi="Times New Roman" w:eastAsia="宋体" w:cs="Times New Roman"/>
                      <w:color w:val="FF0000"/>
                      <w:szCs w:val="21"/>
                    </w:rPr>
                  </w:pPr>
                  <w:r>
                    <w:rPr>
                      <w:rFonts w:ascii="Times New Roman" w:hAnsi="Times New Roman" w:eastAsia="宋体" w:cs="Times New Roman"/>
                      <w:szCs w:val="21"/>
                    </w:rPr>
                    <w:t>柴油罐</w:t>
                  </w:r>
                </w:p>
              </w:tc>
              <w:tc>
                <w:tcPr>
                  <w:tcW w:w="3382" w:type="pct"/>
                  <w:tcBorders>
                    <w:tl2br w:val="nil"/>
                    <w:tr2bl w:val="nil"/>
                  </w:tcBorders>
                  <w:vAlign w:val="center"/>
                </w:tcPr>
                <w:p w14:paraId="65DC97A3">
                  <w:pPr>
                    <w:jc w:val="center"/>
                    <w:rPr>
                      <w:rFonts w:ascii="Times New Roman" w:hAnsi="Times New Roman" w:eastAsia="宋体" w:cs="Times New Roman"/>
                      <w:bCs/>
                      <w:color w:val="FF0000"/>
                      <w:szCs w:val="21"/>
                    </w:rPr>
                  </w:pPr>
                  <w:r>
                    <w:rPr>
                      <w:rFonts w:ascii="Times New Roman" w:hAnsi="Times New Roman" w:eastAsia="宋体" w:cs="Times New Roman"/>
                      <w:bCs/>
                      <w:szCs w:val="21"/>
                    </w:rPr>
                    <w:t>新建</w:t>
                  </w:r>
                  <w:r>
                    <w:rPr>
                      <w:rFonts w:hint="eastAsia" w:ascii="Times New Roman" w:hAnsi="Times New Roman" w:eastAsia="宋体" w:cs="Times New Roman"/>
                      <w:bCs/>
                      <w:szCs w:val="21"/>
                    </w:rPr>
                    <w:t>2</w:t>
                  </w:r>
                  <w:r>
                    <w:rPr>
                      <w:rFonts w:ascii="Times New Roman" w:hAnsi="Times New Roman" w:eastAsia="宋体" w:cs="Times New Roman"/>
                      <w:bCs/>
                      <w:szCs w:val="21"/>
                    </w:rPr>
                    <w:t>个</w:t>
                  </w:r>
                  <w:r>
                    <w:rPr>
                      <w:rFonts w:hint="eastAsia" w:ascii="Times New Roman" w:hAnsi="Times New Roman" w:eastAsia="宋体" w:cs="Times New Roman"/>
                      <w:bCs/>
                      <w:szCs w:val="21"/>
                    </w:rPr>
                    <w:t>卧式精钢</w:t>
                  </w:r>
                  <w:r>
                    <w:rPr>
                      <w:rFonts w:ascii="Times New Roman" w:hAnsi="Times New Roman" w:eastAsia="宋体" w:cs="Times New Roman"/>
                      <w:bCs/>
                      <w:szCs w:val="21"/>
                    </w:rPr>
                    <w:t>柴油储罐，</w:t>
                  </w:r>
                  <w:r>
                    <w:rPr>
                      <w:rFonts w:hint="eastAsia" w:ascii="Times New Roman" w:hAnsi="Times New Roman" w:eastAsia="宋体" w:cs="Times New Roman"/>
                      <w:bCs/>
                      <w:szCs w:val="21"/>
                    </w:rPr>
                    <w:t>1个罐体容积50m</w:t>
                  </w:r>
                  <w:r>
                    <w:rPr>
                      <w:rFonts w:hint="eastAsia" w:ascii="Times New Roman" w:hAnsi="Times New Roman" w:eastAsia="宋体" w:cs="Times New Roman"/>
                      <w:bCs/>
                      <w:szCs w:val="21"/>
                      <w:vertAlign w:val="superscript"/>
                    </w:rPr>
                    <w:t>3</w:t>
                  </w:r>
                  <w:r>
                    <w:rPr>
                      <w:rFonts w:hint="eastAsia" w:ascii="Times New Roman" w:hAnsi="Times New Roman" w:eastAsia="宋体" w:cs="Times New Roman"/>
                      <w:bCs/>
                      <w:szCs w:val="21"/>
                    </w:rPr>
                    <w:t>，最大贮存量40t，1个罐体容积30m</w:t>
                  </w:r>
                  <w:r>
                    <w:rPr>
                      <w:rFonts w:hint="eastAsia" w:ascii="Times New Roman" w:hAnsi="Times New Roman" w:eastAsia="宋体" w:cs="Times New Roman"/>
                      <w:bCs/>
                      <w:szCs w:val="21"/>
                      <w:vertAlign w:val="superscript"/>
                    </w:rPr>
                    <w:t>3</w:t>
                  </w:r>
                  <w:r>
                    <w:rPr>
                      <w:rFonts w:hint="eastAsia" w:ascii="Times New Roman" w:hAnsi="Times New Roman" w:eastAsia="宋体" w:cs="Times New Roman"/>
                      <w:bCs/>
                      <w:szCs w:val="21"/>
                    </w:rPr>
                    <w:t>，最大贮存量25t。</w:t>
                  </w:r>
                </w:p>
              </w:tc>
              <w:tc>
                <w:tcPr>
                  <w:tcW w:w="664" w:type="pct"/>
                  <w:vMerge w:val="continue"/>
                  <w:tcBorders>
                    <w:tl2br w:val="nil"/>
                    <w:tr2bl w:val="nil"/>
                  </w:tcBorders>
                  <w:vAlign w:val="center"/>
                </w:tcPr>
                <w:p w14:paraId="5AB2286C">
                  <w:pPr>
                    <w:jc w:val="center"/>
                    <w:rPr>
                      <w:rFonts w:ascii="Times New Roman" w:hAnsi="Times New Roman" w:eastAsia="宋体" w:cs="Times New Roman"/>
                    </w:rPr>
                  </w:pPr>
                </w:p>
              </w:tc>
            </w:tr>
            <w:tr w14:paraId="00A6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99" w:type="pct"/>
                  <w:vMerge w:val="continue"/>
                  <w:tcBorders>
                    <w:tl2br w:val="nil"/>
                    <w:tr2bl w:val="nil"/>
                  </w:tcBorders>
                  <w:vAlign w:val="center"/>
                </w:tcPr>
                <w:p w14:paraId="5AA8C892">
                  <w:pPr>
                    <w:ind w:firstLine="482"/>
                    <w:jc w:val="center"/>
                    <w:rPr>
                      <w:rFonts w:ascii="Times New Roman" w:hAnsi="Times New Roman" w:eastAsia="宋体" w:cs="Times New Roman"/>
                      <w:b/>
                      <w:color w:val="FF0000"/>
                    </w:rPr>
                  </w:pPr>
                </w:p>
              </w:tc>
              <w:tc>
                <w:tcPr>
                  <w:tcW w:w="553" w:type="pct"/>
                  <w:tcBorders>
                    <w:tl2br w:val="nil"/>
                    <w:tr2bl w:val="nil"/>
                  </w:tcBorders>
                  <w:vAlign w:val="center"/>
                </w:tcPr>
                <w:p w14:paraId="18237743">
                  <w:pPr>
                    <w:jc w:val="center"/>
                    <w:rPr>
                      <w:rFonts w:ascii="Times New Roman" w:hAnsi="Times New Roman" w:eastAsia="宋体" w:cs="Times New Roman"/>
                      <w:szCs w:val="21"/>
                    </w:rPr>
                  </w:pPr>
                  <w:r>
                    <w:rPr>
                      <w:rFonts w:hint="eastAsia" w:ascii="Times New Roman" w:hAnsi="Times New Roman" w:eastAsia="宋体" w:cs="Times New Roman"/>
                      <w:szCs w:val="21"/>
                    </w:rPr>
                    <w:t>危险废物贮存点</w:t>
                  </w:r>
                </w:p>
              </w:tc>
              <w:tc>
                <w:tcPr>
                  <w:tcW w:w="5434" w:type="dxa"/>
                  <w:tcBorders>
                    <w:tl2br w:val="nil"/>
                    <w:tr2bl w:val="nil"/>
                  </w:tcBorders>
                  <w:vAlign w:val="center"/>
                </w:tcPr>
                <w:p w14:paraId="23A3003C">
                  <w:pPr>
                    <w:jc w:val="center"/>
                    <w:rPr>
                      <w:rFonts w:ascii="Times New Roman" w:hAnsi="Times New Roman" w:eastAsia="宋体" w:cs="Times New Roman"/>
                      <w:bCs/>
                      <w:color w:val="FF0000"/>
                      <w:szCs w:val="21"/>
                    </w:rPr>
                  </w:pPr>
                  <w:r>
                    <w:rPr>
                      <w:rFonts w:hint="eastAsia" w:ascii="Times New Roman" w:hAnsi="Times New Roman" w:eastAsia="宋体" w:cs="Times New Roman"/>
                      <w:bCs/>
                      <w:szCs w:val="21"/>
                    </w:rPr>
                    <w:t>本项目建设1座35m</w:t>
                  </w:r>
                  <w:r>
                    <w:rPr>
                      <w:rFonts w:hint="eastAsia" w:ascii="Times New Roman" w:hAnsi="Times New Roman" w:eastAsia="宋体" w:cs="Times New Roman"/>
                      <w:bCs/>
                      <w:szCs w:val="21"/>
                      <w:vertAlign w:val="superscript"/>
                    </w:rPr>
                    <w:t>2</w:t>
                  </w:r>
                  <w:r>
                    <w:rPr>
                      <w:rFonts w:hint="eastAsia" w:ascii="Times New Roman" w:hAnsi="Times New Roman" w:eastAsia="宋体" w:cs="Times New Roman"/>
                      <w:bCs/>
                      <w:szCs w:val="21"/>
                    </w:rPr>
                    <w:t>危险废物贮存点，危险废物贮存点应做好防腐防渗措施，执行《危险废物贮存污染控制标准》（GB18597-2023）中的有关规定。</w:t>
                  </w:r>
                </w:p>
              </w:tc>
              <w:tc>
                <w:tcPr>
                  <w:tcW w:w="664" w:type="pct"/>
                  <w:tcBorders>
                    <w:tl2br w:val="nil"/>
                    <w:tr2bl w:val="nil"/>
                  </w:tcBorders>
                  <w:vAlign w:val="center"/>
                </w:tcPr>
                <w:p w14:paraId="3F4CCECB">
                  <w:pPr>
                    <w:jc w:val="center"/>
                    <w:rPr>
                      <w:rFonts w:ascii="Times New Roman" w:hAnsi="Times New Roman" w:eastAsia="宋体" w:cs="Times New Roman"/>
                    </w:rPr>
                  </w:pPr>
                  <w:r>
                    <w:rPr>
                      <w:rFonts w:hint="eastAsia" w:ascii="Times New Roman" w:hAnsi="Times New Roman" w:eastAsia="宋体" w:cs="Times New Roman"/>
                    </w:rPr>
                    <w:t>新建</w:t>
                  </w:r>
                </w:p>
              </w:tc>
            </w:tr>
            <w:tr w14:paraId="156E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399" w:type="pct"/>
                  <w:vMerge w:val="continue"/>
                  <w:tcBorders>
                    <w:tl2br w:val="nil"/>
                    <w:tr2bl w:val="nil"/>
                  </w:tcBorders>
                  <w:vAlign w:val="center"/>
                </w:tcPr>
                <w:p w14:paraId="018563C3">
                  <w:pPr>
                    <w:ind w:firstLine="482"/>
                    <w:jc w:val="center"/>
                    <w:rPr>
                      <w:rFonts w:ascii="Times New Roman" w:hAnsi="Times New Roman" w:eastAsia="宋体" w:cs="Times New Roman"/>
                      <w:b/>
                      <w:color w:val="FF0000"/>
                    </w:rPr>
                  </w:pPr>
                </w:p>
              </w:tc>
              <w:tc>
                <w:tcPr>
                  <w:tcW w:w="553" w:type="pct"/>
                  <w:tcBorders>
                    <w:tl2br w:val="nil"/>
                    <w:tr2bl w:val="nil"/>
                  </w:tcBorders>
                  <w:vAlign w:val="center"/>
                </w:tcPr>
                <w:p w14:paraId="7550D1DB">
                  <w:pPr>
                    <w:jc w:val="center"/>
                    <w:rPr>
                      <w:rFonts w:ascii="Times New Roman" w:hAnsi="Times New Roman" w:eastAsia="宋体" w:cs="Times New Roman"/>
                      <w:szCs w:val="21"/>
                    </w:rPr>
                  </w:pPr>
                  <w:r>
                    <w:rPr>
                      <w:rFonts w:hint="eastAsia" w:ascii="Times New Roman" w:hAnsi="Times New Roman" w:eastAsia="宋体" w:cs="Times New Roman"/>
                      <w:szCs w:val="21"/>
                    </w:rPr>
                    <w:t>一般固废贮存区</w:t>
                  </w:r>
                </w:p>
              </w:tc>
              <w:tc>
                <w:tcPr>
                  <w:tcW w:w="5434" w:type="dxa"/>
                  <w:tcBorders>
                    <w:tl2br w:val="nil"/>
                    <w:tr2bl w:val="nil"/>
                  </w:tcBorders>
                  <w:vAlign w:val="center"/>
                </w:tcPr>
                <w:p w14:paraId="388FB5BB">
                  <w:pPr>
                    <w:jc w:val="center"/>
                    <w:rPr>
                      <w:rFonts w:ascii="Times New Roman" w:hAnsi="Times New Roman" w:eastAsia="宋体" w:cs="Times New Roman"/>
                      <w:bCs/>
                      <w:color w:val="FF0000"/>
                      <w:szCs w:val="21"/>
                    </w:rPr>
                  </w:pPr>
                  <w:r>
                    <w:rPr>
                      <w:rFonts w:hint="eastAsia" w:ascii="Times New Roman" w:hAnsi="Times New Roman" w:eastAsia="宋体" w:cs="Times New Roman"/>
                      <w:bCs/>
                      <w:szCs w:val="21"/>
                    </w:rPr>
                    <w:t>本项目建设1座20m</w:t>
                  </w:r>
                  <w:r>
                    <w:rPr>
                      <w:rFonts w:hint="eastAsia" w:ascii="Times New Roman" w:hAnsi="Times New Roman" w:eastAsia="宋体" w:cs="Times New Roman"/>
                      <w:bCs/>
                      <w:szCs w:val="21"/>
                      <w:vertAlign w:val="superscript"/>
                    </w:rPr>
                    <w:t>2</w:t>
                  </w:r>
                  <w:r>
                    <w:rPr>
                      <w:rFonts w:hint="eastAsia" w:ascii="Times New Roman" w:hAnsi="Times New Roman" w:eastAsia="宋体" w:cs="Times New Roman"/>
                      <w:szCs w:val="21"/>
                    </w:rPr>
                    <w:t>一般工业固废暂存间</w:t>
                  </w:r>
                  <w:r>
                    <w:rPr>
                      <w:rFonts w:hint="eastAsia" w:ascii="Times New Roman" w:hAnsi="Times New Roman" w:eastAsia="宋体" w:cs="Times New Roman"/>
                      <w:bCs/>
                      <w:szCs w:val="21"/>
                    </w:rPr>
                    <w:t>，执行《一般工业固体废物贮存和填埋污染控制标准》（GB18599-2020）的相关要求。</w:t>
                  </w:r>
                </w:p>
              </w:tc>
              <w:tc>
                <w:tcPr>
                  <w:tcW w:w="664" w:type="pct"/>
                  <w:tcBorders>
                    <w:tl2br w:val="nil"/>
                    <w:tr2bl w:val="nil"/>
                  </w:tcBorders>
                  <w:vAlign w:val="center"/>
                </w:tcPr>
                <w:p w14:paraId="7C3B9920">
                  <w:pPr>
                    <w:jc w:val="center"/>
                    <w:rPr>
                      <w:rFonts w:ascii="Times New Roman" w:hAnsi="Times New Roman" w:eastAsia="宋体" w:cs="Times New Roman"/>
                    </w:rPr>
                  </w:pPr>
                  <w:r>
                    <w:rPr>
                      <w:rFonts w:hint="eastAsia" w:ascii="Times New Roman" w:hAnsi="Times New Roman" w:eastAsia="宋体" w:cs="Times New Roman"/>
                    </w:rPr>
                    <w:t>新建</w:t>
                  </w:r>
                </w:p>
              </w:tc>
            </w:tr>
            <w:tr w14:paraId="04E00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399" w:type="pct"/>
                  <w:vMerge w:val="restart"/>
                  <w:tcBorders>
                    <w:tl2br w:val="nil"/>
                    <w:tr2bl w:val="nil"/>
                  </w:tcBorders>
                  <w:vAlign w:val="center"/>
                </w:tcPr>
                <w:p w14:paraId="4803C57D">
                  <w:pPr>
                    <w:jc w:val="center"/>
                    <w:rPr>
                      <w:rFonts w:ascii="Times New Roman" w:hAnsi="Times New Roman" w:eastAsia="宋体" w:cs="Times New Roman"/>
                      <w:b/>
                      <w:color w:val="FF0000"/>
                      <w:szCs w:val="21"/>
                    </w:rPr>
                  </w:pPr>
                  <w:r>
                    <w:rPr>
                      <w:rFonts w:ascii="Times New Roman" w:hAnsi="Times New Roman" w:eastAsia="宋体" w:cs="Times New Roman"/>
                      <w:b/>
                      <w:szCs w:val="21"/>
                    </w:rPr>
                    <w:t>公用工程</w:t>
                  </w:r>
                </w:p>
              </w:tc>
              <w:tc>
                <w:tcPr>
                  <w:tcW w:w="553" w:type="pct"/>
                  <w:tcBorders>
                    <w:tl2br w:val="nil"/>
                    <w:tr2bl w:val="nil"/>
                  </w:tcBorders>
                  <w:vAlign w:val="center"/>
                </w:tcPr>
                <w:p w14:paraId="53BC1AC9">
                  <w:pPr>
                    <w:jc w:val="center"/>
                    <w:rPr>
                      <w:rFonts w:ascii="Times New Roman" w:hAnsi="Times New Roman" w:eastAsia="宋体" w:cs="Times New Roman"/>
                      <w:szCs w:val="21"/>
                    </w:rPr>
                  </w:pPr>
                  <w:r>
                    <w:rPr>
                      <w:rFonts w:ascii="Times New Roman" w:hAnsi="Times New Roman" w:eastAsia="宋体" w:cs="Times New Roman"/>
                      <w:szCs w:val="21"/>
                    </w:rPr>
                    <w:t>给水</w:t>
                  </w:r>
                </w:p>
              </w:tc>
              <w:tc>
                <w:tcPr>
                  <w:tcW w:w="4046" w:type="pct"/>
                  <w:gridSpan w:val="2"/>
                  <w:tcBorders>
                    <w:tl2br w:val="nil"/>
                    <w:tr2bl w:val="nil"/>
                  </w:tcBorders>
                  <w:vAlign w:val="center"/>
                </w:tcPr>
                <w:p w14:paraId="725C6AB5">
                  <w:pPr>
                    <w:adjustRightInd w:val="0"/>
                    <w:snapToGrid w:val="0"/>
                    <w:jc w:val="center"/>
                  </w:pPr>
                  <w:r>
                    <w:t>临泽工业园区(产业功能区)-凹凸棒石新材料产业园（初级加工区）</w:t>
                  </w:r>
                </w:p>
                <w:p w14:paraId="5E768BDA">
                  <w:pPr>
                    <w:adjustRightInd w:val="0"/>
                    <w:snapToGrid w:val="0"/>
                    <w:jc w:val="center"/>
                  </w:pPr>
                  <w:r>
                    <w:rPr>
                      <w:rFonts w:hint="eastAsia"/>
                    </w:rPr>
                    <w:t>供给</w:t>
                  </w:r>
                </w:p>
              </w:tc>
            </w:tr>
            <w:tr w14:paraId="545F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399" w:type="pct"/>
                  <w:vMerge w:val="continue"/>
                  <w:tcBorders>
                    <w:tl2br w:val="nil"/>
                    <w:tr2bl w:val="nil"/>
                  </w:tcBorders>
                  <w:vAlign w:val="center"/>
                </w:tcPr>
                <w:p w14:paraId="2232917E">
                  <w:pPr>
                    <w:jc w:val="center"/>
                    <w:rPr>
                      <w:rFonts w:ascii="Times New Roman" w:hAnsi="Times New Roman" w:eastAsia="宋体" w:cs="Times New Roman"/>
                      <w:b/>
                      <w:color w:val="FF0000"/>
                    </w:rPr>
                  </w:pPr>
                </w:p>
              </w:tc>
              <w:tc>
                <w:tcPr>
                  <w:tcW w:w="553" w:type="pct"/>
                  <w:tcBorders>
                    <w:tl2br w:val="nil"/>
                    <w:tr2bl w:val="nil"/>
                  </w:tcBorders>
                  <w:vAlign w:val="center"/>
                </w:tcPr>
                <w:p w14:paraId="09046193">
                  <w:pPr>
                    <w:jc w:val="center"/>
                    <w:rPr>
                      <w:rFonts w:ascii="Times New Roman" w:hAnsi="Times New Roman" w:eastAsia="宋体" w:cs="Times New Roman"/>
                      <w:szCs w:val="21"/>
                    </w:rPr>
                  </w:pPr>
                  <w:r>
                    <w:rPr>
                      <w:rFonts w:ascii="Times New Roman" w:hAnsi="Times New Roman" w:eastAsia="宋体" w:cs="Times New Roman"/>
                      <w:szCs w:val="21"/>
                    </w:rPr>
                    <w:t>供电</w:t>
                  </w:r>
                </w:p>
              </w:tc>
              <w:tc>
                <w:tcPr>
                  <w:tcW w:w="4046" w:type="pct"/>
                  <w:gridSpan w:val="2"/>
                  <w:tcBorders>
                    <w:tl2br w:val="nil"/>
                    <w:tr2bl w:val="nil"/>
                  </w:tcBorders>
                  <w:vAlign w:val="center"/>
                </w:tcPr>
                <w:p w14:paraId="081FECDE">
                  <w:pPr>
                    <w:adjustRightInd w:val="0"/>
                    <w:snapToGrid w:val="0"/>
                    <w:jc w:val="center"/>
                  </w:pPr>
                  <w:r>
                    <w:rPr>
                      <w:rFonts w:hint="eastAsia"/>
                    </w:rPr>
                    <w:t>临泽工业园区(产业功能区)-凹凸棒石新材料产业园（初级加工区）</w:t>
                  </w:r>
                </w:p>
                <w:p w14:paraId="4BCEB76C">
                  <w:pPr>
                    <w:adjustRightInd w:val="0"/>
                    <w:snapToGrid w:val="0"/>
                    <w:jc w:val="center"/>
                  </w:pPr>
                  <w:r>
                    <w:rPr>
                      <w:rFonts w:hint="eastAsia"/>
                    </w:rPr>
                    <w:t>电网</w:t>
                  </w:r>
                  <w:r>
                    <w:t>供给</w:t>
                  </w:r>
                </w:p>
              </w:tc>
            </w:tr>
            <w:tr w14:paraId="5753B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399" w:type="pct"/>
                  <w:vMerge w:val="continue"/>
                  <w:tcBorders>
                    <w:tl2br w:val="nil"/>
                    <w:tr2bl w:val="nil"/>
                  </w:tcBorders>
                  <w:vAlign w:val="center"/>
                </w:tcPr>
                <w:p w14:paraId="6E15CD2F">
                  <w:pPr>
                    <w:jc w:val="center"/>
                    <w:rPr>
                      <w:rFonts w:ascii="Times New Roman" w:hAnsi="Times New Roman" w:eastAsia="宋体" w:cs="Times New Roman"/>
                      <w:b/>
                      <w:color w:val="FF0000"/>
                    </w:rPr>
                  </w:pPr>
                </w:p>
              </w:tc>
              <w:tc>
                <w:tcPr>
                  <w:tcW w:w="553" w:type="pct"/>
                  <w:tcBorders>
                    <w:tl2br w:val="nil"/>
                    <w:tr2bl w:val="nil"/>
                  </w:tcBorders>
                  <w:vAlign w:val="center"/>
                </w:tcPr>
                <w:p w14:paraId="556D8925">
                  <w:pPr>
                    <w:jc w:val="center"/>
                    <w:rPr>
                      <w:rFonts w:ascii="Times New Roman" w:hAnsi="Times New Roman" w:eastAsia="宋体" w:cs="Times New Roman"/>
                      <w:bCs/>
                      <w:color w:val="FF0000"/>
                      <w:szCs w:val="21"/>
                    </w:rPr>
                  </w:pPr>
                  <w:r>
                    <w:rPr>
                      <w:rFonts w:hint="eastAsia" w:ascii="Times New Roman" w:hAnsi="Times New Roman" w:eastAsia="宋体" w:cs="Times New Roman"/>
                      <w:bCs/>
                      <w:szCs w:val="21"/>
                    </w:rPr>
                    <w:t>供暖</w:t>
                  </w:r>
                </w:p>
              </w:tc>
              <w:tc>
                <w:tcPr>
                  <w:tcW w:w="4046" w:type="pct"/>
                  <w:gridSpan w:val="2"/>
                  <w:tcBorders>
                    <w:tl2br w:val="nil"/>
                    <w:tr2bl w:val="nil"/>
                  </w:tcBorders>
                  <w:vAlign w:val="center"/>
                </w:tcPr>
                <w:p w14:paraId="6633410E">
                  <w:pPr>
                    <w:adjustRightInd w:val="0"/>
                    <w:snapToGrid w:val="0"/>
                    <w:jc w:val="center"/>
                    <w:rPr>
                      <w:rFonts w:ascii="Times New Roman" w:hAnsi="Times New Roman" w:eastAsia="宋体" w:cs="Times New Roman"/>
                      <w:bCs/>
                      <w:color w:val="FF0000"/>
                      <w:szCs w:val="21"/>
                    </w:rPr>
                  </w:pPr>
                  <w:r>
                    <w:rPr>
                      <w:rFonts w:ascii="Times New Roman" w:hAnsi="Times New Roman" w:eastAsia="宋体" w:cs="Times New Roman"/>
                      <w:bCs/>
                      <w:szCs w:val="21"/>
                    </w:rPr>
                    <w:t>项目生产周期为每年</w:t>
                  </w:r>
                  <w:r>
                    <w:rPr>
                      <w:rFonts w:hint="eastAsia" w:ascii="Times New Roman" w:hAnsi="Times New Roman" w:eastAsia="宋体" w:cs="Times New Roman"/>
                      <w:bCs/>
                      <w:szCs w:val="21"/>
                    </w:rPr>
                    <w:t>5</w:t>
                  </w:r>
                  <w:r>
                    <w:rPr>
                      <w:rFonts w:ascii="Times New Roman" w:hAnsi="Times New Roman" w:eastAsia="宋体" w:cs="Times New Roman"/>
                      <w:bCs/>
                      <w:szCs w:val="21"/>
                    </w:rPr>
                    <w:t>月</w:t>
                  </w:r>
                  <w:r>
                    <w:rPr>
                      <w:rFonts w:hint="eastAsia" w:ascii="Times New Roman" w:hAnsi="Times New Roman" w:eastAsia="宋体" w:cs="Times New Roman"/>
                      <w:bCs/>
                      <w:szCs w:val="21"/>
                    </w:rPr>
                    <w:t>中旬</w:t>
                  </w:r>
                  <w:r>
                    <w:rPr>
                      <w:rFonts w:ascii="Times New Roman" w:hAnsi="Times New Roman" w:eastAsia="宋体" w:cs="Times New Roman"/>
                      <w:bCs/>
                      <w:szCs w:val="21"/>
                    </w:rPr>
                    <w:t>至10月</w:t>
                  </w:r>
                  <w:r>
                    <w:rPr>
                      <w:rFonts w:hint="eastAsia" w:ascii="Times New Roman" w:hAnsi="Times New Roman" w:eastAsia="宋体" w:cs="Times New Roman"/>
                      <w:bCs/>
                      <w:szCs w:val="21"/>
                    </w:rPr>
                    <w:t>中旬</w:t>
                  </w:r>
                  <w:r>
                    <w:rPr>
                      <w:rFonts w:ascii="Times New Roman" w:hAnsi="Times New Roman" w:eastAsia="宋体" w:cs="Times New Roman"/>
                      <w:bCs/>
                      <w:szCs w:val="21"/>
                    </w:rPr>
                    <w:t>，冬季不生产，</w:t>
                  </w:r>
                  <w:r>
                    <w:rPr>
                      <w:rFonts w:hint="eastAsia" w:ascii="Times New Roman" w:hAnsi="Times New Roman" w:eastAsia="宋体" w:cs="Times New Roman"/>
                      <w:bCs/>
                      <w:szCs w:val="21"/>
                    </w:rPr>
                    <w:t>办公区域采用空气能采暖</w:t>
                  </w:r>
                  <w:r>
                    <w:rPr>
                      <w:rFonts w:ascii="Times New Roman" w:hAnsi="Times New Roman" w:eastAsia="宋体" w:cs="Times New Roman"/>
                      <w:bCs/>
                      <w:szCs w:val="21"/>
                    </w:rPr>
                    <w:t>。</w:t>
                  </w:r>
                  <w:r>
                    <w:rPr>
                      <w:rFonts w:hint="eastAsia" w:ascii="Times New Roman" w:hAnsi="Times New Roman" w:eastAsia="宋体" w:cs="Times New Roman"/>
                      <w:bCs/>
                      <w:szCs w:val="21"/>
                    </w:rPr>
                    <w:t>项目</w:t>
                  </w:r>
                  <w:r>
                    <w:rPr>
                      <w:rFonts w:ascii="Times New Roman" w:hAnsi="Times New Roman" w:eastAsia="宋体" w:cs="Times New Roman"/>
                      <w:bCs/>
                      <w:szCs w:val="21"/>
                    </w:rPr>
                    <w:t>用热主要为生产用热，分别为沥青储罐加热保温及骨料烘干，沥青罐加热使用1台1160kw有机热载体炉将沥青</w:t>
                  </w:r>
                  <w:r>
                    <w:rPr>
                      <w:rFonts w:hint="eastAsia" w:ascii="Times New Roman" w:hAnsi="Times New Roman" w:eastAsia="宋体" w:cs="Times New Roman"/>
                      <w:bCs/>
                      <w:szCs w:val="21"/>
                    </w:rPr>
                    <w:t>间接</w:t>
                  </w:r>
                  <w:r>
                    <w:rPr>
                      <w:rFonts w:ascii="Times New Roman" w:hAnsi="Times New Roman" w:eastAsia="宋体" w:cs="Times New Roman"/>
                      <w:bCs/>
                      <w:szCs w:val="21"/>
                    </w:rPr>
                    <w:t>加热至1</w:t>
                  </w:r>
                  <w:r>
                    <w:rPr>
                      <w:rFonts w:hint="eastAsia" w:ascii="Times New Roman" w:hAnsi="Times New Roman" w:eastAsia="宋体" w:cs="Times New Roman"/>
                      <w:bCs/>
                      <w:szCs w:val="21"/>
                    </w:rPr>
                    <w:t>6</w:t>
                  </w:r>
                  <w:r>
                    <w:rPr>
                      <w:rFonts w:ascii="Times New Roman" w:hAnsi="Times New Roman" w:eastAsia="宋体" w:cs="Times New Roman"/>
                      <w:bCs/>
                      <w:szCs w:val="21"/>
                    </w:rPr>
                    <w:t>0～1</w:t>
                  </w:r>
                  <w:r>
                    <w:rPr>
                      <w:rFonts w:hint="eastAsia" w:ascii="Times New Roman" w:hAnsi="Times New Roman" w:eastAsia="宋体" w:cs="Times New Roman"/>
                      <w:bCs/>
                      <w:szCs w:val="21"/>
                    </w:rPr>
                    <w:t>9</w:t>
                  </w:r>
                  <w:r>
                    <w:rPr>
                      <w:rFonts w:ascii="Times New Roman" w:hAnsi="Times New Roman" w:eastAsia="宋体" w:cs="Times New Roman"/>
                      <w:bCs/>
                      <w:szCs w:val="21"/>
                    </w:rPr>
                    <w:t>0℃，燃料为轻质柴油</w:t>
                  </w:r>
                  <w:r>
                    <w:rPr>
                      <w:rFonts w:hint="eastAsia" w:ascii="Times New Roman" w:hAnsi="Times New Roman" w:eastAsia="宋体" w:cs="Times New Roman"/>
                      <w:bCs/>
                      <w:szCs w:val="21"/>
                    </w:rPr>
                    <w:t>（加热导热油系统）</w:t>
                  </w:r>
                  <w:r>
                    <w:rPr>
                      <w:rFonts w:ascii="Times New Roman" w:hAnsi="Times New Roman" w:eastAsia="宋体" w:cs="Times New Roman"/>
                      <w:bCs/>
                      <w:szCs w:val="21"/>
                    </w:rPr>
                    <w:t>；骨料烘干使用1台</w:t>
                  </w:r>
                  <w:r>
                    <w:rPr>
                      <w:rFonts w:hint="eastAsia" w:ascii="Times New Roman" w:hAnsi="Times New Roman" w:eastAsia="宋体" w:cs="Times New Roman"/>
                      <w:bCs/>
                      <w:szCs w:val="21"/>
                    </w:rPr>
                    <w:t>37k</w:t>
                  </w:r>
                  <w:r>
                    <w:rPr>
                      <w:rFonts w:ascii="Times New Roman" w:hAnsi="Times New Roman" w:eastAsia="宋体" w:cs="Times New Roman"/>
                      <w:bCs/>
                      <w:szCs w:val="21"/>
                    </w:rPr>
                    <w:t>W燃烧器，燃料为轻质柴油。</w:t>
                  </w:r>
                </w:p>
              </w:tc>
            </w:tr>
            <w:tr w14:paraId="0C266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tl2br w:val="nil"/>
                    <w:tr2bl w:val="nil"/>
                  </w:tcBorders>
                  <w:vAlign w:val="center"/>
                </w:tcPr>
                <w:p w14:paraId="418DA62B">
                  <w:pPr>
                    <w:jc w:val="center"/>
                    <w:rPr>
                      <w:rFonts w:ascii="Times New Roman" w:hAnsi="Times New Roman" w:eastAsia="宋体" w:cs="Times New Roman"/>
                      <w:b/>
                      <w:color w:val="FF0000"/>
                    </w:rPr>
                  </w:pPr>
                </w:p>
              </w:tc>
              <w:tc>
                <w:tcPr>
                  <w:tcW w:w="553" w:type="pct"/>
                  <w:tcBorders>
                    <w:tl2br w:val="nil"/>
                    <w:tr2bl w:val="nil"/>
                  </w:tcBorders>
                  <w:vAlign w:val="center"/>
                </w:tcPr>
                <w:p w14:paraId="722C8CA5">
                  <w:pPr>
                    <w:jc w:val="center"/>
                    <w:rPr>
                      <w:rFonts w:ascii="Times New Roman" w:hAnsi="Times New Roman" w:eastAsia="宋体" w:cs="Times New Roman"/>
                      <w:bCs/>
                      <w:color w:val="FF0000"/>
                      <w:szCs w:val="21"/>
                    </w:rPr>
                  </w:pPr>
                  <w:r>
                    <w:rPr>
                      <w:rFonts w:hint="eastAsia" w:ascii="Times New Roman" w:hAnsi="Times New Roman" w:eastAsia="宋体" w:cs="Times New Roman"/>
                      <w:bCs/>
                      <w:szCs w:val="21"/>
                    </w:rPr>
                    <w:t>排水</w:t>
                  </w:r>
                </w:p>
              </w:tc>
              <w:tc>
                <w:tcPr>
                  <w:tcW w:w="4046" w:type="pct"/>
                  <w:gridSpan w:val="2"/>
                  <w:tcBorders>
                    <w:tl2br w:val="nil"/>
                    <w:tr2bl w:val="nil"/>
                  </w:tcBorders>
                  <w:vAlign w:val="center"/>
                </w:tcPr>
                <w:p w14:paraId="321C8BA8">
                  <w:pPr>
                    <w:adjustRightInd w:val="0"/>
                    <w:snapToGrid w:val="0"/>
                    <w:jc w:val="center"/>
                    <w:rPr>
                      <w:rFonts w:ascii="Times New Roman" w:hAnsi="Times New Roman" w:eastAsia="仿宋" w:cs="Times New Roman"/>
                      <w:color w:val="FF0000"/>
                      <w:szCs w:val="21"/>
                    </w:rPr>
                  </w:pPr>
                  <w:r>
                    <w:rPr>
                      <w:rFonts w:ascii="Times New Roman" w:hAnsi="Times New Roman" w:eastAsia="宋体" w:cs="Times New Roman"/>
                      <w:bCs/>
                      <w:szCs w:val="21"/>
                    </w:rPr>
                    <w:t>本项目降尘用水（冷料仓上料喷淋降尘用水、运输道路抑尘用水、移动式雾炮抑尘用水）、绿化用水全部蒸发损耗；配料用水全部进入产品；车辆冲洗废水经沉淀池沉淀后循环利用，无外排废水；洗涤塔用水经分区沉淀后循环利用，产生的废液、焦油渣作为危险废物委托处置；</w:t>
                  </w:r>
                  <w:r>
                    <w:rPr>
                      <w:rFonts w:ascii="Times New Roman" w:hAnsi="Times New Roman" w:eastAsia="宋体" w:cs="Times New Roman"/>
                      <w:bCs/>
                      <w:color w:val="0000FF"/>
                      <w:szCs w:val="21"/>
                    </w:rPr>
                    <w:t>本项目产生的</w:t>
                  </w:r>
                  <w:r>
                    <w:rPr>
                      <w:rFonts w:hint="eastAsia" w:ascii="Times New Roman" w:hAnsi="Times New Roman" w:eastAsia="宋体" w:cs="Times New Roman"/>
                      <w:bCs/>
                      <w:color w:val="0000FF"/>
                      <w:szCs w:val="21"/>
                    </w:rPr>
                    <w:t>生活污水（含食堂废水）经隔油池</w:t>
                  </w:r>
                  <w:r>
                    <w:rPr>
                      <w:rFonts w:hint="eastAsia" w:ascii="Times New Roman" w:hAnsi="Times New Roman" w:eastAsia="宋体" w:cs="Times New Roman"/>
                      <w:bCs/>
                      <w:color w:val="0000FF"/>
                      <w:szCs w:val="21"/>
                      <w:lang w:eastAsia="zh-CN"/>
                    </w:rPr>
                    <w:t>、</w:t>
                  </w:r>
                  <w:r>
                    <w:rPr>
                      <w:rFonts w:hint="eastAsia" w:ascii="Times New Roman" w:hAnsi="Times New Roman" w:eastAsia="宋体" w:cs="Times New Roman"/>
                      <w:bCs/>
                      <w:color w:val="0000FF"/>
                      <w:szCs w:val="21"/>
                    </w:rPr>
                    <w:t>化粪池预处理后，</w:t>
                  </w:r>
                  <w:r>
                    <w:rPr>
                      <w:rFonts w:hint="eastAsia" w:ascii="Times New Roman" w:hAnsi="Times New Roman" w:eastAsia="宋体" w:cs="Times New Roman"/>
                      <w:bCs/>
                      <w:color w:val="0000FF"/>
                      <w:szCs w:val="21"/>
                      <w:lang w:val="en-US" w:eastAsia="zh-CN"/>
                    </w:rPr>
                    <w:t>暂</w:t>
                  </w:r>
                  <w:r>
                    <w:rPr>
                      <w:rFonts w:hint="eastAsia" w:ascii="Times New Roman" w:hAnsi="Times New Roman" w:eastAsia="宋体" w:cs="Times New Roman"/>
                      <w:bCs/>
                      <w:color w:val="0000FF"/>
                      <w:szCs w:val="21"/>
                    </w:rPr>
                    <w:t>定期委托专业吸污车进行抽吸清运，</w:t>
                  </w:r>
                  <w:r>
                    <w:rPr>
                      <w:rFonts w:hint="eastAsia" w:ascii="Times New Roman" w:hAnsi="Times New Roman" w:eastAsia="宋体" w:cs="Times New Roman"/>
                      <w:bCs/>
                      <w:color w:val="0000FF"/>
                      <w:szCs w:val="21"/>
                      <w:lang w:val="en-US" w:eastAsia="zh-CN"/>
                    </w:rPr>
                    <w:t>并跟踪去向</w:t>
                  </w:r>
                  <w:r>
                    <w:rPr>
                      <w:rFonts w:hint="eastAsia" w:ascii="Times New Roman" w:hAnsi="Times New Roman" w:eastAsia="宋体" w:cs="Times New Roman"/>
                      <w:bCs/>
                      <w:color w:val="0000FF"/>
                      <w:szCs w:val="21"/>
                      <w:lang w:eastAsia="zh-CN"/>
                    </w:rPr>
                    <w:t>，</w:t>
                  </w:r>
                  <w:r>
                    <w:rPr>
                      <w:rFonts w:hint="eastAsia" w:ascii="Times New Roman" w:hAnsi="Times New Roman" w:eastAsia="宋体" w:cs="Times New Roman"/>
                      <w:bCs/>
                      <w:color w:val="0000FF"/>
                      <w:szCs w:val="21"/>
                    </w:rPr>
                    <w:t>待凹凸棒石初级加工园区污水处理厂投入</w:t>
                  </w:r>
                  <w:r>
                    <w:rPr>
                      <w:rFonts w:hint="eastAsia" w:ascii="Times New Roman" w:hAnsi="Times New Roman" w:eastAsia="宋体" w:cs="Times New Roman"/>
                      <w:bCs/>
                      <w:color w:val="0000FF"/>
                      <w:szCs w:val="21"/>
                      <w:lang w:val="en-US" w:eastAsia="zh-CN"/>
                    </w:rPr>
                    <w:t>稳定</w:t>
                  </w:r>
                  <w:r>
                    <w:rPr>
                      <w:rFonts w:hint="eastAsia" w:ascii="Times New Roman" w:hAnsi="Times New Roman" w:eastAsia="宋体" w:cs="Times New Roman"/>
                      <w:bCs/>
                      <w:color w:val="0000FF"/>
                      <w:szCs w:val="21"/>
                    </w:rPr>
                    <w:t>运行后，排入该污水处理厂进行处理</w:t>
                  </w:r>
                  <w:r>
                    <w:rPr>
                      <w:rFonts w:ascii="Times New Roman" w:hAnsi="Times New Roman" w:eastAsia="宋体" w:cs="Times New Roman"/>
                      <w:bCs/>
                      <w:color w:val="0000FF"/>
                      <w:szCs w:val="21"/>
                    </w:rPr>
                    <w:t>。</w:t>
                  </w:r>
                </w:p>
              </w:tc>
            </w:tr>
            <w:tr w14:paraId="79200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99" w:type="pct"/>
                  <w:vMerge w:val="restart"/>
                  <w:tcBorders>
                    <w:tl2br w:val="nil"/>
                    <w:tr2bl w:val="nil"/>
                  </w:tcBorders>
                  <w:vAlign w:val="center"/>
                </w:tcPr>
                <w:p w14:paraId="393BB81A">
                  <w:pPr>
                    <w:rPr>
                      <w:rFonts w:ascii="Times New Roman" w:hAnsi="Times New Roman" w:eastAsia="宋体" w:cs="Times New Roman"/>
                      <w:b/>
                      <w:szCs w:val="21"/>
                    </w:rPr>
                  </w:pPr>
                  <w:r>
                    <w:rPr>
                      <w:rFonts w:ascii="Times New Roman" w:hAnsi="Times New Roman" w:eastAsia="宋体" w:cs="Times New Roman"/>
                      <w:b/>
                      <w:szCs w:val="21"/>
                    </w:rPr>
                    <w:t>环保工程</w:t>
                  </w:r>
                </w:p>
              </w:tc>
              <w:tc>
                <w:tcPr>
                  <w:tcW w:w="553" w:type="pct"/>
                  <w:tcBorders>
                    <w:tl2br w:val="nil"/>
                    <w:tr2bl w:val="nil"/>
                  </w:tcBorders>
                  <w:vAlign w:val="center"/>
                </w:tcPr>
                <w:p w14:paraId="43129FD4">
                  <w:pPr>
                    <w:jc w:val="center"/>
                    <w:rPr>
                      <w:rFonts w:ascii="Times New Roman" w:hAnsi="Times New Roman" w:eastAsia="宋体" w:cs="Times New Roman"/>
                      <w:bCs/>
                      <w:szCs w:val="21"/>
                    </w:rPr>
                  </w:pPr>
                  <w:r>
                    <w:rPr>
                      <w:rFonts w:ascii="Times New Roman" w:hAnsi="Times New Roman" w:eastAsia="宋体" w:cs="Times New Roman"/>
                      <w:bCs/>
                      <w:szCs w:val="21"/>
                    </w:rPr>
                    <w:t>废气</w:t>
                  </w:r>
                </w:p>
              </w:tc>
              <w:tc>
                <w:tcPr>
                  <w:tcW w:w="4046" w:type="pct"/>
                  <w:gridSpan w:val="2"/>
                  <w:tcBorders>
                    <w:tl2br w:val="nil"/>
                    <w:tr2bl w:val="nil"/>
                  </w:tcBorders>
                  <w:vAlign w:val="center"/>
                </w:tcPr>
                <w:p w14:paraId="3C8A4E73">
                  <w:pPr>
                    <w:rPr>
                      <w:rFonts w:ascii="Times New Roman" w:hAnsi="Times New Roman" w:eastAsia="宋体" w:cs="Times New Roman"/>
                      <w:szCs w:val="21"/>
                    </w:rPr>
                  </w:pPr>
                  <w:r>
                    <w:rPr>
                      <w:rFonts w:hint="eastAsia" w:ascii="Times New Roman" w:hAnsi="Times New Roman" w:eastAsia="宋体" w:cs="Times New Roman"/>
                      <w:b/>
                      <w:bCs/>
                      <w:szCs w:val="21"/>
                    </w:rPr>
                    <w:t>道路运输扬尘：</w:t>
                  </w:r>
                  <w:r>
                    <w:rPr>
                      <w:rFonts w:hint="eastAsia" w:ascii="Times New Roman" w:hAnsi="Times New Roman" w:eastAsia="宋体" w:cs="Times New Roman"/>
                      <w:szCs w:val="21"/>
                    </w:rPr>
                    <w:t>①所有运输车辆进、出厂均要求苫盖严密，减速限速、禁止超载；②厂内运输道路已硬化，采用洒水车对厂区及连接道路进行定期洒水，保持路面湿润，从源头抑制扬尘产生；③厂区进出口设置洗车平台，对进出运输车辆轮胎进行冲洗。</w:t>
                  </w:r>
                </w:p>
                <w:p w14:paraId="20F061BA">
                  <w:pPr>
                    <w:rPr>
                      <w:rFonts w:ascii="Times New Roman" w:hAnsi="Times New Roman" w:eastAsia="宋体" w:cs="Times New Roman"/>
                      <w:szCs w:val="21"/>
                    </w:rPr>
                  </w:pPr>
                  <w:r>
                    <w:rPr>
                      <w:rFonts w:hint="eastAsia" w:ascii="Times New Roman" w:hAnsi="Times New Roman" w:eastAsia="宋体" w:cs="Times New Roman"/>
                      <w:b/>
                      <w:bCs/>
                      <w:szCs w:val="21"/>
                    </w:rPr>
                    <w:t>原料堆棚物料堆存：</w:t>
                  </w:r>
                  <w:r>
                    <w:rPr>
                      <w:rFonts w:hint="eastAsia" w:ascii="Times New Roman" w:hAnsi="Times New Roman" w:eastAsia="宋体" w:cs="Times New Roman"/>
                      <w:szCs w:val="21"/>
                    </w:rPr>
                    <w:t>①建设半封闭式原料堆棚（三面围挡，仅装卸一侧敞开）；</w:t>
                  </w:r>
                  <w:r>
                    <w:rPr>
                      <w:rFonts w:hint="eastAsia" w:ascii="Times New Roman" w:hAnsi="Times New Roman" w:eastAsia="宋体" w:cs="Times New Roman"/>
                      <w:color w:val="1331F5"/>
                      <w:szCs w:val="21"/>
                    </w:rPr>
                    <w:t>②</w:t>
                  </w:r>
                  <w:r>
                    <w:rPr>
                      <w:rFonts w:hint="eastAsia" w:ascii="Times New Roman" w:hAnsi="Times New Roman" w:eastAsia="宋体" w:cs="Times New Roman"/>
                      <w:bCs/>
                      <w:color w:val="1331F5"/>
                      <w:szCs w:val="21"/>
                    </w:rPr>
                    <w:t>对易起尘物料</w:t>
                  </w:r>
                  <w:r>
                    <w:rPr>
                      <w:rFonts w:hint="eastAsia" w:ascii="Times New Roman" w:hAnsi="Times New Roman" w:eastAsia="宋体" w:cs="Times New Roman"/>
                      <w:bCs/>
                      <w:color w:val="1331F5"/>
                      <w:szCs w:val="21"/>
                      <w:lang w:eastAsia="zh-CN"/>
                    </w:rPr>
                    <w:t>（</w:t>
                  </w:r>
                  <w:r>
                    <w:rPr>
                      <w:rFonts w:hint="eastAsia" w:ascii="Times New Roman" w:hAnsi="Times New Roman" w:eastAsia="宋体" w:cs="Times New Roman"/>
                      <w:bCs/>
                      <w:color w:val="1331F5"/>
                      <w:szCs w:val="21"/>
                      <w:lang w:val="en-US" w:eastAsia="zh-CN"/>
                    </w:rPr>
                    <w:t>细物料</w:t>
                  </w:r>
                  <w:r>
                    <w:rPr>
                      <w:rFonts w:hint="eastAsia" w:ascii="Times New Roman" w:hAnsi="Times New Roman" w:eastAsia="宋体" w:cs="Times New Roman"/>
                      <w:bCs/>
                      <w:color w:val="1331F5"/>
                      <w:szCs w:val="21"/>
                      <w:lang w:eastAsia="zh-CN"/>
                    </w:rPr>
                    <w:t>）</w:t>
                  </w:r>
                  <w:r>
                    <w:rPr>
                      <w:rFonts w:hint="eastAsia" w:ascii="Times New Roman" w:hAnsi="Times New Roman" w:eastAsia="宋体" w:cs="Times New Roman"/>
                      <w:bCs/>
                      <w:color w:val="1331F5"/>
                      <w:szCs w:val="21"/>
                    </w:rPr>
                    <w:t>采用篷布</w:t>
                  </w:r>
                  <w:r>
                    <w:rPr>
                      <w:rFonts w:hint="default" w:ascii="Times New Roman" w:hAnsi="Times New Roman" w:eastAsia="宋体" w:cs="Times New Roman"/>
                      <w:bCs/>
                      <w:color w:val="1331F5"/>
                      <w:szCs w:val="21"/>
                      <w:lang w:val="en-US"/>
                    </w:rPr>
                    <w:t>/</w:t>
                  </w:r>
                  <w:r>
                    <w:rPr>
                      <w:rFonts w:hint="eastAsia" w:ascii="Times New Roman" w:hAnsi="Times New Roman" w:eastAsia="宋体" w:cs="Times New Roman"/>
                      <w:bCs/>
                      <w:color w:val="1331F5"/>
                      <w:szCs w:val="21"/>
                      <w:lang w:val="en-US" w:eastAsia="zh-CN"/>
                    </w:rPr>
                    <w:t>编织</w:t>
                  </w:r>
                  <w:r>
                    <w:rPr>
                      <w:rFonts w:hint="eastAsia" w:ascii="Times New Roman" w:hAnsi="Times New Roman" w:eastAsia="宋体" w:cs="Times New Roman"/>
                      <w:bCs/>
                      <w:color w:val="1331F5"/>
                      <w:szCs w:val="21"/>
                    </w:rPr>
                    <w:t>苫盖</w:t>
                  </w:r>
                  <w:r>
                    <w:rPr>
                      <w:rFonts w:hint="eastAsia" w:ascii="Times New Roman" w:hAnsi="Times New Roman" w:eastAsia="宋体" w:cs="Times New Roman"/>
                      <w:bCs/>
                      <w:color w:val="1331F5"/>
                      <w:szCs w:val="21"/>
                      <w:lang w:eastAsia="zh-CN"/>
                    </w:rPr>
                    <w:t>；</w:t>
                  </w:r>
                  <w:r>
                    <w:rPr>
                      <w:rFonts w:hint="eastAsia" w:ascii="Times New Roman" w:hAnsi="Times New Roman" w:eastAsia="宋体" w:cs="Times New Roman"/>
                      <w:bCs/>
                      <w:color w:val="1331F5"/>
                      <w:szCs w:val="21"/>
                      <w:lang w:val="en-US" w:eastAsia="zh-CN"/>
                    </w:rPr>
                    <w:t>原料堆棚</w:t>
                  </w:r>
                  <w:r>
                    <w:rPr>
                      <w:rFonts w:hint="eastAsia" w:ascii="Times New Roman" w:hAnsi="Times New Roman" w:eastAsia="宋体" w:cs="Times New Roman"/>
                      <w:szCs w:val="21"/>
                    </w:rPr>
                    <w:t>配置移动式喷淋雾炮1套，辅以洒水车洒水降尘，保持</w:t>
                  </w:r>
                  <w:r>
                    <w:rPr>
                      <w:rFonts w:hint="eastAsia" w:ascii="Times New Roman" w:hAnsi="Times New Roman" w:eastAsia="宋体" w:cs="Times New Roman"/>
                      <w:szCs w:val="21"/>
                      <w:lang w:val="en-US" w:eastAsia="zh-CN"/>
                    </w:rPr>
                    <w:t>堆棚</w:t>
                  </w:r>
                  <w:r>
                    <w:rPr>
                      <w:rFonts w:hint="eastAsia" w:ascii="Times New Roman" w:hAnsi="Times New Roman" w:eastAsia="宋体" w:cs="Times New Roman"/>
                      <w:szCs w:val="21"/>
                    </w:rPr>
                    <w:t>表面湿润；③加强堆场日常管理，合理安排作业时序，大风天气增加洒水频次或暂停作业。</w:t>
                  </w:r>
                </w:p>
                <w:p w14:paraId="40E1EF24">
                  <w:pPr>
                    <w:rPr>
                      <w:rFonts w:ascii="Times New Roman" w:hAnsi="Times New Roman" w:eastAsia="宋体" w:cs="Times New Roman"/>
                      <w:szCs w:val="21"/>
                    </w:rPr>
                  </w:pPr>
                  <w:r>
                    <w:rPr>
                      <w:rFonts w:hint="eastAsia" w:ascii="Times New Roman" w:hAnsi="Times New Roman" w:eastAsia="宋体" w:cs="Times New Roman"/>
                      <w:b/>
                      <w:bCs/>
                      <w:szCs w:val="21"/>
                    </w:rPr>
                    <w:t>石料卸料：</w:t>
                  </w:r>
                  <w:r>
                    <w:rPr>
                      <w:rFonts w:hint="eastAsia" w:ascii="Times New Roman" w:hAnsi="Times New Roman" w:eastAsia="宋体" w:cs="Times New Roman"/>
                      <w:szCs w:val="21"/>
                    </w:rPr>
                    <w:t>采用移动式喷淋雾炮辅以洒水车针对作业面进行洒水降尘。</w:t>
                  </w:r>
                </w:p>
                <w:p w14:paraId="36A0185D">
                  <w:pPr>
                    <w:rPr>
                      <w:rFonts w:ascii="Times New Roman" w:hAnsi="Times New Roman" w:eastAsia="宋体" w:cs="Times New Roman"/>
                      <w:szCs w:val="21"/>
                    </w:rPr>
                  </w:pPr>
                  <w:r>
                    <w:rPr>
                      <w:rFonts w:hint="eastAsia" w:ascii="Times New Roman" w:hAnsi="Times New Roman" w:eastAsia="宋体" w:cs="Times New Roman"/>
                      <w:b/>
                      <w:bCs/>
                      <w:szCs w:val="21"/>
                    </w:rPr>
                    <w:t>冷料上料：</w:t>
                  </w:r>
                  <w:r>
                    <w:rPr>
                      <w:rFonts w:hint="eastAsia" w:ascii="Times New Roman" w:hAnsi="Times New Roman" w:eastAsia="宋体" w:cs="Times New Roman"/>
                      <w:szCs w:val="21"/>
                    </w:rPr>
                    <w:t>冷料仓设置半封闭围挡；设置喷淋装置喷淋降尘。</w:t>
                  </w:r>
                </w:p>
                <w:p w14:paraId="36D36AEC">
                  <w:pPr>
                    <w:rPr>
                      <w:rFonts w:ascii="Times New Roman" w:hAnsi="Times New Roman" w:eastAsia="宋体" w:cs="Times New Roman"/>
                      <w:szCs w:val="21"/>
                    </w:rPr>
                  </w:pPr>
                  <w:r>
                    <w:rPr>
                      <w:rFonts w:hint="eastAsia" w:ascii="Times New Roman" w:hAnsi="Times New Roman" w:eastAsia="宋体" w:cs="Times New Roman"/>
                      <w:b/>
                      <w:bCs/>
                      <w:szCs w:val="21"/>
                    </w:rPr>
                    <w:t>皮带运输：</w:t>
                  </w:r>
                  <w:r>
                    <w:rPr>
                      <w:rFonts w:hint="eastAsia" w:ascii="Times New Roman" w:hAnsi="Times New Roman" w:eastAsia="宋体" w:cs="Times New Roman"/>
                      <w:szCs w:val="21"/>
                    </w:rPr>
                    <w:t>封闭皮带廊道。</w:t>
                  </w:r>
                </w:p>
                <w:p w14:paraId="67B9AFFB">
                  <w:pPr>
                    <w:rPr>
                      <w:rFonts w:ascii="Times New Roman" w:hAnsi="Times New Roman" w:eastAsia="宋体" w:cs="Times New Roman"/>
                      <w:bCs/>
                      <w:szCs w:val="21"/>
                    </w:rPr>
                  </w:pPr>
                  <w:r>
                    <w:rPr>
                      <w:rFonts w:hint="eastAsia" w:ascii="Times New Roman" w:hAnsi="Times New Roman" w:eastAsia="宋体" w:cs="Times New Roman"/>
                      <w:b/>
                      <w:bCs/>
                      <w:szCs w:val="21"/>
                    </w:rPr>
                    <w:t>矿粉立仓粉尘：</w:t>
                  </w:r>
                  <w:r>
                    <w:rPr>
                      <w:rFonts w:hint="eastAsia" w:ascii="Times New Roman" w:hAnsi="Times New Roman" w:eastAsia="宋体" w:cs="Times New Roman"/>
                      <w:szCs w:val="21"/>
                    </w:rPr>
                    <w:t>1#两仓并联共用1套振动式仓顶收尘机，2#仓顶设置</w:t>
                  </w:r>
                  <w:r>
                    <w:rPr>
                      <w:rFonts w:hint="eastAsia" w:ascii="Times New Roman" w:hAnsi="Times New Roman" w:eastAsia="宋体" w:cs="Times New Roman"/>
                      <w:bCs/>
                      <w:szCs w:val="21"/>
                    </w:rPr>
                    <w:t>振动式仓顶收尘机。</w:t>
                  </w:r>
                </w:p>
                <w:p w14:paraId="59A11EA0">
                  <w:pPr>
                    <w:rPr>
                      <w:rFonts w:ascii="Times New Roman" w:hAnsi="Times New Roman" w:eastAsia="宋体" w:cs="Times New Roman"/>
                      <w:bCs/>
                      <w:szCs w:val="21"/>
                    </w:rPr>
                  </w:pPr>
                  <w:r>
                    <w:rPr>
                      <w:rFonts w:hint="eastAsia" w:ascii="Times New Roman" w:hAnsi="Times New Roman" w:eastAsia="宋体" w:cs="Times New Roman"/>
                      <w:b/>
                      <w:szCs w:val="21"/>
                    </w:rPr>
                    <w:t>柴油储罐大小呼吸废气、动静密封点废气：</w:t>
                  </w:r>
                  <w:r>
                    <w:rPr>
                      <w:rFonts w:hint="eastAsia" w:ascii="Times New Roman" w:hAnsi="Times New Roman" w:eastAsia="宋体" w:cs="Times New Roman"/>
                      <w:bCs/>
                      <w:szCs w:val="21"/>
                    </w:rPr>
                    <w:t>槽车卸料口与储罐进料口之间设气相平衡管，卸料过程中储罐内被置换出的油气通过平衡管回流至槽车罐体；加强柴油储罐密封点的维护与保养。</w:t>
                  </w:r>
                </w:p>
                <w:p w14:paraId="1520D64A">
                  <w:pPr>
                    <w:rPr>
                      <w:rFonts w:ascii="Times New Roman" w:hAnsi="Times New Roman" w:eastAsia="宋体" w:cs="Times New Roman"/>
                      <w:bCs/>
                      <w:szCs w:val="21"/>
                    </w:rPr>
                  </w:pPr>
                  <w:r>
                    <w:rPr>
                      <w:rFonts w:ascii="Times New Roman" w:hAnsi="Times New Roman" w:eastAsia="宋体" w:cs="Times New Roman"/>
                      <w:b/>
                      <w:szCs w:val="21"/>
                    </w:rPr>
                    <w:t>烘干滚筒燃烧器燃油废气与烘干、筛分、热骨料仓粉尘混合废气</w:t>
                  </w:r>
                  <w:r>
                    <w:rPr>
                      <w:rFonts w:hint="eastAsia" w:ascii="Times New Roman" w:hAnsi="Times New Roman" w:eastAsia="宋体" w:cs="Times New Roman"/>
                      <w:b/>
                      <w:szCs w:val="21"/>
                    </w:rPr>
                    <w:t>排放口</w:t>
                  </w:r>
                  <w:r>
                    <w:rPr>
                      <w:rFonts w:ascii="Times New Roman" w:hAnsi="Times New Roman" w:eastAsia="宋体" w:cs="Times New Roman"/>
                      <w:b/>
                      <w:szCs w:val="21"/>
                    </w:rPr>
                    <w:t>DA001</w:t>
                  </w:r>
                  <w:r>
                    <w:rPr>
                      <w:rFonts w:hint="eastAsia" w:ascii="Times New Roman" w:hAnsi="Times New Roman" w:eastAsia="宋体" w:cs="Times New Roman"/>
                      <w:b/>
                      <w:szCs w:val="21"/>
                    </w:rPr>
                    <w:t>：</w:t>
                  </w:r>
                  <w:r>
                    <w:rPr>
                      <w:rFonts w:hint="eastAsia" w:ascii="Times New Roman" w:hAnsi="Times New Roman" w:eastAsia="宋体" w:cs="Times New Roman"/>
                      <w:bCs/>
                      <w:szCs w:val="21"/>
                    </w:rPr>
                    <w:t>蜗壳除尘+布袋除尘+22m高排气筒。</w:t>
                  </w:r>
                </w:p>
                <w:p w14:paraId="27C99985">
                  <w:pPr>
                    <w:rPr>
                      <w:rFonts w:ascii="Times New Roman" w:hAnsi="Times New Roman" w:eastAsia="宋体" w:cs="Times New Roman"/>
                      <w:bCs/>
                      <w:szCs w:val="21"/>
                    </w:rPr>
                  </w:pPr>
                  <w:r>
                    <w:rPr>
                      <w:rFonts w:ascii="Times New Roman" w:hAnsi="Times New Roman" w:eastAsia="宋体" w:cs="Times New Roman"/>
                      <w:b/>
                      <w:szCs w:val="21"/>
                    </w:rPr>
                    <w:t>搅拌粉尘，混合搅拌、成品出料，沥青储罐呼吸废气混合废气排放口DA002：</w:t>
                  </w:r>
                  <w:r>
                    <w:rPr>
                      <w:rFonts w:ascii="Times New Roman" w:hAnsi="Times New Roman" w:eastAsia="宋体" w:cs="Times New Roman"/>
                      <w:bCs/>
                      <w:szCs w:val="21"/>
                    </w:rPr>
                    <w:t>洗涤塔+电捕焦油器+等离子光解净化除尘器+活性炭吸附装置+25m高排气筒；搅拌罐进出料口上方及两侧设置集气罩，出料口区域搭建防烟气扩散房（半密闭围护结构），两侧加装快速堆积门，正常生产时保持关闭，车辆通行时快速启闭</w:t>
                  </w:r>
                  <w:r>
                    <w:rPr>
                      <w:rFonts w:hint="eastAsia" w:ascii="Times New Roman" w:hAnsi="Times New Roman" w:eastAsia="宋体" w:cs="Times New Roman"/>
                      <w:bCs/>
                      <w:szCs w:val="21"/>
                    </w:rPr>
                    <w:t>。</w:t>
                  </w:r>
                </w:p>
                <w:p w14:paraId="7C13457A">
                  <w:pPr>
                    <w:rPr>
                      <w:rFonts w:ascii="Times New Roman" w:hAnsi="Times New Roman" w:eastAsia="宋体" w:cs="Times New Roman"/>
                      <w:bCs/>
                      <w:szCs w:val="21"/>
                    </w:rPr>
                  </w:pPr>
                  <w:r>
                    <w:rPr>
                      <w:rFonts w:ascii="Times New Roman" w:hAnsi="Times New Roman" w:eastAsia="宋体" w:cs="Times New Roman"/>
                      <w:b/>
                      <w:szCs w:val="21"/>
                    </w:rPr>
                    <w:t>乳化沥青出料、胶磨废气排放口DA003：</w:t>
                  </w:r>
                  <w:r>
                    <w:rPr>
                      <w:rFonts w:ascii="Times New Roman" w:hAnsi="Times New Roman" w:eastAsia="宋体" w:cs="Times New Roman"/>
                      <w:bCs/>
                      <w:szCs w:val="21"/>
                    </w:rPr>
                    <w:t>高效二级活性炭吸附装置+15m高排气筒</w:t>
                  </w:r>
                  <w:r>
                    <w:rPr>
                      <w:rFonts w:hint="eastAsia" w:ascii="Times New Roman" w:hAnsi="Times New Roman" w:eastAsia="宋体" w:cs="Times New Roman"/>
                      <w:bCs/>
                      <w:szCs w:val="21"/>
                    </w:rPr>
                    <w:t>。</w:t>
                  </w:r>
                </w:p>
                <w:p w14:paraId="0A5D4213">
                  <w:pPr>
                    <w:rPr>
                      <w:rFonts w:ascii="Times New Roman" w:hAnsi="Times New Roman" w:eastAsia="宋体" w:cs="Times New Roman"/>
                      <w:bCs/>
                      <w:szCs w:val="21"/>
                    </w:rPr>
                  </w:pPr>
                  <w:r>
                    <w:rPr>
                      <w:rFonts w:hint="eastAsia" w:ascii="Times New Roman" w:hAnsi="Times New Roman" w:eastAsia="宋体" w:cs="Times New Roman"/>
                      <w:b/>
                      <w:szCs w:val="21"/>
                    </w:rPr>
                    <w:t>有机热载体炉废气排放口</w:t>
                  </w:r>
                  <w:r>
                    <w:rPr>
                      <w:rFonts w:ascii="Times New Roman" w:hAnsi="Times New Roman" w:eastAsia="宋体" w:cs="Times New Roman"/>
                      <w:b/>
                      <w:szCs w:val="21"/>
                    </w:rPr>
                    <w:t>DA004</w:t>
                  </w:r>
                  <w:r>
                    <w:rPr>
                      <w:rFonts w:hint="eastAsia" w:ascii="Times New Roman" w:hAnsi="Times New Roman" w:eastAsia="宋体" w:cs="Times New Roman"/>
                      <w:b/>
                      <w:szCs w:val="21"/>
                    </w:rPr>
                    <w:t>：</w:t>
                  </w:r>
                  <w:r>
                    <w:rPr>
                      <w:rFonts w:hint="eastAsia" w:ascii="Times New Roman" w:hAnsi="Times New Roman" w:eastAsia="宋体" w:cs="Times New Roman"/>
                      <w:bCs/>
                      <w:szCs w:val="21"/>
                    </w:rPr>
                    <w:t>低氮燃烧器，一根15m高排气筒。</w:t>
                  </w:r>
                </w:p>
                <w:p w14:paraId="36BC83FB">
                  <w:r>
                    <w:rPr>
                      <w:rFonts w:hint="eastAsia" w:ascii="Times New Roman" w:hAnsi="Times New Roman" w:eastAsia="宋体" w:cs="Times New Roman"/>
                      <w:b/>
                      <w:szCs w:val="21"/>
                    </w:rPr>
                    <w:t>食堂油烟：</w:t>
                  </w:r>
                  <w:r>
                    <w:rPr>
                      <w:rFonts w:hint="eastAsia" w:ascii="Times New Roman" w:hAnsi="Times New Roman" w:eastAsia="宋体" w:cs="Times New Roman"/>
                      <w:bCs/>
                      <w:szCs w:val="21"/>
                    </w:rPr>
                    <w:t>油烟净化器处理后经专用烟道引至屋顶排放。</w:t>
                  </w:r>
                </w:p>
              </w:tc>
            </w:tr>
            <w:tr w14:paraId="54FF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tl2br w:val="nil"/>
                    <w:tr2bl w:val="nil"/>
                  </w:tcBorders>
                  <w:vAlign w:val="center"/>
                </w:tcPr>
                <w:p w14:paraId="5DA16F88">
                  <w:pPr>
                    <w:jc w:val="center"/>
                    <w:rPr>
                      <w:rFonts w:ascii="Times New Roman" w:hAnsi="Times New Roman" w:eastAsia="宋体" w:cs="Times New Roman"/>
                    </w:rPr>
                  </w:pPr>
                </w:p>
              </w:tc>
              <w:tc>
                <w:tcPr>
                  <w:tcW w:w="553" w:type="pct"/>
                  <w:tcBorders>
                    <w:tl2br w:val="nil"/>
                    <w:tr2bl w:val="nil"/>
                  </w:tcBorders>
                  <w:vAlign w:val="center"/>
                </w:tcPr>
                <w:p w14:paraId="15409D16">
                  <w:pPr>
                    <w:jc w:val="center"/>
                    <w:rPr>
                      <w:rFonts w:ascii="Times New Roman" w:hAnsi="Times New Roman" w:eastAsia="宋体" w:cs="Times New Roman"/>
                      <w:bCs/>
                      <w:szCs w:val="21"/>
                    </w:rPr>
                  </w:pPr>
                  <w:r>
                    <w:rPr>
                      <w:rFonts w:ascii="Times New Roman" w:hAnsi="Times New Roman" w:eastAsia="宋体" w:cs="Times New Roman"/>
                      <w:bCs/>
                      <w:szCs w:val="21"/>
                    </w:rPr>
                    <w:t>废水</w:t>
                  </w:r>
                </w:p>
              </w:tc>
              <w:tc>
                <w:tcPr>
                  <w:tcW w:w="4046" w:type="pct"/>
                  <w:gridSpan w:val="2"/>
                  <w:tcBorders>
                    <w:tl2br w:val="nil"/>
                    <w:tr2bl w:val="nil"/>
                  </w:tcBorders>
                  <w:vAlign w:val="center"/>
                </w:tcPr>
                <w:p w14:paraId="6AD6FEF3">
                  <w:pPr>
                    <w:jc w:val="center"/>
                    <w:rPr>
                      <w:rFonts w:ascii="Times New Roman" w:hAnsi="Times New Roman" w:eastAsia="仿宋" w:cs="Times New Roman"/>
                      <w:szCs w:val="21"/>
                    </w:rPr>
                  </w:pPr>
                  <w:r>
                    <w:rPr>
                      <w:rFonts w:ascii="Times New Roman" w:hAnsi="Times New Roman" w:eastAsia="宋体" w:cs="Times New Roman"/>
                      <w:bCs/>
                      <w:szCs w:val="21"/>
                    </w:rPr>
                    <w:t>本项目降尘用水（冷料仓上料喷淋降尘用水、运输道路抑尘用水、移动式雾炮抑尘用水）、绿化用水全部蒸发损耗；配料用水全部进入产品；车辆冲洗废水经沉淀池沉淀后循环利用，无外排废水；洗涤塔用水经分区沉淀后循环利用，产生的废液、焦油渣作为危险废物委托处置；本项目产生的</w:t>
                  </w:r>
                  <w:r>
                    <w:rPr>
                      <w:rFonts w:hint="eastAsia" w:ascii="Times New Roman" w:hAnsi="Times New Roman" w:eastAsia="宋体" w:cs="Times New Roman"/>
                      <w:bCs/>
                      <w:color w:val="0000FF"/>
                      <w:szCs w:val="21"/>
                    </w:rPr>
                    <w:t>生活污水（含食堂废水）经隔油池</w:t>
                  </w:r>
                  <w:r>
                    <w:rPr>
                      <w:rFonts w:hint="eastAsia" w:ascii="Times New Roman" w:hAnsi="Times New Roman" w:eastAsia="宋体" w:cs="Times New Roman"/>
                      <w:bCs/>
                      <w:color w:val="0000FF"/>
                      <w:szCs w:val="21"/>
                      <w:lang w:eastAsia="zh-CN"/>
                    </w:rPr>
                    <w:t>、</w:t>
                  </w:r>
                  <w:r>
                    <w:rPr>
                      <w:rFonts w:hint="eastAsia" w:ascii="Times New Roman" w:hAnsi="Times New Roman" w:eastAsia="宋体" w:cs="Times New Roman"/>
                      <w:bCs/>
                      <w:color w:val="0000FF"/>
                      <w:szCs w:val="21"/>
                    </w:rPr>
                    <w:t>化粪池预处理后，</w:t>
                  </w:r>
                  <w:r>
                    <w:rPr>
                      <w:rFonts w:hint="eastAsia" w:ascii="Times New Roman" w:hAnsi="Times New Roman" w:eastAsia="宋体" w:cs="Times New Roman"/>
                      <w:bCs/>
                      <w:color w:val="0000FF"/>
                      <w:szCs w:val="21"/>
                      <w:lang w:val="en-US" w:eastAsia="zh-CN"/>
                    </w:rPr>
                    <w:t>暂</w:t>
                  </w:r>
                  <w:r>
                    <w:rPr>
                      <w:rFonts w:hint="eastAsia" w:ascii="Times New Roman" w:hAnsi="Times New Roman" w:eastAsia="宋体" w:cs="Times New Roman"/>
                      <w:bCs/>
                      <w:color w:val="0000FF"/>
                      <w:szCs w:val="21"/>
                    </w:rPr>
                    <w:t>定期委托专业吸污车进行抽吸清运，</w:t>
                  </w:r>
                  <w:r>
                    <w:rPr>
                      <w:rFonts w:hint="eastAsia" w:ascii="Times New Roman" w:hAnsi="Times New Roman" w:eastAsia="宋体" w:cs="Times New Roman"/>
                      <w:bCs/>
                      <w:color w:val="0000FF"/>
                      <w:szCs w:val="21"/>
                      <w:lang w:val="en-US" w:eastAsia="zh-CN"/>
                    </w:rPr>
                    <w:t>并跟踪去向</w:t>
                  </w:r>
                  <w:r>
                    <w:rPr>
                      <w:rFonts w:hint="eastAsia" w:ascii="Times New Roman" w:hAnsi="Times New Roman" w:eastAsia="宋体" w:cs="Times New Roman"/>
                      <w:bCs/>
                      <w:color w:val="0000FF"/>
                      <w:szCs w:val="21"/>
                      <w:lang w:eastAsia="zh-CN"/>
                    </w:rPr>
                    <w:t>，</w:t>
                  </w:r>
                  <w:r>
                    <w:rPr>
                      <w:rFonts w:hint="eastAsia" w:ascii="Times New Roman" w:hAnsi="Times New Roman" w:eastAsia="宋体" w:cs="Times New Roman"/>
                      <w:bCs/>
                      <w:color w:val="0000FF"/>
                      <w:szCs w:val="21"/>
                    </w:rPr>
                    <w:t>待凹凸棒石初级加工园区污水处理厂投入</w:t>
                  </w:r>
                  <w:r>
                    <w:rPr>
                      <w:rFonts w:hint="eastAsia" w:ascii="Times New Roman" w:hAnsi="Times New Roman" w:eastAsia="宋体" w:cs="Times New Roman"/>
                      <w:bCs/>
                      <w:color w:val="0000FF"/>
                      <w:szCs w:val="21"/>
                      <w:lang w:val="en-US" w:eastAsia="zh-CN"/>
                    </w:rPr>
                    <w:t>稳定</w:t>
                  </w:r>
                  <w:r>
                    <w:rPr>
                      <w:rFonts w:hint="eastAsia" w:ascii="Times New Roman" w:hAnsi="Times New Roman" w:eastAsia="宋体" w:cs="Times New Roman"/>
                      <w:bCs/>
                      <w:color w:val="0000FF"/>
                      <w:szCs w:val="21"/>
                    </w:rPr>
                    <w:t>运行后，排入该污水处理厂进行处理；</w:t>
                  </w:r>
                </w:p>
              </w:tc>
            </w:tr>
            <w:tr w14:paraId="02CD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399" w:type="pct"/>
                  <w:vMerge w:val="continue"/>
                  <w:tcBorders>
                    <w:tl2br w:val="nil"/>
                    <w:tr2bl w:val="nil"/>
                  </w:tcBorders>
                  <w:vAlign w:val="center"/>
                </w:tcPr>
                <w:p w14:paraId="6E84430D">
                  <w:pPr>
                    <w:jc w:val="center"/>
                    <w:rPr>
                      <w:rFonts w:ascii="Times New Roman" w:hAnsi="Times New Roman" w:eastAsia="宋体" w:cs="Times New Roman"/>
                    </w:rPr>
                  </w:pPr>
                </w:p>
              </w:tc>
              <w:tc>
                <w:tcPr>
                  <w:tcW w:w="553" w:type="pct"/>
                  <w:tcBorders>
                    <w:tl2br w:val="nil"/>
                    <w:tr2bl w:val="nil"/>
                  </w:tcBorders>
                  <w:vAlign w:val="center"/>
                </w:tcPr>
                <w:p w14:paraId="630D3C10">
                  <w:pPr>
                    <w:jc w:val="center"/>
                    <w:rPr>
                      <w:rFonts w:ascii="Times New Roman" w:hAnsi="Times New Roman" w:eastAsia="宋体" w:cs="Times New Roman"/>
                      <w:bCs/>
                      <w:szCs w:val="21"/>
                    </w:rPr>
                  </w:pPr>
                  <w:r>
                    <w:rPr>
                      <w:rFonts w:ascii="Times New Roman" w:hAnsi="Times New Roman" w:eastAsia="宋体" w:cs="Times New Roman"/>
                      <w:bCs/>
                      <w:szCs w:val="21"/>
                    </w:rPr>
                    <w:t>噪声</w:t>
                  </w:r>
                </w:p>
              </w:tc>
              <w:tc>
                <w:tcPr>
                  <w:tcW w:w="4046" w:type="pct"/>
                  <w:gridSpan w:val="2"/>
                  <w:tcBorders>
                    <w:tl2br w:val="nil"/>
                    <w:tr2bl w:val="nil"/>
                  </w:tcBorders>
                  <w:vAlign w:val="center"/>
                </w:tcPr>
                <w:p w14:paraId="0DC612D9">
                  <w:pPr>
                    <w:jc w:val="center"/>
                    <w:rPr>
                      <w:rFonts w:ascii="Times New Roman" w:hAnsi="Times New Roman" w:eastAsia="仿宋"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设备基础减振、选用低噪声设备、设备定期维护保养、消声器消声</w:t>
                  </w:r>
                </w:p>
              </w:tc>
            </w:tr>
            <w:tr w14:paraId="7644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399" w:type="pct"/>
                  <w:vMerge w:val="continue"/>
                  <w:tcBorders>
                    <w:tl2br w:val="nil"/>
                    <w:tr2bl w:val="nil"/>
                  </w:tcBorders>
                  <w:vAlign w:val="center"/>
                </w:tcPr>
                <w:p w14:paraId="2BEEB380">
                  <w:pPr>
                    <w:jc w:val="center"/>
                    <w:rPr>
                      <w:rFonts w:ascii="Times New Roman" w:hAnsi="Times New Roman" w:eastAsia="宋体" w:cs="Times New Roman"/>
                    </w:rPr>
                  </w:pPr>
                </w:p>
              </w:tc>
              <w:tc>
                <w:tcPr>
                  <w:tcW w:w="553" w:type="pct"/>
                  <w:tcBorders>
                    <w:tl2br w:val="nil"/>
                    <w:tr2bl w:val="nil"/>
                  </w:tcBorders>
                  <w:vAlign w:val="center"/>
                </w:tcPr>
                <w:p w14:paraId="7F690154">
                  <w:pPr>
                    <w:jc w:val="center"/>
                    <w:rPr>
                      <w:rFonts w:ascii="Times New Roman" w:hAnsi="Times New Roman" w:eastAsia="宋体" w:cs="Times New Roman"/>
                      <w:bCs/>
                      <w:szCs w:val="21"/>
                    </w:rPr>
                  </w:pPr>
                  <w:r>
                    <w:rPr>
                      <w:rFonts w:ascii="Times New Roman" w:hAnsi="Times New Roman" w:eastAsia="宋体" w:cs="Times New Roman"/>
                      <w:bCs/>
                      <w:szCs w:val="21"/>
                    </w:rPr>
                    <w:t>固体</w:t>
                  </w:r>
                </w:p>
                <w:p w14:paraId="7A64DD76">
                  <w:pPr>
                    <w:jc w:val="center"/>
                    <w:rPr>
                      <w:rFonts w:ascii="Times New Roman" w:hAnsi="Times New Roman" w:eastAsia="宋体" w:cs="Times New Roman"/>
                      <w:bCs/>
                      <w:szCs w:val="21"/>
                    </w:rPr>
                  </w:pPr>
                  <w:r>
                    <w:rPr>
                      <w:rFonts w:ascii="Times New Roman" w:hAnsi="Times New Roman" w:eastAsia="宋体" w:cs="Times New Roman"/>
                      <w:bCs/>
                      <w:szCs w:val="21"/>
                    </w:rPr>
                    <w:t>废物</w:t>
                  </w:r>
                </w:p>
              </w:tc>
              <w:tc>
                <w:tcPr>
                  <w:tcW w:w="4046" w:type="pct"/>
                  <w:gridSpan w:val="2"/>
                  <w:tcBorders>
                    <w:tl2br w:val="nil"/>
                    <w:tr2bl w:val="nil"/>
                  </w:tcBorders>
                  <w:vAlign w:val="center"/>
                </w:tcPr>
                <w:p w14:paraId="0A90F214">
                  <w:pPr>
                    <w:rPr>
                      <w:rFonts w:ascii="Times New Roman" w:hAnsi="Times New Roman" w:eastAsia="宋体" w:cs="Times New Roman"/>
                      <w:b/>
                      <w:bCs/>
                      <w:szCs w:val="21"/>
                    </w:rPr>
                  </w:pPr>
                  <w:r>
                    <w:rPr>
                      <w:rFonts w:hint="eastAsia" w:ascii="Times New Roman" w:hAnsi="Times New Roman" w:eastAsia="宋体" w:cs="Times New Roman"/>
                      <w:b/>
                      <w:bCs/>
                      <w:szCs w:val="21"/>
                    </w:rPr>
                    <w:t>一般固体废物：</w:t>
                  </w:r>
                </w:p>
                <w:p w14:paraId="75A3A6A1">
                  <w:pPr>
                    <w:rPr>
                      <w:rFonts w:ascii="Times New Roman" w:hAnsi="Times New Roman" w:eastAsia="宋体" w:cs="Times New Roman"/>
                      <w:szCs w:val="21"/>
                    </w:rPr>
                  </w:pPr>
                  <w:r>
                    <w:rPr>
                      <w:rFonts w:hint="eastAsia" w:ascii="Times New Roman" w:hAnsi="Times New Roman" w:eastAsia="宋体" w:cs="Times New Roman"/>
                      <w:b/>
                      <w:bCs/>
                      <w:color w:val="000000"/>
                      <w:szCs w:val="21"/>
                    </w:rPr>
                    <w:t>除尘灰：</w:t>
                  </w:r>
                  <w:r>
                    <w:rPr>
                      <w:rFonts w:hint="eastAsia" w:ascii="Times New Roman" w:hAnsi="Times New Roman" w:eastAsia="宋体" w:cs="Times New Roman"/>
                      <w:color w:val="000000"/>
                      <w:szCs w:val="21"/>
                    </w:rPr>
                    <w:t>外售至建材企业进行资源化综合利用；</w:t>
                  </w:r>
                  <w:r>
                    <w:rPr>
                      <w:rFonts w:hint="eastAsia" w:ascii="Times New Roman" w:hAnsi="Times New Roman" w:eastAsia="宋体" w:cs="Times New Roman"/>
                      <w:b/>
                      <w:bCs/>
                      <w:szCs w:val="21"/>
                    </w:rPr>
                    <w:t>不合格石料：</w:t>
                  </w:r>
                  <w:r>
                    <w:rPr>
                      <w:rFonts w:hint="eastAsia" w:ascii="Times New Roman" w:hAnsi="Times New Roman" w:eastAsia="宋体" w:cs="Times New Roman"/>
                      <w:szCs w:val="21"/>
                    </w:rPr>
                    <w:t>定期由石料供应商回收，经破碎加工后重新利用；</w:t>
                  </w:r>
                  <w:r>
                    <w:rPr>
                      <w:rFonts w:ascii="Times New Roman" w:hAnsi="Times New Roman" w:eastAsia="宋体" w:cs="Times New Roman"/>
                      <w:b/>
                      <w:bCs/>
                      <w:szCs w:val="21"/>
                    </w:rPr>
                    <w:t>车辆冲洗废水沉淀池沉渣</w:t>
                  </w:r>
                  <w:r>
                    <w:rPr>
                      <w:rFonts w:hint="eastAsia" w:ascii="Times New Roman" w:hAnsi="Times New Roman" w:eastAsia="宋体" w:cs="Times New Roman"/>
                      <w:b/>
                      <w:bCs/>
                      <w:szCs w:val="21"/>
                    </w:rPr>
                    <w:t>：</w:t>
                  </w:r>
                  <w:r>
                    <w:rPr>
                      <w:rFonts w:hint="eastAsia" w:ascii="Times New Roman" w:hAnsi="Times New Roman" w:eastAsia="宋体" w:cs="Times New Roman"/>
                      <w:szCs w:val="21"/>
                    </w:rPr>
                    <w:t>定期收集后，</w:t>
                  </w:r>
                  <w:r>
                    <w:rPr>
                      <w:rFonts w:ascii="Times New Roman" w:hAnsi="Times New Roman" w:eastAsia="宋体" w:cs="Times New Roman"/>
                      <w:szCs w:val="21"/>
                    </w:rPr>
                    <w:t>外售</w:t>
                  </w:r>
                  <w:r>
                    <w:rPr>
                      <w:rFonts w:hint="eastAsia" w:ascii="Times New Roman" w:hAnsi="Times New Roman" w:eastAsia="宋体" w:cs="Times New Roman"/>
                      <w:szCs w:val="21"/>
                    </w:rPr>
                    <w:t>至</w:t>
                  </w:r>
                  <w:r>
                    <w:rPr>
                      <w:rFonts w:ascii="Times New Roman" w:hAnsi="Times New Roman" w:eastAsia="宋体" w:cs="Times New Roman"/>
                      <w:szCs w:val="21"/>
                    </w:rPr>
                    <w:t>建材企业进行资源化</w:t>
                  </w:r>
                  <w:r>
                    <w:rPr>
                      <w:rFonts w:hint="eastAsia" w:ascii="Times New Roman" w:hAnsi="Times New Roman" w:eastAsia="宋体" w:cs="Times New Roman"/>
                      <w:szCs w:val="21"/>
                    </w:rPr>
                    <w:t>综合</w:t>
                  </w:r>
                  <w:r>
                    <w:rPr>
                      <w:rFonts w:ascii="Times New Roman" w:hAnsi="Times New Roman" w:eastAsia="宋体" w:cs="Times New Roman"/>
                      <w:szCs w:val="21"/>
                    </w:rPr>
                    <w:t>利用</w:t>
                  </w:r>
                  <w:r>
                    <w:rPr>
                      <w:rFonts w:hint="eastAsia" w:ascii="Times New Roman" w:hAnsi="Times New Roman" w:eastAsia="宋体" w:cs="Times New Roman"/>
                      <w:szCs w:val="21"/>
                    </w:rPr>
                    <w:t>；</w:t>
                  </w:r>
                  <w:r>
                    <w:rPr>
                      <w:rFonts w:ascii="Times New Roman" w:hAnsi="Times New Roman" w:eastAsia="宋体" w:cs="Times New Roman"/>
                      <w:b/>
                      <w:bCs/>
                      <w:szCs w:val="21"/>
                    </w:rPr>
                    <w:t>废布袋、废滤芯</w:t>
                  </w:r>
                  <w:r>
                    <w:rPr>
                      <w:rFonts w:hint="eastAsia" w:ascii="Times New Roman" w:hAnsi="Times New Roman" w:eastAsia="宋体" w:cs="Times New Roman"/>
                      <w:b/>
                      <w:bCs/>
                      <w:szCs w:val="21"/>
                    </w:rPr>
                    <w:t>：</w:t>
                  </w:r>
                  <w:r>
                    <w:rPr>
                      <w:rFonts w:ascii="Times New Roman" w:hAnsi="Times New Roman" w:eastAsia="宋体" w:cs="Times New Roman"/>
                      <w:szCs w:val="21"/>
                    </w:rPr>
                    <w:t>经统一收集后，定期返回原供应商进行回收利用</w:t>
                  </w:r>
                  <w:r>
                    <w:rPr>
                      <w:rFonts w:hint="eastAsia" w:ascii="Times New Roman" w:hAnsi="Times New Roman" w:eastAsia="宋体" w:cs="Times New Roman"/>
                      <w:szCs w:val="21"/>
                    </w:rPr>
                    <w:t>；</w:t>
                  </w:r>
                  <w:r>
                    <w:rPr>
                      <w:rFonts w:ascii="Times New Roman" w:hAnsi="Times New Roman" w:eastAsia="宋体" w:cs="Times New Roman"/>
                      <w:b/>
                      <w:bCs/>
                      <w:szCs w:val="21"/>
                    </w:rPr>
                    <w:t>滴漏沥青及拌合残渣</w:t>
                  </w:r>
                  <w:r>
                    <w:rPr>
                      <w:rFonts w:hint="eastAsia" w:ascii="Times New Roman" w:hAnsi="Times New Roman" w:eastAsia="宋体" w:cs="Times New Roman"/>
                      <w:b/>
                      <w:bCs/>
                      <w:szCs w:val="21"/>
                    </w:rPr>
                    <w:t>：</w:t>
                  </w:r>
                  <w:r>
                    <w:rPr>
                      <w:rFonts w:ascii="Times New Roman" w:hAnsi="Times New Roman" w:eastAsia="宋体" w:cs="Times New Roman"/>
                      <w:szCs w:val="21"/>
                    </w:rPr>
                    <w:t>经收集后直接返回沥青混凝土拌合生产工序中重复利用</w:t>
                  </w:r>
                  <w:r>
                    <w:rPr>
                      <w:rFonts w:hint="eastAsia" w:ascii="Times New Roman" w:hAnsi="Times New Roman" w:eastAsia="宋体" w:cs="Times New Roman"/>
                      <w:szCs w:val="21"/>
                    </w:rPr>
                    <w:t>；</w:t>
                  </w:r>
                  <w:r>
                    <w:rPr>
                      <w:rFonts w:ascii="Times New Roman" w:hAnsi="Times New Roman" w:eastAsia="宋体" w:cs="Times New Roman"/>
                      <w:b/>
                      <w:bCs/>
                      <w:szCs w:val="21"/>
                    </w:rPr>
                    <w:t>职工生活垃圾</w:t>
                  </w:r>
                  <w:r>
                    <w:rPr>
                      <w:rFonts w:hint="eastAsia" w:ascii="Times New Roman" w:hAnsi="Times New Roman" w:eastAsia="宋体" w:cs="Times New Roman"/>
                      <w:szCs w:val="21"/>
                    </w:rPr>
                    <w:t>：</w:t>
                  </w:r>
                  <w:r>
                    <w:rPr>
                      <w:rFonts w:ascii="Times New Roman" w:hAnsi="Times New Roman" w:eastAsia="宋体" w:cs="Times New Roman"/>
                      <w:szCs w:val="21"/>
                    </w:rPr>
                    <w:t>分类收集、避雨存放，由工业园区环卫定期清运</w:t>
                  </w:r>
                  <w:r>
                    <w:rPr>
                      <w:rFonts w:hint="eastAsia" w:ascii="Times New Roman" w:hAnsi="Times New Roman" w:eastAsia="宋体" w:cs="Times New Roman"/>
                      <w:szCs w:val="21"/>
                    </w:rPr>
                    <w:t>处置；</w:t>
                  </w:r>
                  <w:r>
                    <w:rPr>
                      <w:rFonts w:ascii="Times New Roman" w:hAnsi="Times New Roman" w:eastAsia="宋体" w:cs="Times New Roman"/>
                      <w:b/>
                      <w:bCs/>
                      <w:szCs w:val="21"/>
                    </w:rPr>
                    <w:t>食堂餐厨垃圾</w:t>
                  </w:r>
                  <w:r>
                    <w:rPr>
                      <w:rFonts w:hint="eastAsia" w:ascii="Times New Roman" w:hAnsi="Times New Roman" w:eastAsia="宋体" w:cs="Times New Roman"/>
                      <w:b/>
                      <w:bCs/>
                      <w:szCs w:val="21"/>
                    </w:rPr>
                    <w:t>：</w:t>
                  </w:r>
                  <w:r>
                    <w:rPr>
                      <w:rFonts w:ascii="Times New Roman" w:hAnsi="Times New Roman" w:eastAsia="宋体" w:cs="Times New Roman"/>
                      <w:szCs w:val="21"/>
                    </w:rPr>
                    <w:t>收集后由工业园区指定专业单位定期集中清运、处置</w:t>
                  </w:r>
                  <w:r>
                    <w:rPr>
                      <w:rFonts w:hint="eastAsia" w:ascii="Times New Roman" w:hAnsi="Times New Roman" w:eastAsia="宋体" w:cs="Times New Roman"/>
                      <w:szCs w:val="21"/>
                    </w:rPr>
                    <w:t>；</w:t>
                  </w:r>
                  <w:r>
                    <w:rPr>
                      <w:rFonts w:ascii="Times New Roman" w:hAnsi="Times New Roman" w:eastAsia="宋体" w:cs="Times New Roman"/>
                      <w:b/>
                      <w:bCs/>
                      <w:szCs w:val="21"/>
                    </w:rPr>
                    <w:t>隔油池、化粪池沉渣</w:t>
                  </w:r>
                  <w:r>
                    <w:rPr>
                      <w:rFonts w:hint="eastAsia" w:ascii="Times New Roman" w:hAnsi="Times New Roman" w:eastAsia="宋体" w:cs="Times New Roman"/>
                      <w:b/>
                      <w:bCs/>
                      <w:szCs w:val="21"/>
                    </w:rPr>
                    <w:t>：</w:t>
                  </w:r>
                  <w:r>
                    <w:rPr>
                      <w:rFonts w:hint="eastAsia" w:ascii="Times New Roman" w:hAnsi="Times New Roman" w:eastAsia="宋体" w:cs="Times New Roman"/>
                      <w:szCs w:val="21"/>
                    </w:rPr>
                    <w:t>定期委托专业吸污车对化粪池进行抽吸清运；隔油池油脂及沉积混合物清掏后，交由具备专业餐厨废弃物处理能力的单位进行无害化处置；运营期，签订处置协议。</w:t>
                  </w:r>
                </w:p>
                <w:p w14:paraId="223C65A0">
                  <w:pPr>
                    <w:wordWrap w:val="0"/>
                    <w:topLinePunct/>
                    <w:adjustRightInd w:val="0"/>
                    <w:jc w:val="left"/>
                    <w:textAlignment w:val="baseline"/>
                    <w:rPr>
                      <w:rFonts w:ascii="Times New Roman" w:hAnsi="Times New Roman" w:eastAsia="宋体" w:cs="Times New Roman"/>
                      <w:b/>
                      <w:bCs/>
                      <w:color w:val="000000"/>
                      <w:szCs w:val="21"/>
                    </w:rPr>
                  </w:pPr>
                  <w:r>
                    <w:rPr>
                      <w:rFonts w:hint="eastAsia" w:ascii="Times New Roman" w:hAnsi="Times New Roman" w:eastAsia="宋体" w:cs="Times New Roman"/>
                      <w:b/>
                      <w:bCs/>
                      <w:color w:val="000000"/>
                      <w:szCs w:val="21"/>
                    </w:rPr>
                    <w:t>危险废物：</w:t>
                  </w:r>
                </w:p>
                <w:p w14:paraId="02137DC6">
                  <w:pPr>
                    <w:wordWrap w:val="0"/>
                    <w:topLinePunct/>
                    <w:adjustRightInd w:val="0"/>
                    <w:jc w:val="left"/>
                    <w:textAlignment w:val="baseline"/>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废活性炭、废焦油、洗涤塔循环废液、洗涤塔沉淀焦油渣、</w:t>
                  </w:r>
                  <w:r>
                    <w:rPr>
                      <w:rFonts w:hint="eastAsia" w:ascii="Times New Roman" w:hAnsi="Times New Roman" w:eastAsia="宋体" w:cs="Times New Roman"/>
                      <w:b/>
                      <w:bCs/>
                      <w:color w:val="FF0000"/>
                      <w:szCs w:val="21"/>
                    </w:rPr>
                    <w:t>废含油棉纱及废手套</w:t>
                  </w:r>
                  <w:r>
                    <w:rPr>
                      <w:rFonts w:hint="eastAsia" w:ascii="Times New Roman" w:hAnsi="Times New Roman" w:eastAsia="宋体" w:cs="Times New Roman"/>
                      <w:color w:val="000000"/>
                      <w:szCs w:val="21"/>
                    </w:rPr>
                    <w:t>采用密封防腐防渗容器规范收集后，委托具备相应危险废物处置资质的危险废物处置单位定期清运，进行安全、无害化处置。</w:t>
                  </w:r>
                </w:p>
                <w:p w14:paraId="40CCD5D1">
                  <w:pPr>
                    <w:wordWrap w:val="0"/>
                    <w:topLinePunct/>
                    <w:adjustRightInd w:val="0"/>
                    <w:jc w:val="left"/>
                    <w:textAlignment w:val="baseline"/>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废导热油、柴油储罐油泥</w:t>
                  </w:r>
                  <w:r>
                    <w:rPr>
                      <w:rFonts w:hint="eastAsia" w:ascii="Times New Roman" w:hAnsi="Times New Roman" w:eastAsia="宋体" w:cs="Times New Roman"/>
                      <w:color w:val="000000"/>
                      <w:szCs w:val="21"/>
                    </w:rPr>
                    <w:t>经专用密闭防腐防渗容器规范收集，由具备危险废物处置资质的单位直接回收处置，不在厂区内暂存。</w:t>
                  </w:r>
                </w:p>
                <w:p w14:paraId="0D33984F">
                  <w:pPr>
                    <w:wordWrap w:val="0"/>
                    <w:topLinePunct/>
                    <w:adjustRightInd w:val="0"/>
                    <w:jc w:val="left"/>
                    <w:textAlignment w:val="baseline"/>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废矿物油</w:t>
                  </w:r>
                  <w:r>
                    <w:rPr>
                      <w:rFonts w:hint="eastAsia" w:ascii="Times New Roman" w:hAnsi="Times New Roman" w:eastAsia="宋体" w:cs="Times New Roman"/>
                      <w:color w:val="000000"/>
                      <w:szCs w:val="21"/>
                    </w:rPr>
                    <w:t>经专用密闭防腐防渗容器规范收集后，暂存于危废贮存点，容器置于防渗托盘内，委托具备相应危险废物处置资质的危险废物处置单位定期清运，进行安全、无害化处置。</w:t>
                  </w:r>
                </w:p>
                <w:p w14:paraId="0F66CFF7">
                  <w:pPr>
                    <w:wordWrap w:val="0"/>
                    <w:topLinePunct/>
                    <w:rPr>
                      <w:rFonts w:ascii="Times New Roman" w:hAnsi="Times New Roman" w:eastAsia="宋体" w:cs="Times New Roman"/>
                      <w:color w:val="FF0000"/>
                    </w:rPr>
                  </w:pPr>
                  <w:r>
                    <w:rPr>
                      <w:rFonts w:hint="eastAsia" w:ascii="Times New Roman" w:hAnsi="Times New Roman" w:eastAsia="宋体" w:cs="Times New Roman"/>
                      <w:b/>
                      <w:bCs/>
                      <w:color w:val="000000"/>
                      <w:szCs w:val="21"/>
                    </w:rPr>
                    <w:t>废油桶</w:t>
                  </w:r>
                  <w:r>
                    <w:rPr>
                      <w:rFonts w:hint="eastAsia" w:ascii="Times New Roman" w:hAnsi="Times New Roman" w:eastAsia="宋体" w:cs="Times New Roman"/>
                      <w:color w:val="000000"/>
                      <w:szCs w:val="21"/>
                    </w:rPr>
                    <w:t>分类收集，保持桶体完整并加盖，暂存于危废贮存点，放置于托盘之上，委托具备相应危险废物处置资质的危险废物处置单位定期清运，进行安全、无害化处置。</w:t>
                  </w:r>
                </w:p>
              </w:tc>
            </w:tr>
            <w:tr w14:paraId="6237F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399" w:type="pct"/>
                  <w:vMerge w:val="continue"/>
                  <w:tcBorders>
                    <w:tl2br w:val="nil"/>
                    <w:tr2bl w:val="nil"/>
                  </w:tcBorders>
                  <w:vAlign w:val="center"/>
                </w:tcPr>
                <w:p w14:paraId="4E0D5716">
                  <w:pPr>
                    <w:jc w:val="center"/>
                    <w:rPr>
                      <w:rFonts w:ascii="Times New Roman" w:hAnsi="Times New Roman" w:eastAsia="宋体" w:cs="Times New Roman"/>
                    </w:rPr>
                  </w:pPr>
                </w:p>
              </w:tc>
              <w:tc>
                <w:tcPr>
                  <w:tcW w:w="553" w:type="pct"/>
                  <w:tcBorders>
                    <w:tl2br w:val="nil"/>
                    <w:tr2bl w:val="nil"/>
                  </w:tcBorders>
                  <w:vAlign w:val="center"/>
                </w:tcPr>
                <w:p w14:paraId="70D2D3DC">
                  <w:pPr>
                    <w:jc w:val="center"/>
                    <w:rPr>
                      <w:rFonts w:ascii="Times New Roman" w:hAnsi="Times New Roman" w:eastAsia="宋体" w:cs="Times New Roman"/>
                      <w:bCs/>
                      <w:szCs w:val="21"/>
                    </w:rPr>
                  </w:pPr>
                  <w:r>
                    <w:rPr>
                      <w:rFonts w:hint="eastAsia" w:ascii="Times New Roman" w:hAnsi="Times New Roman" w:eastAsia="宋体" w:cs="Times New Roman"/>
                      <w:bCs/>
                      <w:szCs w:val="21"/>
                    </w:rPr>
                    <w:t>防渗</w:t>
                  </w:r>
                </w:p>
              </w:tc>
              <w:tc>
                <w:tcPr>
                  <w:tcW w:w="4046" w:type="pct"/>
                  <w:gridSpan w:val="2"/>
                  <w:tcBorders>
                    <w:tl2br w:val="nil"/>
                    <w:tr2bl w:val="nil"/>
                  </w:tcBorders>
                  <w:vAlign w:val="center"/>
                </w:tcPr>
                <w:p w14:paraId="63169C33">
                  <w:pPr>
                    <w:wordWrap w:val="0"/>
                    <w:topLinePunct/>
                    <w:adjustRightInd w:val="0"/>
                    <w:jc w:val="left"/>
                    <w:textAlignment w:val="baseline"/>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本环评要求危险废物贮存点（危险废物暂存间）区域、有机热载体炉房区域（导热油）、柴油储罐区域、事故收集池（柴油储罐区）、防火堤围堰执行重点防渗区要求。即重点防渗区防渗层的防渗性能应等效于6.0m厚渗透系数为1.0×10</w:t>
                  </w:r>
                  <w:r>
                    <w:rPr>
                      <w:rFonts w:hint="eastAsia" w:ascii="Times New Roman" w:hAnsi="Times New Roman" w:eastAsia="宋体" w:cs="Times New Roman"/>
                      <w:color w:val="000000"/>
                      <w:szCs w:val="21"/>
                      <w:vertAlign w:val="superscript"/>
                    </w:rPr>
                    <w:t>-7</w:t>
                  </w:r>
                  <w:r>
                    <w:rPr>
                      <w:rFonts w:hint="eastAsia" w:ascii="Times New Roman" w:hAnsi="Times New Roman" w:eastAsia="宋体" w:cs="Times New Roman"/>
                      <w:color w:val="000000"/>
                      <w:szCs w:val="21"/>
                    </w:rPr>
                    <w:t>cm/s的黏土层的防渗性能；危险废物贮存点（危险废物暂存间）还应同时满足《危险废物贮存污染控制标准》（GB 18597-2023）的相关要求：“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eastAsia" w:ascii="Times New Roman" w:hAnsi="Times New Roman" w:eastAsia="宋体" w:cs="Times New Roman"/>
                      <w:color w:val="000000"/>
                      <w:szCs w:val="21"/>
                      <w:vertAlign w:val="superscript"/>
                    </w:rPr>
                    <w:t>-7</w:t>
                  </w:r>
                  <w:r>
                    <w:rPr>
                      <w:rFonts w:hint="eastAsia" w:ascii="Times New Roman" w:hAnsi="Times New Roman" w:eastAsia="宋体" w:cs="Times New Roman"/>
                      <w:color w:val="000000"/>
                      <w:szCs w:val="21"/>
                    </w:rPr>
                    <w:t>cm/s），或至少2mm厚高密度聚乙烯膜等人工防渗材料（渗透系数不大于10</w:t>
                  </w:r>
                  <w:r>
                    <w:rPr>
                      <w:rFonts w:hint="eastAsia" w:ascii="Times New Roman" w:hAnsi="Times New Roman" w:eastAsia="宋体" w:cs="Times New Roman"/>
                      <w:color w:val="000000"/>
                      <w:szCs w:val="21"/>
                      <w:vertAlign w:val="superscript"/>
                    </w:rPr>
                    <w:t>-10</w:t>
                  </w:r>
                  <w:r>
                    <w:rPr>
                      <w:rFonts w:hint="eastAsia" w:ascii="Times New Roman" w:hAnsi="Times New Roman" w:eastAsia="宋体" w:cs="Times New Roman"/>
                      <w:color w:val="000000"/>
                      <w:szCs w:val="21"/>
                    </w:rPr>
                    <w:t>cm/s），或其他防渗性能等效的材料”</w:t>
                  </w:r>
                  <w:r>
                    <w:fldChar w:fldCharType="begin"/>
                  </w:r>
                  <w:r>
                    <w:instrText xml:space="preserve"> HYPERLINK "http://www.nys.gov.cn:8090/Upload/main/ContentManage/Article/File/2025/06/20/202506202056598945.pdf" \l "41#38" \t "/Users/zhangminen/Documents\x/_blank" </w:instrText>
                  </w:r>
                  <w:r>
                    <w:fldChar w:fldCharType="separate"/>
                  </w:r>
                  <w:r>
                    <w:fldChar w:fldCharType="end"/>
                  </w:r>
                  <w:r>
                    <w:rPr>
                      <w:rFonts w:hint="eastAsia" w:ascii="Times New Roman" w:hAnsi="Times New Roman" w:eastAsia="宋体" w:cs="Times New Roman"/>
                      <w:color w:val="000000"/>
                      <w:szCs w:val="21"/>
                    </w:rPr>
                    <w:t>。柴油储罐区设置非燃烧材料的防火堤围堰，围堰高度1m，内置导流槽与防渗事故收集池（50m</w:t>
                  </w:r>
                  <w:r>
                    <w:rPr>
                      <w:rFonts w:hint="eastAsia" w:ascii="Times New Roman" w:hAnsi="Times New Roman" w:eastAsia="宋体" w:cs="Times New Roman"/>
                      <w:color w:val="000000"/>
                      <w:szCs w:val="21"/>
                      <w:vertAlign w:val="superscript"/>
                    </w:rPr>
                    <w:t>3</w:t>
                  </w:r>
                  <w:r>
                    <w:rPr>
                      <w:rFonts w:hint="eastAsia" w:ascii="Times New Roman" w:hAnsi="Times New Roman" w:eastAsia="宋体" w:cs="Times New Roman"/>
                      <w:color w:val="000000"/>
                      <w:szCs w:val="21"/>
                    </w:rPr>
                    <w:t>）有效连接。</w:t>
                  </w:r>
                </w:p>
                <w:p w14:paraId="75734556">
                  <w:pPr>
                    <w:rPr>
                      <w:rFonts w:ascii="Times New Roman" w:hAnsi="Times New Roman" w:eastAsia="宋体" w:cs="Times New Roman"/>
                      <w:color w:val="FF0000"/>
                      <w:szCs w:val="21"/>
                    </w:rPr>
                  </w:pPr>
                  <w:r>
                    <w:rPr>
                      <w:rFonts w:hint="eastAsia" w:ascii="Times New Roman" w:hAnsi="Times New Roman" w:eastAsia="宋体" w:cs="Times New Roman"/>
                      <w:color w:val="000000"/>
                      <w:szCs w:val="21"/>
                    </w:rPr>
                    <w:t>沥青拌合楼区域、沥青储罐区域、原料堆棚区域、废料仓、一般工业固体废物暂存间、化粪池区域、车辆冲洗废水沉淀池区域执行一般防渗区要求，即一般防渗区防渗层的防渗性能应等效于1.5m厚渗透系数为1.0×10</w:t>
                  </w:r>
                  <w:r>
                    <w:rPr>
                      <w:rFonts w:hint="eastAsia" w:ascii="Times New Roman" w:hAnsi="Times New Roman" w:eastAsia="宋体" w:cs="Times New Roman"/>
                      <w:color w:val="000000"/>
                      <w:szCs w:val="21"/>
                      <w:vertAlign w:val="superscript"/>
                    </w:rPr>
                    <w:t>-7</w:t>
                  </w:r>
                  <w:r>
                    <w:rPr>
                      <w:rFonts w:hint="eastAsia" w:ascii="Times New Roman" w:hAnsi="Times New Roman" w:eastAsia="宋体" w:cs="Times New Roman"/>
                      <w:color w:val="000000"/>
                      <w:szCs w:val="21"/>
                    </w:rPr>
                    <w:t>cm/s的黏土层的防渗性能。厂区综合用房、道路等区域执行简单防渗区要求，进行一般地面硬化。</w:t>
                  </w:r>
                </w:p>
              </w:tc>
            </w:tr>
            <w:tr w14:paraId="43C47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399" w:type="pct"/>
                  <w:vMerge w:val="continue"/>
                  <w:tcBorders>
                    <w:tl2br w:val="nil"/>
                    <w:tr2bl w:val="nil"/>
                  </w:tcBorders>
                  <w:vAlign w:val="center"/>
                </w:tcPr>
                <w:p w14:paraId="18AF1F78">
                  <w:pPr>
                    <w:jc w:val="center"/>
                    <w:rPr>
                      <w:rFonts w:ascii="Times New Roman" w:hAnsi="Times New Roman" w:eastAsia="宋体" w:cs="Times New Roman"/>
                    </w:rPr>
                  </w:pPr>
                </w:p>
              </w:tc>
              <w:tc>
                <w:tcPr>
                  <w:tcW w:w="553" w:type="pct"/>
                  <w:tcBorders>
                    <w:tl2br w:val="nil"/>
                    <w:tr2bl w:val="nil"/>
                  </w:tcBorders>
                  <w:vAlign w:val="center"/>
                </w:tcPr>
                <w:p w14:paraId="1157082D">
                  <w:pPr>
                    <w:jc w:val="center"/>
                    <w:rPr>
                      <w:rFonts w:ascii="Times New Roman" w:hAnsi="Times New Roman" w:eastAsia="宋体" w:cs="Times New Roman"/>
                      <w:bCs/>
                      <w:szCs w:val="21"/>
                    </w:rPr>
                  </w:pPr>
                  <w:r>
                    <w:rPr>
                      <w:rFonts w:hint="eastAsia" w:ascii="Times New Roman" w:hAnsi="Times New Roman" w:eastAsia="宋体" w:cs="Times New Roman"/>
                      <w:bCs/>
                      <w:szCs w:val="21"/>
                    </w:rPr>
                    <w:t>环境</w:t>
                  </w:r>
                </w:p>
                <w:p w14:paraId="52E1680F">
                  <w:pPr>
                    <w:jc w:val="center"/>
                    <w:rPr>
                      <w:rFonts w:ascii="Times New Roman" w:hAnsi="Times New Roman" w:eastAsia="宋体" w:cs="Times New Roman"/>
                      <w:bCs/>
                      <w:szCs w:val="21"/>
                    </w:rPr>
                  </w:pPr>
                  <w:r>
                    <w:rPr>
                      <w:rFonts w:hint="eastAsia" w:ascii="Times New Roman" w:hAnsi="Times New Roman" w:eastAsia="宋体" w:cs="Times New Roman"/>
                      <w:bCs/>
                      <w:szCs w:val="21"/>
                    </w:rPr>
                    <w:t>风险</w:t>
                  </w:r>
                </w:p>
              </w:tc>
              <w:tc>
                <w:tcPr>
                  <w:tcW w:w="4046" w:type="pct"/>
                  <w:gridSpan w:val="2"/>
                  <w:tcBorders>
                    <w:tl2br w:val="nil"/>
                    <w:tr2bl w:val="nil"/>
                  </w:tcBorders>
                  <w:vAlign w:val="center"/>
                </w:tcPr>
                <w:p w14:paraId="2C61ECC1">
                  <w:pPr>
                    <w:wordWrap w:val="0"/>
                    <w:topLinePunct/>
                    <w:adjustRightInd w:val="0"/>
                    <w:jc w:val="left"/>
                    <w:textAlignment w:val="baseline"/>
                    <w:rPr>
                      <w:rFonts w:ascii="Times New Roman" w:hAnsi="Times New Roman" w:eastAsia="宋体" w:cs="Times New Roman"/>
                      <w:color w:val="FF0000"/>
                      <w:szCs w:val="21"/>
                    </w:rPr>
                  </w:pPr>
                  <w:r>
                    <w:rPr>
                      <w:rFonts w:ascii="Times New Roman" w:hAnsi="Times New Roman" w:eastAsia="宋体" w:cs="Times New Roman"/>
                      <w:color w:val="000000"/>
                      <w:szCs w:val="21"/>
                    </w:rPr>
                    <w:t>柴油储罐区设置非燃烧材料的防火堤围堰，</w:t>
                  </w:r>
                  <w:r>
                    <w:rPr>
                      <w:rFonts w:hint="eastAsia" w:ascii="Times New Roman" w:hAnsi="Times New Roman" w:eastAsia="宋体" w:cs="Times New Roman"/>
                      <w:color w:val="000000"/>
                      <w:szCs w:val="21"/>
                    </w:rPr>
                    <w:t>围堰高度1m，内置导流槽与防渗事故收集池（新建50m</w:t>
                  </w:r>
                  <w:r>
                    <w:rPr>
                      <w:rFonts w:hint="eastAsia" w:ascii="Times New Roman" w:hAnsi="Times New Roman" w:eastAsia="宋体" w:cs="Times New Roman"/>
                      <w:color w:val="000000"/>
                      <w:szCs w:val="21"/>
                      <w:vertAlign w:val="superscript"/>
                    </w:rPr>
                    <w:t>3</w:t>
                  </w:r>
                  <w:r>
                    <w:rPr>
                      <w:rFonts w:hint="eastAsia" w:ascii="Times New Roman" w:hAnsi="Times New Roman" w:eastAsia="宋体" w:cs="Times New Roman"/>
                      <w:color w:val="000000"/>
                      <w:szCs w:val="21"/>
                    </w:rPr>
                    <w:t>）有效连接。</w:t>
                  </w:r>
                  <w:r>
                    <w:rPr>
                      <w:rFonts w:ascii="Times New Roman" w:hAnsi="Times New Roman" w:eastAsia="宋体" w:cs="Times New Roman"/>
                      <w:color w:val="000000"/>
                      <w:szCs w:val="21"/>
                    </w:rPr>
                    <w:t>防火堤内的有效容积不小于最大贮罐的容积，发生泄漏时可及时收集全部泄漏物</w:t>
                  </w:r>
                </w:p>
              </w:tc>
            </w:tr>
          </w:tbl>
          <w:p w14:paraId="624D5B3F">
            <w:pPr>
              <w:spacing w:line="360" w:lineRule="auto"/>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2.</w:t>
            </w:r>
            <w:r>
              <w:rPr>
                <w:rFonts w:hint="eastAsia" w:ascii="Times New Roman" w:hAnsi="Times New Roman" w:eastAsia="宋体" w:cs="Times New Roman"/>
                <w:b/>
                <w:bCs/>
                <w:color w:val="000000" w:themeColor="text1"/>
                <w:sz w:val="24"/>
                <w14:textFill>
                  <w14:solidFill>
                    <w14:schemeClr w14:val="tx1"/>
                  </w14:solidFill>
                </w14:textFill>
              </w:rPr>
              <w:t>3产品方案</w:t>
            </w:r>
          </w:p>
          <w:p w14:paraId="4CB26111">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w:t>
            </w:r>
            <w:r>
              <w:rPr>
                <w:rFonts w:ascii="Times New Roman" w:hAnsi="Times New Roman" w:eastAsia="宋体" w:cs="Times New Roman"/>
                <w:sz w:val="24"/>
              </w:rPr>
              <w:t>产品方案详见表2-2。</w:t>
            </w:r>
          </w:p>
          <w:p w14:paraId="7242B991">
            <w:pPr>
              <w:pStyle w:val="25"/>
              <w:wordWrap w:val="0"/>
              <w:topLinePunct/>
              <w:spacing w:beforeAutospacing="0" w:afterAutospacing="0" w:line="360" w:lineRule="auto"/>
              <w:jc w:val="center"/>
              <w:rPr>
                <w:rFonts w:hint="default" w:ascii="Times New Roman" w:hAnsi="Times New Roman"/>
                <w:b/>
                <w:bCs/>
                <w:snapToGrid w:val="0"/>
                <w:szCs w:val="24"/>
              </w:rPr>
            </w:pPr>
            <w:r>
              <w:rPr>
                <w:rFonts w:ascii="Times New Roman" w:hAnsi="Times New Roman"/>
                <w:b/>
                <w:bCs/>
                <w:snapToGrid w:val="0"/>
                <w:szCs w:val="24"/>
              </w:rPr>
              <w:t>表2-2  项目产品方案一览表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381"/>
              <w:gridCol w:w="1391"/>
              <w:gridCol w:w="4341"/>
            </w:tblGrid>
            <w:tr w14:paraId="0904C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84" w:type="pct"/>
                  <w:tcBorders>
                    <w:tl2br w:val="nil"/>
                    <w:tr2bl w:val="nil"/>
                  </w:tcBorders>
                  <w:vAlign w:val="center"/>
                </w:tcPr>
                <w:p w14:paraId="04D5DB34">
                  <w:pPr>
                    <w:jc w:val="center"/>
                    <w:rPr>
                      <w:rFonts w:ascii="Times New Roman" w:hAnsi="Times New Roman" w:eastAsia="宋体" w:cs="Times New Roman"/>
                      <w:b/>
                      <w:color w:val="000000" w:themeColor="text1"/>
                      <w:szCs w:val="21"/>
                      <w14:textFill>
                        <w14:solidFill>
                          <w14:schemeClr w14:val="tx1"/>
                        </w14:solidFill>
                      </w14:textFill>
                    </w:rPr>
                  </w:pPr>
                  <w:bookmarkStart w:id="7" w:name="_Hlk84530751"/>
                  <w:r>
                    <w:rPr>
                      <w:rFonts w:ascii="Times New Roman" w:hAnsi="Times New Roman" w:eastAsia="宋体" w:cs="Times New Roman"/>
                      <w:b/>
                      <w:color w:val="000000" w:themeColor="text1"/>
                      <w:szCs w:val="21"/>
                      <w14:textFill>
                        <w14:solidFill>
                          <w14:schemeClr w14:val="tx1"/>
                        </w14:solidFill>
                      </w14:textFill>
                    </w:rPr>
                    <w:t>序号</w:t>
                  </w:r>
                </w:p>
              </w:tc>
              <w:tc>
                <w:tcPr>
                  <w:tcW w:w="876" w:type="pct"/>
                  <w:tcBorders>
                    <w:tl2br w:val="nil"/>
                    <w:tr2bl w:val="nil"/>
                  </w:tcBorders>
                  <w:vAlign w:val="center"/>
                </w:tcPr>
                <w:p w14:paraId="1B47002E">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产品</w:t>
                  </w:r>
                  <w:r>
                    <w:rPr>
                      <w:rFonts w:ascii="Times New Roman" w:hAnsi="Times New Roman" w:eastAsia="宋体" w:cs="Times New Roman"/>
                      <w:b/>
                      <w:color w:val="000000" w:themeColor="text1"/>
                      <w:szCs w:val="21"/>
                      <w14:textFill>
                        <w14:solidFill>
                          <w14:schemeClr w14:val="tx1"/>
                        </w14:solidFill>
                      </w14:textFill>
                    </w:rPr>
                    <w:t>名称</w:t>
                  </w:r>
                </w:p>
              </w:tc>
              <w:tc>
                <w:tcPr>
                  <w:tcW w:w="883" w:type="pct"/>
                  <w:tcBorders>
                    <w:tl2br w:val="nil"/>
                    <w:tr2bl w:val="nil"/>
                  </w:tcBorders>
                  <w:vAlign w:val="center"/>
                </w:tcPr>
                <w:p w14:paraId="0DDEB796">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产品</w:t>
                  </w:r>
                  <w:r>
                    <w:rPr>
                      <w:rFonts w:ascii="Times New Roman" w:hAnsi="Times New Roman" w:eastAsia="宋体" w:cs="Times New Roman"/>
                      <w:b/>
                      <w:color w:val="000000" w:themeColor="text1"/>
                      <w:szCs w:val="21"/>
                      <w14:textFill>
                        <w14:solidFill>
                          <w14:schemeClr w14:val="tx1"/>
                        </w14:solidFill>
                      </w14:textFill>
                    </w:rPr>
                    <w:t>产量</w:t>
                  </w:r>
                </w:p>
              </w:tc>
              <w:tc>
                <w:tcPr>
                  <w:tcW w:w="2755" w:type="pct"/>
                  <w:tcBorders>
                    <w:tl2br w:val="nil"/>
                    <w:tr2bl w:val="nil"/>
                  </w:tcBorders>
                  <w:vAlign w:val="center"/>
                </w:tcPr>
                <w:p w14:paraId="3435A4EC">
                  <w:pPr>
                    <w:jc w:val="center"/>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备注</w:t>
                  </w:r>
                </w:p>
              </w:tc>
            </w:tr>
            <w:tr w14:paraId="50D45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84" w:type="pct"/>
                  <w:tcBorders>
                    <w:tl2br w:val="nil"/>
                    <w:tr2bl w:val="nil"/>
                  </w:tcBorders>
                  <w:vAlign w:val="center"/>
                </w:tcPr>
                <w:p w14:paraId="17E2F980">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1</w:t>
                  </w:r>
                </w:p>
              </w:tc>
              <w:tc>
                <w:tcPr>
                  <w:tcW w:w="876" w:type="pct"/>
                  <w:tcBorders>
                    <w:tl2br w:val="nil"/>
                    <w:tr2bl w:val="nil"/>
                  </w:tcBorders>
                  <w:vAlign w:val="center"/>
                </w:tcPr>
                <w:p w14:paraId="798A5D7E">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耐候性</w:t>
                  </w:r>
                  <w:r>
                    <w:rPr>
                      <w:rFonts w:ascii="Times New Roman" w:hAnsi="Times New Roman" w:eastAsia="宋体" w:cs="Times New Roman"/>
                      <w:bCs/>
                      <w:color w:val="000000" w:themeColor="text1"/>
                      <w:szCs w:val="21"/>
                      <w14:textFill>
                        <w14:solidFill>
                          <w14:schemeClr w14:val="tx1"/>
                        </w14:solidFill>
                      </w14:textFill>
                    </w:rPr>
                    <w:t>沥青混凝土</w:t>
                  </w:r>
                </w:p>
              </w:tc>
              <w:tc>
                <w:tcPr>
                  <w:tcW w:w="883" w:type="pct"/>
                  <w:tcBorders>
                    <w:tl2br w:val="nil"/>
                    <w:tr2bl w:val="nil"/>
                  </w:tcBorders>
                  <w:vAlign w:val="center"/>
                </w:tcPr>
                <w:p w14:paraId="4C319B3E">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150000</w:t>
                  </w:r>
                  <w:r>
                    <w:rPr>
                      <w:rFonts w:ascii="Times New Roman" w:hAnsi="Times New Roman" w:eastAsia="宋体" w:cs="Times New Roman"/>
                      <w:bCs/>
                      <w:color w:val="000000" w:themeColor="text1"/>
                      <w:szCs w:val="21"/>
                      <w14:textFill>
                        <w14:solidFill>
                          <w14:schemeClr w14:val="tx1"/>
                        </w14:solidFill>
                      </w14:textFill>
                    </w:rPr>
                    <w:t>t/a</w:t>
                  </w:r>
                </w:p>
              </w:tc>
              <w:tc>
                <w:tcPr>
                  <w:tcW w:w="2755" w:type="pct"/>
                  <w:tcBorders>
                    <w:tl2br w:val="nil"/>
                    <w:tr2bl w:val="nil"/>
                  </w:tcBorders>
                  <w:vAlign w:val="center"/>
                </w:tcPr>
                <w:p w14:paraId="261D65B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即拌即运，成品沥青混凝土不在厂区内储存，由大吨位、具备保温功能的自卸汽车进行运输</w:t>
                  </w:r>
                </w:p>
              </w:tc>
            </w:tr>
            <w:tr w14:paraId="398C1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84" w:type="pct"/>
                  <w:tcBorders>
                    <w:tl2br w:val="nil"/>
                    <w:tr2bl w:val="nil"/>
                  </w:tcBorders>
                  <w:vAlign w:val="center"/>
                </w:tcPr>
                <w:p w14:paraId="7E7381C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2</w:t>
                  </w:r>
                </w:p>
              </w:tc>
              <w:tc>
                <w:tcPr>
                  <w:tcW w:w="876" w:type="pct"/>
                  <w:tcBorders>
                    <w:tl2br w:val="nil"/>
                    <w:tr2bl w:val="nil"/>
                  </w:tcBorders>
                  <w:vAlign w:val="center"/>
                </w:tcPr>
                <w:p w14:paraId="30471F8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乳化沥青</w:t>
                  </w:r>
                </w:p>
              </w:tc>
              <w:tc>
                <w:tcPr>
                  <w:tcW w:w="883" w:type="pct"/>
                  <w:tcBorders>
                    <w:tl2br w:val="nil"/>
                    <w:tr2bl w:val="nil"/>
                  </w:tcBorders>
                  <w:vAlign w:val="center"/>
                </w:tcPr>
                <w:p w14:paraId="3390CB9E">
                  <w:pPr>
                    <w:jc w:val="center"/>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500t/a</w:t>
                  </w:r>
                </w:p>
              </w:tc>
              <w:tc>
                <w:tcPr>
                  <w:tcW w:w="2755" w:type="pct"/>
                  <w:tcBorders>
                    <w:tl2br w:val="nil"/>
                    <w:tr2bl w:val="nil"/>
                  </w:tcBorders>
                  <w:vAlign w:val="center"/>
                </w:tcPr>
                <w:p w14:paraId="54E03CDF">
                  <w:pPr>
                    <w:jc w:val="center"/>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10t/h集装箱式改性乳化沥青生产系统；即时运出，厂区内不储存乳化沥青成品</w:t>
                  </w:r>
                </w:p>
              </w:tc>
            </w:tr>
            <w:bookmarkEnd w:id="7"/>
          </w:tbl>
          <w:p w14:paraId="4DE8076F">
            <w:pPr>
              <w:wordWrap w:val="0"/>
              <w:topLinePunct/>
              <w:spacing w:line="360" w:lineRule="auto"/>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2.4主要生产设备</w:t>
            </w:r>
          </w:p>
          <w:p w14:paraId="59721972">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本项目主要设备见表2-3、2-4所示。</w:t>
            </w:r>
          </w:p>
          <w:p w14:paraId="09470861">
            <w:pPr>
              <w:wordWrap w:val="0"/>
              <w:topLinePunct/>
              <w:spacing w:line="360" w:lineRule="auto"/>
              <w:jc w:val="center"/>
              <w:rPr>
                <w:rFonts w:ascii="Times New Roman" w:hAnsi="Times New Roman" w:eastAsia="宋体" w:cs="Times New Roman"/>
                <w:b/>
                <w:bCs/>
                <w:snapToGrid w:val="0"/>
                <w:kern w:val="0"/>
                <w:sz w:val="24"/>
              </w:rPr>
            </w:pPr>
            <w:r>
              <w:rPr>
                <w:rFonts w:hint="eastAsia" w:ascii="Times New Roman" w:hAnsi="Times New Roman" w:eastAsia="宋体" w:cs="Times New Roman"/>
                <w:b/>
                <w:bCs/>
                <w:snapToGrid w:val="0"/>
                <w:kern w:val="0"/>
                <w:sz w:val="24"/>
              </w:rPr>
              <w:t>表2-3  沥青混凝土生产线主要生产设备一览表</w:t>
            </w:r>
          </w:p>
          <w:tbl>
            <w:tblPr>
              <w:tblStyle w:val="29"/>
              <w:tblW w:w="79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1901"/>
              <w:gridCol w:w="3463"/>
              <w:gridCol w:w="672"/>
              <w:gridCol w:w="684"/>
              <w:gridCol w:w="504"/>
            </w:tblGrid>
            <w:tr w14:paraId="30F4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727" w:type="dxa"/>
                  <w:vAlign w:val="center"/>
                </w:tcPr>
                <w:p w14:paraId="05191C2D">
                  <w:pPr>
                    <w:jc w:val="center"/>
                    <w:rPr>
                      <w:rFonts w:ascii="Times New Roman" w:hAnsi="Times New Roman" w:eastAsia="宋体" w:cs="宋体-PUA"/>
                      <w:b/>
                      <w:szCs w:val="21"/>
                      <w:shd w:val="clear" w:color="auto" w:fill="FFFFFF"/>
                    </w:rPr>
                  </w:pPr>
                  <w:r>
                    <w:rPr>
                      <w:rFonts w:hint="eastAsia" w:ascii="Times New Roman" w:hAnsi="Times New Roman" w:eastAsia="宋体" w:cs="Times New Roman"/>
                      <w:b/>
                      <w:szCs w:val="21"/>
                    </w:rPr>
                    <w:t>序号</w:t>
                  </w:r>
                </w:p>
              </w:tc>
              <w:tc>
                <w:tcPr>
                  <w:tcW w:w="1901" w:type="dxa"/>
                  <w:vAlign w:val="center"/>
                </w:tcPr>
                <w:p w14:paraId="2F5AA0E6">
                  <w:pPr>
                    <w:jc w:val="center"/>
                    <w:rPr>
                      <w:rFonts w:ascii="Times New Roman" w:hAnsi="Times New Roman" w:eastAsia="宋体" w:cs="宋体-PUA"/>
                      <w:b/>
                      <w:szCs w:val="21"/>
                      <w:shd w:val="clear" w:color="auto" w:fill="FFFFFF"/>
                    </w:rPr>
                  </w:pPr>
                  <w:r>
                    <w:rPr>
                      <w:rFonts w:hint="eastAsia" w:ascii="Times New Roman" w:hAnsi="Times New Roman" w:eastAsia="宋体" w:cs="Times New Roman"/>
                      <w:b/>
                      <w:szCs w:val="21"/>
                    </w:rPr>
                    <w:t>设备名称</w:t>
                  </w:r>
                </w:p>
              </w:tc>
              <w:tc>
                <w:tcPr>
                  <w:tcW w:w="3463" w:type="dxa"/>
                  <w:vAlign w:val="center"/>
                </w:tcPr>
                <w:p w14:paraId="42DB5406">
                  <w:pPr>
                    <w:jc w:val="center"/>
                    <w:rPr>
                      <w:rFonts w:ascii="Times New Roman" w:hAnsi="Times New Roman" w:eastAsia="宋体" w:cs="宋体-PUA"/>
                      <w:b/>
                      <w:szCs w:val="21"/>
                      <w:shd w:val="clear" w:color="auto" w:fill="FFFFFF"/>
                    </w:rPr>
                  </w:pPr>
                  <w:r>
                    <w:rPr>
                      <w:rFonts w:hint="eastAsia" w:ascii="Times New Roman" w:hAnsi="Times New Roman" w:eastAsia="宋体" w:cs="Times New Roman"/>
                      <w:b/>
                      <w:szCs w:val="21"/>
                    </w:rPr>
                    <w:t>规格</w:t>
                  </w:r>
                </w:p>
              </w:tc>
              <w:tc>
                <w:tcPr>
                  <w:tcW w:w="672" w:type="dxa"/>
                  <w:vAlign w:val="center"/>
                </w:tcPr>
                <w:p w14:paraId="7333340E">
                  <w:pPr>
                    <w:jc w:val="center"/>
                    <w:rPr>
                      <w:rFonts w:ascii="Times New Roman" w:hAnsi="Times New Roman" w:eastAsia="宋体" w:cs="宋体-PUA"/>
                      <w:b/>
                      <w:szCs w:val="21"/>
                      <w:shd w:val="clear" w:color="auto" w:fill="FFFFFF"/>
                    </w:rPr>
                  </w:pPr>
                  <w:r>
                    <w:rPr>
                      <w:rFonts w:hint="eastAsia" w:ascii="Times New Roman" w:hAnsi="Times New Roman" w:eastAsia="宋体" w:cs="Times New Roman"/>
                      <w:b/>
                      <w:szCs w:val="21"/>
                    </w:rPr>
                    <w:t>数量</w:t>
                  </w:r>
                </w:p>
              </w:tc>
              <w:tc>
                <w:tcPr>
                  <w:tcW w:w="684" w:type="dxa"/>
                  <w:vAlign w:val="center"/>
                </w:tcPr>
                <w:p w14:paraId="0E61010A">
                  <w:pPr>
                    <w:jc w:val="center"/>
                    <w:rPr>
                      <w:rFonts w:ascii="Times New Roman" w:hAnsi="Times New Roman" w:eastAsia="宋体" w:cs="宋体-PUA"/>
                      <w:b/>
                      <w:szCs w:val="21"/>
                      <w:shd w:val="clear" w:color="auto" w:fill="FFFFFF"/>
                    </w:rPr>
                  </w:pPr>
                  <w:r>
                    <w:rPr>
                      <w:rFonts w:hint="eastAsia" w:ascii="Times New Roman" w:hAnsi="Times New Roman" w:eastAsia="宋体" w:cs="Times New Roman"/>
                      <w:b/>
                      <w:szCs w:val="21"/>
                    </w:rPr>
                    <w:t>单位</w:t>
                  </w:r>
                </w:p>
              </w:tc>
              <w:tc>
                <w:tcPr>
                  <w:tcW w:w="504" w:type="dxa"/>
                  <w:vAlign w:val="center"/>
                </w:tcPr>
                <w:p w14:paraId="3A718B2A">
                  <w:pPr>
                    <w:jc w:val="center"/>
                    <w:rPr>
                      <w:rFonts w:ascii="Times New Roman" w:hAnsi="Times New Roman" w:eastAsia="宋体" w:cs="宋体-PUA"/>
                      <w:b/>
                      <w:szCs w:val="21"/>
                      <w:shd w:val="clear" w:color="auto" w:fill="FFFFFF"/>
                    </w:rPr>
                  </w:pPr>
                  <w:r>
                    <w:rPr>
                      <w:rFonts w:hint="eastAsia" w:ascii="Times New Roman" w:hAnsi="Times New Roman" w:eastAsia="宋体" w:cs="Times New Roman"/>
                      <w:b/>
                      <w:szCs w:val="21"/>
                    </w:rPr>
                    <w:t>备注</w:t>
                  </w:r>
                </w:p>
              </w:tc>
            </w:tr>
            <w:tr w14:paraId="70623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1" w:type="dxa"/>
                  <w:gridSpan w:val="6"/>
                  <w:vAlign w:val="center"/>
                </w:tcPr>
                <w:p w14:paraId="33201213">
                  <w:pPr>
                    <w:jc w:val="center"/>
                    <w:rPr>
                      <w:rFonts w:ascii="Times New Roman" w:hAnsi="Times New Roman" w:eastAsia="宋体" w:cs="宋体-PUA"/>
                      <w:b/>
                      <w:color w:val="1C0CF2"/>
                      <w:szCs w:val="21"/>
                      <w:shd w:val="clear" w:color="auto" w:fill="FFFFFF"/>
                    </w:rPr>
                  </w:pPr>
                  <w:r>
                    <w:rPr>
                      <w:rFonts w:hint="eastAsia" w:ascii="Times New Roman" w:hAnsi="Times New Roman" w:eastAsia="宋体" w:cs="宋体-PUA"/>
                      <w:b/>
                      <w:szCs w:val="21"/>
                      <w:shd w:val="clear" w:color="auto" w:fill="FFFFFF"/>
                    </w:rPr>
                    <w:t>一、冷料供给系统</w:t>
                  </w:r>
                </w:p>
              </w:tc>
            </w:tr>
            <w:tr w14:paraId="1936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040EB335">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1.1</w:t>
                  </w:r>
                </w:p>
              </w:tc>
              <w:tc>
                <w:tcPr>
                  <w:tcW w:w="7224" w:type="dxa"/>
                  <w:gridSpan w:val="5"/>
                  <w:vAlign w:val="center"/>
                </w:tcPr>
                <w:p w14:paraId="42FDAF2D">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冷料仓</w:t>
                  </w:r>
                </w:p>
              </w:tc>
            </w:tr>
            <w:tr w14:paraId="522DD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EF578A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3A23179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3+3仓式冷料仓</w:t>
                  </w:r>
                </w:p>
              </w:tc>
              <w:tc>
                <w:tcPr>
                  <w:tcW w:w="3463" w:type="dxa"/>
                  <w:vAlign w:val="center"/>
                </w:tcPr>
                <w:p w14:paraId="6F4C7256">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szCs w:val="21"/>
                      <w:shd w:val="clear" w:color="auto" w:fill="FFFFFF"/>
                    </w:rPr>
                    <w:t>上料高度3.1m，装载宽度3.5m，放料口骨料防堵设计</w:t>
                  </w:r>
                </w:p>
              </w:tc>
              <w:tc>
                <w:tcPr>
                  <w:tcW w:w="672" w:type="dxa"/>
                  <w:vAlign w:val="center"/>
                </w:tcPr>
                <w:p w14:paraId="62CB4AD2">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color w:val="1C0CF2"/>
                      <w:szCs w:val="21"/>
                      <w:shd w:val="clear" w:color="auto" w:fill="FFFFFF"/>
                    </w:rPr>
                    <w:t>2</w:t>
                  </w:r>
                </w:p>
              </w:tc>
              <w:tc>
                <w:tcPr>
                  <w:tcW w:w="684" w:type="dxa"/>
                  <w:vAlign w:val="center"/>
                </w:tcPr>
                <w:p w14:paraId="2C02449D">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color w:val="1C0CF2"/>
                      <w:szCs w:val="21"/>
                      <w:shd w:val="clear" w:color="auto" w:fill="FFFFFF"/>
                    </w:rPr>
                    <w:t>套</w:t>
                  </w:r>
                </w:p>
              </w:tc>
              <w:tc>
                <w:tcPr>
                  <w:tcW w:w="504" w:type="dxa"/>
                  <w:vAlign w:val="center"/>
                </w:tcPr>
                <w:p w14:paraId="6E0F0B35">
                  <w:pPr>
                    <w:jc w:val="center"/>
                    <w:rPr>
                      <w:rFonts w:ascii="Times New Roman" w:hAnsi="Times New Roman" w:eastAsia="宋体" w:cs="宋体-PUA"/>
                      <w:b/>
                      <w:color w:val="1C0CF2"/>
                      <w:szCs w:val="21"/>
                      <w:shd w:val="clear" w:color="auto" w:fill="FFFFFF"/>
                    </w:rPr>
                  </w:pPr>
                </w:p>
              </w:tc>
            </w:tr>
            <w:tr w14:paraId="754BB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3B9F4E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4FF619B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防起拱装置</w:t>
                  </w:r>
                </w:p>
              </w:tc>
              <w:tc>
                <w:tcPr>
                  <w:tcW w:w="3463" w:type="dxa"/>
                  <w:vAlign w:val="center"/>
                </w:tcPr>
                <w:p w14:paraId="2F445CDD">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szCs w:val="21"/>
                      <w:shd w:val="clear" w:color="auto" w:fill="FFFFFF"/>
                    </w:rPr>
                    <w:t>下料顺畅</w:t>
                  </w:r>
                </w:p>
              </w:tc>
              <w:tc>
                <w:tcPr>
                  <w:tcW w:w="672" w:type="dxa"/>
                  <w:vAlign w:val="center"/>
                </w:tcPr>
                <w:p w14:paraId="6CAB61A6">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color w:val="1C0CF2"/>
                      <w:szCs w:val="21"/>
                      <w:shd w:val="clear" w:color="auto" w:fill="FFFFFF"/>
                    </w:rPr>
                    <w:t>2</w:t>
                  </w:r>
                </w:p>
              </w:tc>
              <w:tc>
                <w:tcPr>
                  <w:tcW w:w="684" w:type="dxa"/>
                  <w:vAlign w:val="center"/>
                </w:tcPr>
                <w:p w14:paraId="05CE1592">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color w:val="1C0CF2"/>
                      <w:szCs w:val="21"/>
                      <w:shd w:val="clear" w:color="auto" w:fill="FFFFFF"/>
                    </w:rPr>
                    <w:t>套</w:t>
                  </w:r>
                </w:p>
              </w:tc>
              <w:tc>
                <w:tcPr>
                  <w:tcW w:w="504" w:type="dxa"/>
                  <w:vAlign w:val="center"/>
                </w:tcPr>
                <w:p w14:paraId="4E1E23AE">
                  <w:pPr>
                    <w:jc w:val="center"/>
                    <w:rPr>
                      <w:rFonts w:ascii="Times New Roman" w:hAnsi="Times New Roman" w:eastAsia="宋体" w:cs="宋体-PUA"/>
                      <w:b/>
                      <w:color w:val="1C0CF2"/>
                      <w:szCs w:val="21"/>
                      <w:shd w:val="clear" w:color="auto" w:fill="FFFFFF"/>
                    </w:rPr>
                  </w:pPr>
                </w:p>
              </w:tc>
            </w:tr>
            <w:tr w14:paraId="4BBF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514938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901" w:type="dxa"/>
                  <w:vAlign w:val="center"/>
                </w:tcPr>
                <w:p w14:paraId="316CD6F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振动器</w:t>
                  </w:r>
                </w:p>
              </w:tc>
              <w:tc>
                <w:tcPr>
                  <w:tcW w:w="3463" w:type="dxa"/>
                  <w:vAlign w:val="center"/>
                </w:tcPr>
                <w:p w14:paraId="3780C197">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szCs w:val="21"/>
                      <w:shd w:val="clear" w:color="auto" w:fill="FFFFFF"/>
                    </w:rPr>
                    <w:t>0.15kw</w:t>
                  </w:r>
                </w:p>
              </w:tc>
              <w:tc>
                <w:tcPr>
                  <w:tcW w:w="672" w:type="dxa"/>
                  <w:vAlign w:val="center"/>
                </w:tcPr>
                <w:p w14:paraId="618F863C">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color w:val="1C0CF2"/>
                      <w:szCs w:val="21"/>
                      <w:shd w:val="clear" w:color="auto" w:fill="FFFFFF"/>
                    </w:rPr>
                    <w:t>2</w:t>
                  </w:r>
                </w:p>
              </w:tc>
              <w:tc>
                <w:tcPr>
                  <w:tcW w:w="684" w:type="dxa"/>
                  <w:vAlign w:val="center"/>
                </w:tcPr>
                <w:p w14:paraId="5A1D9778">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color w:val="1C0CF2"/>
                      <w:szCs w:val="21"/>
                      <w:shd w:val="clear" w:color="auto" w:fill="FFFFFF"/>
                    </w:rPr>
                    <w:t>个</w:t>
                  </w:r>
                </w:p>
              </w:tc>
              <w:tc>
                <w:tcPr>
                  <w:tcW w:w="504" w:type="dxa"/>
                  <w:vAlign w:val="center"/>
                </w:tcPr>
                <w:p w14:paraId="3C48B11C">
                  <w:pPr>
                    <w:jc w:val="center"/>
                    <w:rPr>
                      <w:rFonts w:ascii="Times New Roman" w:hAnsi="Times New Roman" w:eastAsia="宋体" w:cs="宋体-PUA"/>
                      <w:b/>
                      <w:color w:val="1C0CF2"/>
                      <w:szCs w:val="21"/>
                      <w:shd w:val="clear" w:color="auto" w:fill="FFFFFF"/>
                    </w:rPr>
                  </w:pPr>
                </w:p>
              </w:tc>
            </w:tr>
            <w:tr w14:paraId="3DC0E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0373C00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w:t>
                  </w:r>
                </w:p>
              </w:tc>
              <w:tc>
                <w:tcPr>
                  <w:tcW w:w="1901" w:type="dxa"/>
                  <w:vAlign w:val="center"/>
                </w:tcPr>
                <w:p w14:paraId="0A9B379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皮带给料机</w:t>
                  </w:r>
                </w:p>
              </w:tc>
              <w:tc>
                <w:tcPr>
                  <w:tcW w:w="3463" w:type="dxa"/>
                  <w:vAlign w:val="center"/>
                </w:tcPr>
                <w:p w14:paraId="7FB094A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皮带宽度600mm</w:t>
                  </w:r>
                </w:p>
              </w:tc>
              <w:tc>
                <w:tcPr>
                  <w:tcW w:w="672" w:type="dxa"/>
                  <w:vAlign w:val="center"/>
                </w:tcPr>
                <w:p w14:paraId="344329E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6</w:t>
                  </w:r>
                </w:p>
              </w:tc>
              <w:tc>
                <w:tcPr>
                  <w:tcW w:w="684" w:type="dxa"/>
                  <w:vAlign w:val="center"/>
                </w:tcPr>
                <w:p w14:paraId="0FAC348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5C68DBB0">
                  <w:pPr>
                    <w:jc w:val="center"/>
                    <w:rPr>
                      <w:rFonts w:ascii="Times New Roman" w:hAnsi="Times New Roman" w:eastAsia="宋体" w:cs="宋体-PUA"/>
                      <w:b/>
                      <w:color w:val="1C0CF2"/>
                      <w:szCs w:val="21"/>
                      <w:shd w:val="clear" w:color="auto" w:fill="FFFFFF"/>
                    </w:rPr>
                  </w:pPr>
                </w:p>
              </w:tc>
            </w:tr>
            <w:tr w14:paraId="3C70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2B69E35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w:t>
                  </w:r>
                </w:p>
              </w:tc>
              <w:tc>
                <w:tcPr>
                  <w:tcW w:w="1901" w:type="dxa"/>
                  <w:vAlign w:val="center"/>
                </w:tcPr>
                <w:p w14:paraId="1843FDC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减速电机</w:t>
                  </w:r>
                </w:p>
              </w:tc>
              <w:tc>
                <w:tcPr>
                  <w:tcW w:w="3463" w:type="dxa"/>
                  <w:vAlign w:val="center"/>
                </w:tcPr>
                <w:p w14:paraId="036BFF2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3.0kw</w:t>
                  </w:r>
                </w:p>
              </w:tc>
              <w:tc>
                <w:tcPr>
                  <w:tcW w:w="672" w:type="dxa"/>
                  <w:vAlign w:val="center"/>
                </w:tcPr>
                <w:p w14:paraId="6128740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6</w:t>
                  </w:r>
                </w:p>
              </w:tc>
              <w:tc>
                <w:tcPr>
                  <w:tcW w:w="684" w:type="dxa"/>
                  <w:vAlign w:val="center"/>
                </w:tcPr>
                <w:p w14:paraId="67F809D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319F042E">
                  <w:pPr>
                    <w:jc w:val="center"/>
                    <w:rPr>
                      <w:rFonts w:ascii="Times New Roman" w:hAnsi="Times New Roman" w:eastAsia="宋体" w:cs="宋体-PUA"/>
                      <w:b/>
                      <w:szCs w:val="21"/>
                      <w:shd w:val="clear" w:color="auto" w:fill="FFFFFF"/>
                    </w:rPr>
                  </w:pPr>
                </w:p>
              </w:tc>
            </w:tr>
            <w:tr w14:paraId="4B1BD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5D1CE1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6</w:t>
                  </w:r>
                </w:p>
              </w:tc>
              <w:tc>
                <w:tcPr>
                  <w:tcW w:w="1901" w:type="dxa"/>
                  <w:vAlign w:val="center"/>
                </w:tcPr>
                <w:p w14:paraId="4CDC531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变频器</w:t>
                  </w:r>
                </w:p>
              </w:tc>
              <w:tc>
                <w:tcPr>
                  <w:tcW w:w="3463" w:type="dxa"/>
                  <w:vAlign w:val="center"/>
                </w:tcPr>
                <w:p w14:paraId="3B6DB56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变频调速</w:t>
                  </w:r>
                </w:p>
              </w:tc>
              <w:tc>
                <w:tcPr>
                  <w:tcW w:w="672" w:type="dxa"/>
                  <w:vAlign w:val="center"/>
                </w:tcPr>
                <w:p w14:paraId="7AD46AB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6</w:t>
                  </w:r>
                </w:p>
              </w:tc>
              <w:tc>
                <w:tcPr>
                  <w:tcW w:w="684" w:type="dxa"/>
                  <w:vAlign w:val="center"/>
                </w:tcPr>
                <w:p w14:paraId="420F8AF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6953B38C">
                  <w:pPr>
                    <w:jc w:val="center"/>
                    <w:rPr>
                      <w:rFonts w:ascii="Times New Roman" w:hAnsi="Times New Roman" w:eastAsia="宋体" w:cs="宋体-PUA"/>
                      <w:b/>
                      <w:szCs w:val="21"/>
                      <w:shd w:val="clear" w:color="auto" w:fill="FFFFFF"/>
                    </w:rPr>
                  </w:pPr>
                </w:p>
              </w:tc>
            </w:tr>
            <w:tr w14:paraId="5246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07498DE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7</w:t>
                  </w:r>
                </w:p>
              </w:tc>
              <w:tc>
                <w:tcPr>
                  <w:tcW w:w="1901" w:type="dxa"/>
                  <w:vAlign w:val="center"/>
                </w:tcPr>
                <w:p w14:paraId="2BD4D08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筛网</w:t>
                  </w:r>
                </w:p>
              </w:tc>
              <w:tc>
                <w:tcPr>
                  <w:tcW w:w="3463" w:type="dxa"/>
                  <w:vAlign w:val="center"/>
                </w:tcPr>
                <w:p w14:paraId="1E4F773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超限料剔除</w:t>
                  </w:r>
                </w:p>
              </w:tc>
              <w:tc>
                <w:tcPr>
                  <w:tcW w:w="672" w:type="dxa"/>
                  <w:vAlign w:val="center"/>
                </w:tcPr>
                <w:p w14:paraId="699D8C7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6</w:t>
                  </w:r>
                </w:p>
              </w:tc>
              <w:tc>
                <w:tcPr>
                  <w:tcW w:w="684" w:type="dxa"/>
                  <w:vAlign w:val="center"/>
                </w:tcPr>
                <w:p w14:paraId="5C21908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0EB1B3AE">
                  <w:pPr>
                    <w:jc w:val="center"/>
                    <w:rPr>
                      <w:rFonts w:ascii="Times New Roman" w:hAnsi="Times New Roman" w:eastAsia="宋体" w:cs="宋体-PUA"/>
                      <w:b/>
                      <w:szCs w:val="21"/>
                      <w:shd w:val="clear" w:color="auto" w:fill="FFFFFF"/>
                    </w:rPr>
                  </w:pPr>
                </w:p>
              </w:tc>
            </w:tr>
            <w:tr w14:paraId="043A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027E5CE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8</w:t>
                  </w:r>
                </w:p>
              </w:tc>
              <w:tc>
                <w:tcPr>
                  <w:tcW w:w="1901" w:type="dxa"/>
                  <w:vAlign w:val="center"/>
                </w:tcPr>
                <w:p w14:paraId="44BED47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检修平台</w:t>
                  </w:r>
                </w:p>
              </w:tc>
              <w:tc>
                <w:tcPr>
                  <w:tcW w:w="3463" w:type="dxa"/>
                  <w:vAlign w:val="center"/>
                </w:tcPr>
                <w:p w14:paraId="67E9F588">
                  <w:pPr>
                    <w:jc w:val="center"/>
                    <w:rPr>
                      <w:rFonts w:ascii="Times New Roman" w:hAnsi="Times New Roman" w:eastAsia="宋体" w:cs="宋体-PUA"/>
                      <w:bCs/>
                      <w:szCs w:val="21"/>
                      <w:shd w:val="clear" w:color="auto" w:fill="FFFFFF"/>
                    </w:rPr>
                  </w:pPr>
                </w:p>
              </w:tc>
              <w:tc>
                <w:tcPr>
                  <w:tcW w:w="672" w:type="dxa"/>
                  <w:vAlign w:val="center"/>
                </w:tcPr>
                <w:p w14:paraId="157D4F8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035FCD5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0D54AB3E">
                  <w:pPr>
                    <w:jc w:val="center"/>
                    <w:rPr>
                      <w:rFonts w:ascii="Times New Roman" w:hAnsi="Times New Roman" w:eastAsia="宋体" w:cs="宋体-PUA"/>
                      <w:b/>
                      <w:szCs w:val="21"/>
                      <w:shd w:val="clear" w:color="auto" w:fill="FFFFFF"/>
                    </w:rPr>
                  </w:pPr>
                </w:p>
              </w:tc>
            </w:tr>
            <w:tr w14:paraId="16910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5A80CF7">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1.2</w:t>
                  </w:r>
                </w:p>
              </w:tc>
              <w:tc>
                <w:tcPr>
                  <w:tcW w:w="7224" w:type="dxa"/>
                  <w:gridSpan w:val="5"/>
                  <w:vAlign w:val="center"/>
                </w:tcPr>
                <w:p w14:paraId="5B062A48">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集料皮带机</w:t>
                  </w:r>
                </w:p>
              </w:tc>
            </w:tr>
            <w:tr w14:paraId="3543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40A28CF">
                  <w:pPr>
                    <w:jc w:val="center"/>
                    <w:rPr>
                      <w:rFonts w:ascii="Times New Roman" w:hAnsi="Times New Roman" w:eastAsia="宋体" w:cs="宋体-PUA"/>
                      <w:b/>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24CC8217">
                  <w:pPr>
                    <w:jc w:val="center"/>
                    <w:rPr>
                      <w:rFonts w:ascii="Times New Roman" w:hAnsi="Times New Roman" w:eastAsia="宋体" w:cs="宋体-PUA"/>
                      <w:b/>
                      <w:szCs w:val="21"/>
                      <w:shd w:val="clear" w:color="auto" w:fill="FFFFFF"/>
                    </w:rPr>
                  </w:pPr>
                  <w:r>
                    <w:rPr>
                      <w:rFonts w:hint="eastAsia" w:ascii="Times New Roman" w:hAnsi="Times New Roman" w:eastAsia="宋体" w:cs="宋体-PUA"/>
                      <w:bCs/>
                      <w:szCs w:val="21"/>
                      <w:shd w:val="clear" w:color="auto" w:fill="FFFFFF"/>
                    </w:rPr>
                    <w:t>机架总成</w:t>
                  </w:r>
                </w:p>
              </w:tc>
              <w:tc>
                <w:tcPr>
                  <w:tcW w:w="3463" w:type="dxa"/>
                  <w:vAlign w:val="center"/>
                </w:tcPr>
                <w:p w14:paraId="54A76D9E">
                  <w:pPr>
                    <w:jc w:val="center"/>
                    <w:rPr>
                      <w:rFonts w:ascii="Times New Roman" w:hAnsi="Times New Roman" w:eastAsia="宋体" w:cs="宋体-PUA"/>
                      <w:bCs/>
                      <w:szCs w:val="21"/>
                      <w:shd w:val="clear" w:color="auto" w:fill="FFFFFF"/>
                    </w:rPr>
                  </w:pPr>
                </w:p>
              </w:tc>
              <w:tc>
                <w:tcPr>
                  <w:tcW w:w="672" w:type="dxa"/>
                  <w:vAlign w:val="center"/>
                </w:tcPr>
                <w:p w14:paraId="3625284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4A8627F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17B92812">
                  <w:pPr>
                    <w:jc w:val="center"/>
                    <w:rPr>
                      <w:rFonts w:ascii="Times New Roman" w:hAnsi="Times New Roman" w:eastAsia="宋体" w:cs="宋体-PUA"/>
                      <w:b/>
                      <w:szCs w:val="21"/>
                      <w:shd w:val="clear" w:color="auto" w:fill="FFFFFF"/>
                    </w:rPr>
                  </w:pPr>
                </w:p>
              </w:tc>
            </w:tr>
            <w:tr w14:paraId="5F6C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727" w:type="dxa"/>
                  <w:vAlign w:val="center"/>
                </w:tcPr>
                <w:p w14:paraId="67F62FF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6A9B907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减速电机</w:t>
                  </w:r>
                </w:p>
              </w:tc>
              <w:tc>
                <w:tcPr>
                  <w:tcW w:w="3463" w:type="dxa"/>
                  <w:vAlign w:val="center"/>
                </w:tcPr>
                <w:p w14:paraId="6D020EB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11kw</w:t>
                  </w:r>
                </w:p>
              </w:tc>
              <w:tc>
                <w:tcPr>
                  <w:tcW w:w="672" w:type="dxa"/>
                  <w:vAlign w:val="center"/>
                </w:tcPr>
                <w:p w14:paraId="02FBEC3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15A08F3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4BA3A134">
                  <w:pPr>
                    <w:jc w:val="center"/>
                    <w:rPr>
                      <w:rFonts w:ascii="Times New Roman" w:hAnsi="Times New Roman" w:eastAsia="宋体" w:cs="宋体-PUA"/>
                      <w:b/>
                      <w:szCs w:val="21"/>
                      <w:shd w:val="clear" w:color="auto" w:fill="FFFFFF"/>
                    </w:rPr>
                  </w:pPr>
                </w:p>
              </w:tc>
            </w:tr>
            <w:tr w14:paraId="45D1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1FDB89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901" w:type="dxa"/>
                  <w:vAlign w:val="center"/>
                </w:tcPr>
                <w:p w14:paraId="0DA0451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皮带</w:t>
                  </w:r>
                </w:p>
              </w:tc>
              <w:tc>
                <w:tcPr>
                  <w:tcW w:w="3463" w:type="dxa"/>
                  <w:vAlign w:val="center"/>
                </w:tcPr>
                <w:p w14:paraId="588745F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带宽1000，NN200（4.5±1.5）四层</w:t>
                  </w:r>
                </w:p>
              </w:tc>
              <w:tc>
                <w:tcPr>
                  <w:tcW w:w="672" w:type="dxa"/>
                  <w:vAlign w:val="center"/>
                </w:tcPr>
                <w:p w14:paraId="589400E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40F4690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7B6DFEB7">
                  <w:pPr>
                    <w:jc w:val="center"/>
                    <w:rPr>
                      <w:rFonts w:ascii="Times New Roman" w:hAnsi="Times New Roman" w:eastAsia="宋体" w:cs="宋体-PUA"/>
                      <w:b/>
                      <w:szCs w:val="21"/>
                      <w:shd w:val="clear" w:color="auto" w:fill="FFFFFF"/>
                    </w:rPr>
                  </w:pPr>
                </w:p>
              </w:tc>
            </w:tr>
            <w:tr w14:paraId="20AD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944EF6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w:t>
                  </w:r>
                </w:p>
              </w:tc>
              <w:tc>
                <w:tcPr>
                  <w:tcW w:w="1901" w:type="dxa"/>
                  <w:vAlign w:val="center"/>
                </w:tcPr>
                <w:p w14:paraId="049FF21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头部清扫器</w:t>
                  </w:r>
                </w:p>
              </w:tc>
              <w:tc>
                <w:tcPr>
                  <w:tcW w:w="3463" w:type="dxa"/>
                  <w:vAlign w:val="center"/>
                </w:tcPr>
                <w:p w14:paraId="0718443D">
                  <w:pPr>
                    <w:jc w:val="center"/>
                    <w:rPr>
                      <w:rFonts w:ascii="Times New Roman" w:hAnsi="Times New Roman" w:eastAsia="宋体" w:cs="宋体-PUA"/>
                      <w:bCs/>
                      <w:szCs w:val="21"/>
                      <w:shd w:val="clear" w:color="auto" w:fill="FFFFFF"/>
                    </w:rPr>
                  </w:pPr>
                </w:p>
              </w:tc>
              <w:tc>
                <w:tcPr>
                  <w:tcW w:w="672" w:type="dxa"/>
                  <w:vAlign w:val="center"/>
                </w:tcPr>
                <w:p w14:paraId="48FE9BB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6AA9C21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0D87755A">
                  <w:pPr>
                    <w:jc w:val="center"/>
                    <w:rPr>
                      <w:rFonts w:ascii="Times New Roman" w:hAnsi="Times New Roman" w:eastAsia="宋体" w:cs="宋体-PUA"/>
                      <w:b/>
                      <w:szCs w:val="21"/>
                      <w:shd w:val="clear" w:color="auto" w:fill="FFFFFF"/>
                    </w:rPr>
                  </w:pPr>
                </w:p>
              </w:tc>
            </w:tr>
            <w:tr w14:paraId="33C47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147C41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w:t>
                  </w:r>
                </w:p>
              </w:tc>
              <w:tc>
                <w:tcPr>
                  <w:tcW w:w="1901" w:type="dxa"/>
                  <w:vAlign w:val="center"/>
                </w:tcPr>
                <w:p w14:paraId="793B1FC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尾部清扫器</w:t>
                  </w:r>
                </w:p>
              </w:tc>
              <w:tc>
                <w:tcPr>
                  <w:tcW w:w="3463" w:type="dxa"/>
                  <w:vAlign w:val="center"/>
                </w:tcPr>
                <w:p w14:paraId="6C3F7C5F">
                  <w:pPr>
                    <w:jc w:val="center"/>
                    <w:rPr>
                      <w:rFonts w:ascii="Times New Roman" w:hAnsi="Times New Roman" w:eastAsia="宋体" w:cs="宋体-PUA"/>
                      <w:bCs/>
                      <w:szCs w:val="21"/>
                      <w:shd w:val="clear" w:color="auto" w:fill="FFFFFF"/>
                    </w:rPr>
                  </w:pPr>
                </w:p>
              </w:tc>
              <w:tc>
                <w:tcPr>
                  <w:tcW w:w="672" w:type="dxa"/>
                  <w:vAlign w:val="center"/>
                </w:tcPr>
                <w:p w14:paraId="5A93293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5AA21C8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182DE55A">
                  <w:pPr>
                    <w:jc w:val="center"/>
                    <w:rPr>
                      <w:rFonts w:ascii="Times New Roman" w:hAnsi="Times New Roman" w:eastAsia="宋体" w:cs="宋体-PUA"/>
                      <w:b/>
                      <w:szCs w:val="21"/>
                      <w:shd w:val="clear" w:color="auto" w:fill="FFFFFF"/>
                    </w:rPr>
                  </w:pPr>
                </w:p>
              </w:tc>
            </w:tr>
            <w:tr w14:paraId="24B7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29F4654">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1.3</w:t>
                  </w:r>
                </w:p>
              </w:tc>
              <w:tc>
                <w:tcPr>
                  <w:tcW w:w="7224" w:type="dxa"/>
                  <w:gridSpan w:val="5"/>
                  <w:vAlign w:val="center"/>
                </w:tcPr>
                <w:p w14:paraId="0359BD17">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上料皮带机</w:t>
                  </w:r>
                </w:p>
              </w:tc>
            </w:tr>
            <w:tr w14:paraId="71FD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B52A9D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6D4B915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机架总成</w:t>
                  </w:r>
                </w:p>
              </w:tc>
              <w:tc>
                <w:tcPr>
                  <w:tcW w:w="3463" w:type="dxa"/>
                  <w:vAlign w:val="center"/>
                </w:tcPr>
                <w:p w14:paraId="0713EC29">
                  <w:pPr>
                    <w:jc w:val="center"/>
                    <w:rPr>
                      <w:rFonts w:ascii="Times New Roman" w:hAnsi="Times New Roman" w:eastAsia="宋体" w:cs="宋体-PUA"/>
                      <w:bCs/>
                      <w:szCs w:val="21"/>
                      <w:shd w:val="clear" w:color="auto" w:fill="FFFFFF"/>
                    </w:rPr>
                  </w:pPr>
                </w:p>
              </w:tc>
              <w:tc>
                <w:tcPr>
                  <w:tcW w:w="672" w:type="dxa"/>
                  <w:vAlign w:val="center"/>
                </w:tcPr>
                <w:p w14:paraId="225798D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15904A6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5B83FFE7">
                  <w:pPr>
                    <w:jc w:val="center"/>
                    <w:rPr>
                      <w:rFonts w:ascii="Times New Roman" w:hAnsi="Times New Roman" w:eastAsia="宋体" w:cs="宋体-PUA"/>
                      <w:b/>
                      <w:szCs w:val="21"/>
                      <w:shd w:val="clear" w:color="auto" w:fill="FFFFFF"/>
                    </w:rPr>
                  </w:pPr>
                </w:p>
              </w:tc>
            </w:tr>
            <w:tr w14:paraId="0E3C7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799236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68EFC36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减速电机</w:t>
                  </w:r>
                </w:p>
              </w:tc>
              <w:tc>
                <w:tcPr>
                  <w:tcW w:w="3463" w:type="dxa"/>
                  <w:vAlign w:val="center"/>
                </w:tcPr>
                <w:p w14:paraId="51289EA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11kw</w:t>
                  </w:r>
                </w:p>
              </w:tc>
              <w:tc>
                <w:tcPr>
                  <w:tcW w:w="672" w:type="dxa"/>
                  <w:vAlign w:val="center"/>
                </w:tcPr>
                <w:p w14:paraId="1E5B9B7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3B68683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2F73F2F5">
                  <w:pPr>
                    <w:jc w:val="center"/>
                    <w:rPr>
                      <w:rFonts w:ascii="Times New Roman" w:hAnsi="Times New Roman" w:eastAsia="宋体" w:cs="宋体-PUA"/>
                      <w:b/>
                      <w:szCs w:val="21"/>
                      <w:shd w:val="clear" w:color="auto" w:fill="FFFFFF"/>
                    </w:rPr>
                  </w:pPr>
                </w:p>
              </w:tc>
            </w:tr>
            <w:tr w14:paraId="64A4E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FF1314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901" w:type="dxa"/>
                  <w:vAlign w:val="center"/>
                </w:tcPr>
                <w:p w14:paraId="22FC134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皮带</w:t>
                  </w:r>
                </w:p>
              </w:tc>
              <w:tc>
                <w:tcPr>
                  <w:tcW w:w="3463" w:type="dxa"/>
                  <w:vAlign w:val="center"/>
                </w:tcPr>
                <w:p w14:paraId="3B7BBA1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带宽1000，NN200（4.5±1.5）四层</w:t>
                  </w:r>
                </w:p>
              </w:tc>
              <w:tc>
                <w:tcPr>
                  <w:tcW w:w="672" w:type="dxa"/>
                  <w:vAlign w:val="center"/>
                </w:tcPr>
                <w:p w14:paraId="149F12D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35A3BAE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6546B544">
                  <w:pPr>
                    <w:jc w:val="center"/>
                    <w:rPr>
                      <w:rFonts w:ascii="Times New Roman" w:hAnsi="Times New Roman" w:eastAsia="宋体" w:cs="宋体-PUA"/>
                      <w:b/>
                      <w:szCs w:val="21"/>
                      <w:shd w:val="clear" w:color="auto" w:fill="FFFFFF"/>
                    </w:rPr>
                  </w:pPr>
                </w:p>
              </w:tc>
            </w:tr>
            <w:tr w14:paraId="7067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245D3FE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w:t>
                  </w:r>
                </w:p>
              </w:tc>
              <w:tc>
                <w:tcPr>
                  <w:tcW w:w="1901" w:type="dxa"/>
                  <w:vAlign w:val="center"/>
                </w:tcPr>
                <w:p w14:paraId="286A1C8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头部清扫器</w:t>
                  </w:r>
                </w:p>
              </w:tc>
              <w:tc>
                <w:tcPr>
                  <w:tcW w:w="3463" w:type="dxa"/>
                  <w:vAlign w:val="center"/>
                </w:tcPr>
                <w:p w14:paraId="09D507B7">
                  <w:pPr>
                    <w:jc w:val="center"/>
                    <w:rPr>
                      <w:rFonts w:ascii="Times New Roman" w:hAnsi="Times New Roman" w:eastAsia="宋体" w:cs="宋体-PUA"/>
                      <w:bCs/>
                      <w:szCs w:val="21"/>
                      <w:shd w:val="clear" w:color="auto" w:fill="FFFFFF"/>
                    </w:rPr>
                  </w:pPr>
                </w:p>
              </w:tc>
              <w:tc>
                <w:tcPr>
                  <w:tcW w:w="672" w:type="dxa"/>
                  <w:vAlign w:val="center"/>
                </w:tcPr>
                <w:p w14:paraId="4C95B27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25EBBDB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5FDB054D">
                  <w:pPr>
                    <w:jc w:val="center"/>
                    <w:rPr>
                      <w:rFonts w:ascii="Times New Roman" w:hAnsi="Times New Roman" w:eastAsia="宋体" w:cs="宋体-PUA"/>
                      <w:b/>
                      <w:szCs w:val="21"/>
                      <w:shd w:val="clear" w:color="auto" w:fill="FFFFFF"/>
                    </w:rPr>
                  </w:pPr>
                </w:p>
              </w:tc>
            </w:tr>
            <w:tr w14:paraId="1439F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641949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w:t>
                  </w:r>
                </w:p>
              </w:tc>
              <w:tc>
                <w:tcPr>
                  <w:tcW w:w="1901" w:type="dxa"/>
                  <w:vAlign w:val="center"/>
                </w:tcPr>
                <w:p w14:paraId="5CEF488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尾部清扫器</w:t>
                  </w:r>
                </w:p>
              </w:tc>
              <w:tc>
                <w:tcPr>
                  <w:tcW w:w="3463" w:type="dxa"/>
                  <w:vAlign w:val="center"/>
                </w:tcPr>
                <w:p w14:paraId="62BEB97C">
                  <w:pPr>
                    <w:jc w:val="center"/>
                    <w:rPr>
                      <w:rFonts w:ascii="Times New Roman" w:hAnsi="Times New Roman" w:eastAsia="宋体" w:cs="宋体-PUA"/>
                      <w:bCs/>
                      <w:szCs w:val="21"/>
                      <w:shd w:val="clear" w:color="auto" w:fill="FFFFFF"/>
                    </w:rPr>
                  </w:pPr>
                </w:p>
              </w:tc>
              <w:tc>
                <w:tcPr>
                  <w:tcW w:w="672" w:type="dxa"/>
                  <w:vAlign w:val="center"/>
                </w:tcPr>
                <w:p w14:paraId="49DEC4B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022D147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1677FD38">
                  <w:pPr>
                    <w:jc w:val="center"/>
                    <w:rPr>
                      <w:rFonts w:ascii="Times New Roman" w:hAnsi="Times New Roman" w:eastAsia="宋体" w:cs="宋体-PUA"/>
                      <w:b/>
                      <w:szCs w:val="21"/>
                      <w:shd w:val="clear" w:color="auto" w:fill="FFFFFF"/>
                    </w:rPr>
                  </w:pPr>
                </w:p>
              </w:tc>
            </w:tr>
            <w:tr w14:paraId="3E09B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01902A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6</w:t>
                  </w:r>
                </w:p>
              </w:tc>
              <w:tc>
                <w:tcPr>
                  <w:tcW w:w="1901" w:type="dxa"/>
                  <w:vAlign w:val="center"/>
                </w:tcPr>
                <w:p w14:paraId="2A87537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超限料剔除装置</w:t>
                  </w:r>
                </w:p>
              </w:tc>
              <w:tc>
                <w:tcPr>
                  <w:tcW w:w="3463" w:type="dxa"/>
                  <w:vAlign w:val="center"/>
                </w:tcPr>
                <w:p w14:paraId="249A3980">
                  <w:pPr>
                    <w:jc w:val="center"/>
                    <w:rPr>
                      <w:rFonts w:ascii="Times New Roman" w:hAnsi="Times New Roman" w:eastAsia="宋体" w:cs="宋体-PUA"/>
                      <w:bCs/>
                      <w:szCs w:val="21"/>
                      <w:shd w:val="clear" w:color="auto" w:fill="FFFFFF"/>
                    </w:rPr>
                  </w:pPr>
                </w:p>
              </w:tc>
              <w:tc>
                <w:tcPr>
                  <w:tcW w:w="672" w:type="dxa"/>
                  <w:vAlign w:val="center"/>
                </w:tcPr>
                <w:p w14:paraId="4B9CB69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5615CFE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1DD63706">
                  <w:pPr>
                    <w:jc w:val="center"/>
                    <w:rPr>
                      <w:rFonts w:ascii="Times New Roman" w:hAnsi="Times New Roman" w:eastAsia="宋体" w:cs="宋体-PUA"/>
                      <w:b/>
                      <w:szCs w:val="21"/>
                      <w:shd w:val="clear" w:color="auto" w:fill="FFFFFF"/>
                    </w:rPr>
                  </w:pPr>
                </w:p>
              </w:tc>
            </w:tr>
            <w:tr w14:paraId="4CB19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1" w:type="dxa"/>
                  <w:gridSpan w:val="6"/>
                  <w:vAlign w:val="center"/>
                </w:tcPr>
                <w:p w14:paraId="154D2C85">
                  <w:pPr>
                    <w:jc w:val="center"/>
                    <w:rPr>
                      <w:rFonts w:ascii="Times New Roman" w:hAnsi="Times New Roman" w:eastAsia="宋体" w:cs="宋体-PUA"/>
                      <w:b/>
                      <w:color w:val="1C0CF2"/>
                      <w:szCs w:val="21"/>
                      <w:shd w:val="clear" w:color="auto" w:fill="FFFFFF"/>
                    </w:rPr>
                  </w:pPr>
                  <w:r>
                    <w:rPr>
                      <w:rFonts w:hint="eastAsia" w:ascii="Times New Roman" w:hAnsi="Times New Roman" w:eastAsia="宋体" w:cs="宋体-PUA"/>
                      <w:b/>
                      <w:szCs w:val="21"/>
                      <w:shd w:val="clear" w:color="auto" w:fill="FFFFFF"/>
                    </w:rPr>
                    <w:t>二、干燥系统</w:t>
                  </w:r>
                </w:p>
              </w:tc>
            </w:tr>
            <w:tr w14:paraId="06F5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4DFA7D7">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2.1</w:t>
                  </w:r>
                </w:p>
              </w:tc>
              <w:tc>
                <w:tcPr>
                  <w:tcW w:w="7224" w:type="dxa"/>
                  <w:gridSpan w:val="5"/>
                  <w:vAlign w:val="center"/>
                </w:tcPr>
                <w:p w14:paraId="2336C377">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干燥滚筒</w:t>
                  </w:r>
                </w:p>
              </w:tc>
            </w:tr>
            <w:tr w14:paraId="7D76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1C98D5F">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color w:val="1C0CF2"/>
                      <w:szCs w:val="21"/>
                      <w:shd w:val="clear" w:color="auto" w:fill="FFFFFF"/>
                    </w:rPr>
                    <w:t>1</w:t>
                  </w:r>
                </w:p>
              </w:tc>
              <w:tc>
                <w:tcPr>
                  <w:tcW w:w="1901" w:type="dxa"/>
                  <w:vAlign w:val="center"/>
                </w:tcPr>
                <w:p w14:paraId="7C413DF7">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color w:val="1C0CF2"/>
                      <w:szCs w:val="21"/>
                      <w:shd w:val="clear" w:color="auto" w:fill="FFFFFF"/>
                    </w:rPr>
                    <w:t>热骨料溜槽</w:t>
                  </w:r>
                </w:p>
              </w:tc>
              <w:tc>
                <w:tcPr>
                  <w:tcW w:w="3463" w:type="dxa"/>
                  <w:vAlign w:val="center"/>
                </w:tcPr>
                <w:p w14:paraId="6DF31F5E">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color w:val="1C0CF2"/>
                      <w:szCs w:val="21"/>
                      <w:shd w:val="clear" w:color="auto" w:fill="FFFFFF"/>
                    </w:rPr>
                    <w:t>进口耐磨板、高温防护</w:t>
                  </w:r>
                </w:p>
              </w:tc>
              <w:tc>
                <w:tcPr>
                  <w:tcW w:w="672" w:type="dxa"/>
                  <w:vAlign w:val="center"/>
                </w:tcPr>
                <w:p w14:paraId="2307560E">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color w:val="1C0CF2"/>
                      <w:szCs w:val="21"/>
                      <w:shd w:val="clear" w:color="auto" w:fill="FFFFFF"/>
                    </w:rPr>
                    <w:t>1</w:t>
                  </w:r>
                </w:p>
              </w:tc>
              <w:tc>
                <w:tcPr>
                  <w:tcW w:w="684" w:type="dxa"/>
                  <w:vAlign w:val="center"/>
                </w:tcPr>
                <w:p w14:paraId="6B7D2921">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color w:val="1C0CF2"/>
                      <w:szCs w:val="21"/>
                      <w:shd w:val="clear" w:color="auto" w:fill="FFFFFF"/>
                    </w:rPr>
                    <w:t>套</w:t>
                  </w:r>
                </w:p>
              </w:tc>
              <w:tc>
                <w:tcPr>
                  <w:tcW w:w="504" w:type="dxa"/>
                  <w:vAlign w:val="center"/>
                </w:tcPr>
                <w:p w14:paraId="3B9FD338">
                  <w:pPr>
                    <w:jc w:val="center"/>
                    <w:rPr>
                      <w:rFonts w:ascii="Times New Roman" w:hAnsi="Times New Roman" w:eastAsia="宋体" w:cs="宋体-PUA"/>
                      <w:b/>
                      <w:color w:val="1C0CF2"/>
                      <w:szCs w:val="21"/>
                      <w:shd w:val="clear" w:color="auto" w:fill="FFFFFF"/>
                    </w:rPr>
                  </w:pPr>
                </w:p>
              </w:tc>
            </w:tr>
            <w:tr w14:paraId="25DB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63482E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378DF0B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滚筒底架</w:t>
                  </w:r>
                </w:p>
              </w:tc>
              <w:tc>
                <w:tcPr>
                  <w:tcW w:w="3463" w:type="dxa"/>
                  <w:vAlign w:val="center"/>
                </w:tcPr>
                <w:p w14:paraId="5B597E4A">
                  <w:pPr>
                    <w:jc w:val="center"/>
                    <w:rPr>
                      <w:rFonts w:ascii="Times New Roman" w:hAnsi="Times New Roman" w:eastAsia="宋体" w:cs="宋体-PUA"/>
                      <w:bCs/>
                      <w:szCs w:val="21"/>
                      <w:shd w:val="clear" w:color="auto" w:fill="FFFFFF"/>
                    </w:rPr>
                  </w:pPr>
                </w:p>
              </w:tc>
              <w:tc>
                <w:tcPr>
                  <w:tcW w:w="672" w:type="dxa"/>
                  <w:vAlign w:val="center"/>
                </w:tcPr>
                <w:p w14:paraId="134ED1D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51D53A1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7C21558B">
                  <w:pPr>
                    <w:jc w:val="center"/>
                    <w:rPr>
                      <w:rFonts w:ascii="Times New Roman" w:hAnsi="Times New Roman" w:eastAsia="宋体" w:cs="宋体-PUA"/>
                      <w:b/>
                      <w:color w:val="1C0CF2"/>
                      <w:szCs w:val="21"/>
                      <w:shd w:val="clear" w:color="auto" w:fill="FFFFFF"/>
                    </w:rPr>
                  </w:pPr>
                </w:p>
              </w:tc>
            </w:tr>
            <w:tr w14:paraId="2E3C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A2C767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901" w:type="dxa"/>
                  <w:vAlign w:val="center"/>
                </w:tcPr>
                <w:p w14:paraId="16C9562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简体总成</w:t>
                  </w:r>
                </w:p>
              </w:tc>
              <w:tc>
                <w:tcPr>
                  <w:tcW w:w="3463" w:type="dxa"/>
                  <w:vAlign w:val="center"/>
                </w:tcPr>
                <w:p w14:paraId="44FABC2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不锈钢面饰，锻压滚圈/拖轮</w:t>
                  </w:r>
                </w:p>
              </w:tc>
              <w:tc>
                <w:tcPr>
                  <w:tcW w:w="672" w:type="dxa"/>
                  <w:vAlign w:val="center"/>
                </w:tcPr>
                <w:p w14:paraId="621127E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47343C1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39F2AF53">
                  <w:pPr>
                    <w:jc w:val="center"/>
                    <w:rPr>
                      <w:rFonts w:ascii="Times New Roman" w:hAnsi="Times New Roman" w:eastAsia="宋体" w:cs="宋体-PUA"/>
                      <w:b/>
                      <w:szCs w:val="21"/>
                      <w:shd w:val="clear" w:color="auto" w:fill="FFFFFF"/>
                    </w:rPr>
                  </w:pPr>
                </w:p>
              </w:tc>
            </w:tr>
            <w:tr w14:paraId="15A79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0DCC39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w:t>
                  </w:r>
                </w:p>
              </w:tc>
              <w:tc>
                <w:tcPr>
                  <w:tcW w:w="1901" w:type="dxa"/>
                  <w:vAlign w:val="center"/>
                </w:tcPr>
                <w:p w14:paraId="6048AD8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驱动机构</w:t>
                  </w:r>
                </w:p>
              </w:tc>
              <w:tc>
                <w:tcPr>
                  <w:tcW w:w="3463" w:type="dxa"/>
                  <w:vAlign w:val="center"/>
                </w:tcPr>
                <w:p w14:paraId="5F370CD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摩擦驱动、直联式，37kw</w:t>
                  </w:r>
                </w:p>
              </w:tc>
              <w:tc>
                <w:tcPr>
                  <w:tcW w:w="672" w:type="dxa"/>
                  <w:vAlign w:val="center"/>
                </w:tcPr>
                <w:p w14:paraId="5DF5197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w:t>
                  </w:r>
                </w:p>
              </w:tc>
              <w:tc>
                <w:tcPr>
                  <w:tcW w:w="684" w:type="dxa"/>
                  <w:vAlign w:val="center"/>
                </w:tcPr>
                <w:p w14:paraId="1EDE669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5511599C">
                  <w:pPr>
                    <w:jc w:val="center"/>
                    <w:rPr>
                      <w:rFonts w:ascii="Times New Roman" w:hAnsi="Times New Roman" w:eastAsia="宋体" w:cs="宋体-PUA"/>
                      <w:b/>
                      <w:szCs w:val="21"/>
                      <w:shd w:val="clear" w:color="auto" w:fill="FFFFFF"/>
                    </w:rPr>
                  </w:pPr>
                </w:p>
              </w:tc>
            </w:tr>
            <w:tr w14:paraId="6D4A8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88422E6">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2.2</w:t>
                  </w:r>
                </w:p>
              </w:tc>
              <w:tc>
                <w:tcPr>
                  <w:tcW w:w="7224" w:type="dxa"/>
                  <w:gridSpan w:val="5"/>
                  <w:vAlign w:val="center"/>
                </w:tcPr>
                <w:p w14:paraId="603BB2E3">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燃烧器</w:t>
                  </w:r>
                </w:p>
              </w:tc>
            </w:tr>
            <w:tr w14:paraId="69FBC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F140D3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1F4CD0E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轴流风机</w:t>
                  </w:r>
                </w:p>
              </w:tc>
              <w:tc>
                <w:tcPr>
                  <w:tcW w:w="3463" w:type="dxa"/>
                  <w:vAlign w:val="center"/>
                </w:tcPr>
                <w:p w14:paraId="60F7DFE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30kw，变频器控制</w:t>
                  </w:r>
                </w:p>
              </w:tc>
              <w:tc>
                <w:tcPr>
                  <w:tcW w:w="672" w:type="dxa"/>
                  <w:vAlign w:val="center"/>
                </w:tcPr>
                <w:p w14:paraId="20565A0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2BC934C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60F9CB5E">
                  <w:pPr>
                    <w:jc w:val="center"/>
                    <w:rPr>
                      <w:rFonts w:ascii="Times New Roman" w:hAnsi="Times New Roman" w:eastAsia="宋体" w:cs="宋体-PUA"/>
                      <w:b/>
                      <w:szCs w:val="21"/>
                      <w:shd w:val="clear" w:color="auto" w:fill="FFFFFF"/>
                    </w:rPr>
                  </w:pPr>
                </w:p>
              </w:tc>
            </w:tr>
            <w:tr w14:paraId="3362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C0C9CA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0AE3E7C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燃烧泵组</w:t>
                  </w:r>
                </w:p>
              </w:tc>
              <w:tc>
                <w:tcPr>
                  <w:tcW w:w="3463" w:type="dxa"/>
                  <w:vAlign w:val="center"/>
                </w:tcPr>
                <w:p w14:paraId="6440719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1台3kw齿轮泵，变频器控制</w:t>
                  </w:r>
                </w:p>
              </w:tc>
              <w:tc>
                <w:tcPr>
                  <w:tcW w:w="672" w:type="dxa"/>
                  <w:vAlign w:val="center"/>
                </w:tcPr>
                <w:p w14:paraId="1753CBE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04C279B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33C54E88">
                  <w:pPr>
                    <w:jc w:val="center"/>
                    <w:rPr>
                      <w:rFonts w:ascii="Times New Roman" w:hAnsi="Times New Roman" w:eastAsia="宋体" w:cs="宋体-PUA"/>
                      <w:b/>
                      <w:szCs w:val="21"/>
                      <w:shd w:val="clear" w:color="auto" w:fill="FFFFFF"/>
                    </w:rPr>
                  </w:pPr>
                </w:p>
              </w:tc>
            </w:tr>
            <w:tr w14:paraId="28E0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6725F2A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901" w:type="dxa"/>
                  <w:vAlign w:val="center"/>
                </w:tcPr>
                <w:p w14:paraId="35DB2CF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燃烧器安全开关</w:t>
                  </w:r>
                </w:p>
              </w:tc>
              <w:tc>
                <w:tcPr>
                  <w:tcW w:w="3463" w:type="dxa"/>
                  <w:vAlign w:val="center"/>
                </w:tcPr>
                <w:p w14:paraId="3458C4F7">
                  <w:pPr>
                    <w:jc w:val="center"/>
                    <w:rPr>
                      <w:rFonts w:ascii="Times New Roman" w:hAnsi="Times New Roman" w:eastAsia="宋体" w:cs="宋体-PUA"/>
                      <w:bCs/>
                      <w:szCs w:val="21"/>
                      <w:shd w:val="clear" w:color="auto" w:fill="FFFFFF"/>
                    </w:rPr>
                  </w:pPr>
                </w:p>
              </w:tc>
              <w:tc>
                <w:tcPr>
                  <w:tcW w:w="672" w:type="dxa"/>
                  <w:vAlign w:val="center"/>
                </w:tcPr>
                <w:p w14:paraId="4C890B4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40826A9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663F63B0">
                  <w:pPr>
                    <w:jc w:val="center"/>
                    <w:rPr>
                      <w:rFonts w:ascii="Times New Roman" w:hAnsi="Times New Roman" w:eastAsia="宋体" w:cs="宋体-PUA"/>
                      <w:b/>
                      <w:szCs w:val="21"/>
                      <w:shd w:val="clear" w:color="auto" w:fill="FFFFFF"/>
                    </w:rPr>
                  </w:pPr>
                </w:p>
              </w:tc>
            </w:tr>
            <w:tr w14:paraId="4C62C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0C6B9E6">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color w:val="1C0CF2"/>
                      <w:szCs w:val="21"/>
                      <w:shd w:val="clear" w:color="auto" w:fill="FFFFFF"/>
                    </w:rPr>
                    <w:t>4</w:t>
                  </w:r>
                </w:p>
              </w:tc>
              <w:tc>
                <w:tcPr>
                  <w:tcW w:w="1901" w:type="dxa"/>
                  <w:vAlign w:val="center"/>
                </w:tcPr>
                <w:p w14:paraId="22D67D08">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color w:val="1C0CF2"/>
                      <w:szCs w:val="21"/>
                      <w:shd w:val="clear" w:color="auto" w:fill="FFFFFF"/>
                    </w:rPr>
                    <w:t>立式储气罐</w:t>
                  </w:r>
                </w:p>
              </w:tc>
              <w:tc>
                <w:tcPr>
                  <w:tcW w:w="3463" w:type="dxa"/>
                  <w:vAlign w:val="center"/>
                </w:tcPr>
                <w:p w14:paraId="19875288">
                  <w:pPr>
                    <w:jc w:val="center"/>
                    <w:rPr>
                      <w:rFonts w:ascii="Times New Roman" w:hAnsi="Times New Roman" w:eastAsia="宋体" w:cs="宋体-PUA"/>
                      <w:bCs/>
                      <w:color w:val="1C0CF2"/>
                      <w:szCs w:val="21"/>
                      <w:shd w:val="clear" w:color="auto" w:fill="FFFFFF"/>
                    </w:rPr>
                  </w:pPr>
                </w:p>
              </w:tc>
              <w:tc>
                <w:tcPr>
                  <w:tcW w:w="672" w:type="dxa"/>
                  <w:vAlign w:val="center"/>
                </w:tcPr>
                <w:p w14:paraId="7775EED7">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color w:val="1C0CF2"/>
                      <w:szCs w:val="21"/>
                      <w:shd w:val="clear" w:color="auto" w:fill="FFFFFF"/>
                    </w:rPr>
                    <w:t>1</w:t>
                  </w:r>
                </w:p>
              </w:tc>
              <w:tc>
                <w:tcPr>
                  <w:tcW w:w="684" w:type="dxa"/>
                  <w:vAlign w:val="center"/>
                </w:tcPr>
                <w:p w14:paraId="02589A3B">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Cs/>
                      <w:color w:val="1C0CF2"/>
                      <w:szCs w:val="21"/>
                      <w:shd w:val="clear" w:color="auto" w:fill="FFFFFF"/>
                    </w:rPr>
                    <w:t>套</w:t>
                  </w:r>
                </w:p>
              </w:tc>
              <w:tc>
                <w:tcPr>
                  <w:tcW w:w="504" w:type="dxa"/>
                  <w:vAlign w:val="center"/>
                </w:tcPr>
                <w:p w14:paraId="1C21811C">
                  <w:pPr>
                    <w:jc w:val="center"/>
                    <w:rPr>
                      <w:rFonts w:ascii="Times New Roman" w:hAnsi="Times New Roman" w:eastAsia="宋体" w:cs="宋体-PUA"/>
                      <w:b/>
                      <w:color w:val="1C0CF2"/>
                      <w:szCs w:val="21"/>
                      <w:shd w:val="clear" w:color="auto" w:fill="FFFFFF"/>
                    </w:rPr>
                  </w:pPr>
                </w:p>
              </w:tc>
            </w:tr>
            <w:tr w14:paraId="72B49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0395E5B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w:t>
                  </w:r>
                </w:p>
              </w:tc>
              <w:tc>
                <w:tcPr>
                  <w:tcW w:w="1901" w:type="dxa"/>
                  <w:vAlign w:val="center"/>
                </w:tcPr>
                <w:p w14:paraId="2899B7C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燃烧器平台</w:t>
                  </w:r>
                </w:p>
              </w:tc>
              <w:tc>
                <w:tcPr>
                  <w:tcW w:w="3463" w:type="dxa"/>
                  <w:vAlign w:val="center"/>
                </w:tcPr>
                <w:p w14:paraId="2C2D2105">
                  <w:pPr>
                    <w:jc w:val="center"/>
                    <w:rPr>
                      <w:rFonts w:ascii="Times New Roman" w:hAnsi="Times New Roman" w:eastAsia="宋体" w:cs="宋体-PUA"/>
                      <w:bCs/>
                      <w:szCs w:val="21"/>
                      <w:shd w:val="clear" w:color="auto" w:fill="FFFFFF"/>
                    </w:rPr>
                  </w:pPr>
                </w:p>
              </w:tc>
              <w:tc>
                <w:tcPr>
                  <w:tcW w:w="672" w:type="dxa"/>
                  <w:vAlign w:val="center"/>
                </w:tcPr>
                <w:p w14:paraId="5A5885B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110ED9E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01CB637F">
                  <w:pPr>
                    <w:jc w:val="center"/>
                    <w:rPr>
                      <w:rFonts w:ascii="Times New Roman" w:hAnsi="Times New Roman" w:eastAsia="宋体" w:cs="宋体-PUA"/>
                      <w:b/>
                      <w:szCs w:val="21"/>
                      <w:shd w:val="clear" w:color="auto" w:fill="FFFFFF"/>
                    </w:rPr>
                  </w:pPr>
                </w:p>
              </w:tc>
            </w:tr>
            <w:tr w14:paraId="334EA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646C47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6</w:t>
                  </w:r>
                </w:p>
              </w:tc>
              <w:tc>
                <w:tcPr>
                  <w:tcW w:w="1901" w:type="dxa"/>
                  <w:vAlign w:val="center"/>
                </w:tcPr>
                <w:p w14:paraId="33EBD4A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燃烧器电控柜</w:t>
                  </w:r>
                </w:p>
              </w:tc>
              <w:tc>
                <w:tcPr>
                  <w:tcW w:w="3463" w:type="dxa"/>
                  <w:vAlign w:val="center"/>
                </w:tcPr>
                <w:p w14:paraId="794B140A">
                  <w:pPr>
                    <w:jc w:val="center"/>
                    <w:rPr>
                      <w:rFonts w:ascii="Times New Roman" w:hAnsi="Times New Roman" w:eastAsia="宋体" w:cs="宋体-PUA"/>
                      <w:bCs/>
                      <w:szCs w:val="21"/>
                      <w:shd w:val="clear" w:color="auto" w:fill="FFFFFF"/>
                    </w:rPr>
                  </w:pPr>
                </w:p>
              </w:tc>
              <w:tc>
                <w:tcPr>
                  <w:tcW w:w="672" w:type="dxa"/>
                  <w:vAlign w:val="center"/>
                </w:tcPr>
                <w:p w14:paraId="504CB50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29C8941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0EE6476C">
                  <w:pPr>
                    <w:jc w:val="center"/>
                    <w:rPr>
                      <w:rFonts w:ascii="Times New Roman" w:hAnsi="Times New Roman" w:eastAsia="宋体" w:cs="宋体-PUA"/>
                      <w:b/>
                      <w:szCs w:val="21"/>
                      <w:shd w:val="clear" w:color="auto" w:fill="FFFFFF"/>
                    </w:rPr>
                  </w:pPr>
                </w:p>
              </w:tc>
            </w:tr>
            <w:tr w14:paraId="0D3B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1" w:type="dxa"/>
                  <w:gridSpan w:val="6"/>
                  <w:vAlign w:val="center"/>
                </w:tcPr>
                <w:p w14:paraId="6A71078C">
                  <w:pPr>
                    <w:jc w:val="center"/>
                    <w:rPr>
                      <w:rFonts w:ascii="Times New Roman" w:hAnsi="Times New Roman" w:eastAsia="宋体" w:cs="宋体-PUA"/>
                      <w:b/>
                      <w:color w:val="1C0CF2"/>
                      <w:szCs w:val="21"/>
                      <w:shd w:val="clear" w:color="auto" w:fill="FFFFFF"/>
                    </w:rPr>
                  </w:pPr>
                  <w:r>
                    <w:rPr>
                      <w:rFonts w:hint="eastAsia" w:ascii="Times New Roman" w:hAnsi="Times New Roman" w:eastAsia="宋体" w:cs="宋体-PUA"/>
                      <w:b/>
                      <w:szCs w:val="21"/>
                      <w:shd w:val="clear" w:color="auto" w:fill="FFFFFF"/>
                    </w:rPr>
                    <w:t>三、除尘系统</w:t>
                  </w:r>
                </w:p>
              </w:tc>
            </w:tr>
            <w:tr w14:paraId="262A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EF7AC78">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3.1</w:t>
                  </w:r>
                </w:p>
              </w:tc>
              <w:tc>
                <w:tcPr>
                  <w:tcW w:w="7224" w:type="dxa"/>
                  <w:gridSpan w:val="5"/>
                  <w:vAlign w:val="center"/>
                </w:tcPr>
                <w:p w14:paraId="3EA04957">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除尘器</w:t>
                  </w:r>
                </w:p>
              </w:tc>
            </w:tr>
            <w:tr w14:paraId="0EF9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4EFC3D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3D38B4D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除尘形式</w:t>
                  </w:r>
                </w:p>
              </w:tc>
              <w:tc>
                <w:tcPr>
                  <w:tcW w:w="3463" w:type="dxa"/>
                  <w:vAlign w:val="center"/>
                </w:tcPr>
                <w:p w14:paraId="437F977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重力除尘</w:t>
                  </w:r>
                </w:p>
              </w:tc>
              <w:tc>
                <w:tcPr>
                  <w:tcW w:w="672" w:type="dxa"/>
                  <w:vAlign w:val="center"/>
                </w:tcPr>
                <w:p w14:paraId="10E2A2E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618F1B6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4A1B28D1">
                  <w:pPr>
                    <w:jc w:val="center"/>
                    <w:rPr>
                      <w:rFonts w:ascii="Times New Roman" w:hAnsi="Times New Roman" w:eastAsia="宋体" w:cs="宋体-PUA"/>
                      <w:b/>
                      <w:color w:val="FF0000"/>
                      <w:szCs w:val="21"/>
                      <w:shd w:val="clear" w:color="auto" w:fill="FFFFFF"/>
                    </w:rPr>
                  </w:pPr>
                </w:p>
              </w:tc>
            </w:tr>
            <w:tr w14:paraId="5AB11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C0ABC8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62EF81B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减速电机</w:t>
                  </w:r>
                </w:p>
              </w:tc>
              <w:tc>
                <w:tcPr>
                  <w:tcW w:w="3463" w:type="dxa"/>
                  <w:vAlign w:val="center"/>
                </w:tcPr>
                <w:p w14:paraId="194F972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5.5kw</w:t>
                  </w:r>
                </w:p>
              </w:tc>
              <w:tc>
                <w:tcPr>
                  <w:tcW w:w="672" w:type="dxa"/>
                  <w:vAlign w:val="center"/>
                </w:tcPr>
                <w:p w14:paraId="1D65A46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5F61E8D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4A2DD0D3">
                  <w:pPr>
                    <w:jc w:val="center"/>
                    <w:rPr>
                      <w:rFonts w:ascii="Times New Roman" w:hAnsi="Times New Roman" w:eastAsia="宋体" w:cs="宋体-PUA"/>
                      <w:b/>
                      <w:color w:val="FF0000"/>
                      <w:szCs w:val="21"/>
                      <w:shd w:val="clear" w:color="auto" w:fill="FFFFFF"/>
                    </w:rPr>
                  </w:pPr>
                </w:p>
              </w:tc>
            </w:tr>
            <w:tr w14:paraId="1C24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6D5E1F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901" w:type="dxa"/>
                  <w:vAlign w:val="center"/>
                </w:tcPr>
                <w:p w14:paraId="664ABA4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气缸提升阀反吹机构</w:t>
                  </w:r>
                </w:p>
              </w:tc>
              <w:tc>
                <w:tcPr>
                  <w:tcW w:w="3463" w:type="dxa"/>
                  <w:vAlign w:val="center"/>
                </w:tcPr>
                <w:p w14:paraId="5BD88E0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负压稳定</w:t>
                  </w:r>
                </w:p>
              </w:tc>
              <w:tc>
                <w:tcPr>
                  <w:tcW w:w="672" w:type="dxa"/>
                  <w:vAlign w:val="center"/>
                </w:tcPr>
                <w:p w14:paraId="1DCCAB4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12</w:t>
                  </w:r>
                </w:p>
              </w:tc>
              <w:tc>
                <w:tcPr>
                  <w:tcW w:w="684" w:type="dxa"/>
                  <w:vAlign w:val="center"/>
                </w:tcPr>
                <w:p w14:paraId="4FD2D63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66711AFA">
                  <w:pPr>
                    <w:jc w:val="center"/>
                    <w:rPr>
                      <w:rFonts w:ascii="Times New Roman" w:hAnsi="Times New Roman" w:eastAsia="宋体" w:cs="宋体-PUA"/>
                      <w:b/>
                      <w:color w:val="FF0000"/>
                      <w:szCs w:val="21"/>
                      <w:shd w:val="clear" w:color="auto" w:fill="FFFFFF"/>
                    </w:rPr>
                  </w:pPr>
                </w:p>
              </w:tc>
            </w:tr>
            <w:tr w14:paraId="30F59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BD641D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w:t>
                  </w:r>
                </w:p>
              </w:tc>
              <w:tc>
                <w:tcPr>
                  <w:tcW w:w="1901" w:type="dxa"/>
                  <w:vAlign w:val="center"/>
                </w:tcPr>
                <w:p w14:paraId="75A8A3D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仓体</w:t>
                  </w:r>
                </w:p>
              </w:tc>
              <w:tc>
                <w:tcPr>
                  <w:tcW w:w="3463" w:type="dxa"/>
                  <w:vAlign w:val="center"/>
                </w:tcPr>
                <w:p w14:paraId="61A2DEB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箱体保温，表面彩钢板装饰</w:t>
                  </w:r>
                </w:p>
              </w:tc>
              <w:tc>
                <w:tcPr>
                  <w:tcW w:w="672" w:type="dxa"/>
                  <w:vAlign w:val="center"/>
                </w:tcPr>
                <w:p w14:paraId="40475B3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0C83181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1C3ED171">
                  <w:pPr>
                    <w:jc w:val="center"/>
                    <w:rPr>
                      <w:rFonts w:ascii="Times New Roman" w:hAnsi="Times New Roman" w:eastAsia="宋体" w:cs="宋体-PUA"/>
                      <w:b/>
                      <w:color w:val="FF0000"/>
                      <w:szCs w:val="21"/>
                      <w:shd w:val="clear" w:color="auto" w:fill="FFFFFF"/>
                    </w:rPr>
                  </w:pPr>
                </w:p>
              </w:tc>
            </w:tr>
            <w:tr w14:paraId="1EE2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86D55C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w:t>
                  </w:r>
                </w:p>
              </w:tc>
              <w:tc>
                <w:tcPr>
                  <w:tcW w:w="1901" w:type="dxa"/>
                  <w:vAlign w:val="center"/>
                </w:tcPr>
                <w:p w14:paraId="757FC27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除尘面积</w:t>
                  </w:r>
                </w:p>
              </w:tc>
              <w:tc>
                <w:tcPr>
                  <w:tcW w:w="3463" w:type="dxa"/>
                  <w:vAlign w:val="center"/>
                </w:tcPr>
                <w:p w14:paraId="4153A0D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1400m</w:t>
                  </w:r>
                  <w:r>
                    <w:rPr>
                      <w:rFonts w:hint="eastAsia" w:ascii="Times New Roman" w:hAnsi="Times New Roman" w:eastAsia="宋体" w:cs="宋体-PUA"/>
                      <w:bCs/>
                      <w:szCs w:val="21"/>
                      <w:shd w:val="clear" w:color="auto" w:fill="FFFFFF"/>
                      <w:vertAlign w:val="superscript"/>
                    </w:rPr>
                    <w:t>2</w:t>
                  </w:r>
                </w:p>
              </w:tc>
              <w:tc>
                <w:tcPr>
                  <w:tcW w:w="672" w:type="dxa"/>
                  <w:vAlign w:val="center"/>
                </w:tcPr>
                <w:p w14:paraId="404E946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219FF8A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1112F237">
                  <w:pPr>
                    <w:jc w:val="center"/>
                    <w:rPr>
                      <w:rFonts w:ascii="Times New Roman" w:hAnsi="Times New Roman" w:eastAsia="宋体" w:cs="宋体-PUA"/>
                      <w:b/>
                      <w:color w:val="FF0000"/>
                      <w:szCs w:val="21"/>
                      <w:shd w:val="clear" w:color="auto" w:fill="FFFFFF"/>
                    </w:rPr>
                  </w:pPr>
                </w:p>
              </w:tc>
            </w:tr>
            <w:tr w14:paraId="45E1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0314E62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6</w:t>
                  </w:r>
                </w:p>
              </w:tc>
              <w:tc>
                <w:tcPr>
                  <w:tcW w:w="1901" w:type="dxa"/>
                  <w:vAlign w:val="center"/>
                </w:tcPr>
                <w:p w14:paraId="53CD551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布袋</w:t>
                  </w:r>
                </w:p>
              </w:tc>
              <w:tc>
                <w:tcPr>
                  <w:tcW w:w="3463" w:type="dxa"/>
                  <w:vAlign w:val="center"/>
                </w:tcPr>
                <w:p w14:paraId="0746D3D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NOMEX针刺无纺布、耐高温</w:t>
                  </w:r>
                </w:p>
              </w:tc>
              <w:tc>
                <w:tcPr>
                  <w:tcW w:w="672" w:type="dxa"/>
                  <w:vAlign w:val="center"/>
                </w:tcPr>
                <w:p w14:paraId="4339A03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528</w:t>
                  </w:r>
                </w:p>
              </w:tc>
              <w:tc>
                <w:tcPr>
                  <w:tcW w:w="684" w:type="dxa"/>
                  <w:vAlign w:val="center"/>
                </w:tcPr>
                <w:p w14:paraId="14C4584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4B7AECF6">
                  <w:pPr>
                    <w:jc w:val="center"/>
                    <w:rPr>
                      <w:rFonts w:ascii="Times New Roman" w:hAnsi="Times New Roman" w:eastAsia="宋体" w:cs="宋体-PUA"/>
                      <w:b/>
                      <w:color w:val="FF0000"/>
                      <w:szCs w:val="21"/>
                      <w:shd w:val="clear" w:color="auto" w:fill="FFFFFF"/>
                    </w:rPr>
                  </w:pPr>
                </w:p>
              </w:tc>
            </w:tr>
            <w:tr w14:paraId="32A4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7C80A7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7</w:t>
                  </w:r>
                </w:p>
              </w:tc>
              <w:tc>
                <w:tcPr>
                  <w:tcW w:w="1901" w:type="dxa"/>
                  <w:vAlign w:val="center"/>
                </w:tcPr>
                <w:p w14:paraId="5047A5E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布袋除尘至粉罐</w:t>
                  </w:r>
                </w:p>
                <w:p w14:paraId="67B504E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螺旋</w:t>
                  </w:r>
                </w:p>
              </w:tc>
              <w:tc>
                <w:tcPr>
                  <w:tcW w:w="3463" w:type="dxa"/>
                  <w:vAlign w:val="center"/>
                </w:tcPr>
                <w:p w14:paraId="268A1EA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7.5KW，</w:t>
                  </w:r>
                  <w:r>
                    <w:rPr>
                      <w:rFonts w:hint="eastAsia" w:ascii="Times New Roman" w:hAnsi="Times New Roman" w:eastAsia="宋体" w:cs="Times New Roman"/>
                      <w:bCs/>
                      <w:szCs w:val="21"/>
                    </w:rPr>
                    <w:t>Φ273</w:t>
                  </w:r>
                </w:p>
              </w:tc>
              <w:tc>
                <w:tcPr>
                  <w:tcW w:w="672" w:type="dxa"/>
                  <w:vAlign w:val="center"/>
                </w:tcPr>
                <w:p w14:paraId="1BC60B5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17ADBDF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7F5D2010">
                  <w:pPr>
                    <w:jc w:val="center"/>
                    <w:rPr>
                      <w:rFonts w:ascii="Times New Roman" w:hAnsi="Times New Roman" w:eastAsia="宋体" w:cs="宋体-PUA"/>
                      <w:b/>
                      <w:color w:val="FF0000"/>
                      <w:szCs w:val="21"/>
                      <w:shd w:val="clear" w:color="auto" w:fill="FFFFFF"/>
                    </w:rPr>
                  </w:pPr>
                </w:p>
              </w:tc>
            </w:tr>
            <w:tr w14:paraId="2DE71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B45253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8</w:t>
                  </w:r>
                </w:p>
              </w:tc>
              <w:tc>
                <w:tcPr>
                  <w:tcW w:w="1901" w:type="dxa"/>
                  <w:vAlign w:val="center"/>
                </w:tcPr>
                <w:p w14:paraId="06B216D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蜗壳除尘至骨提螺旋</w:t>
                  </w:r>
                </w:p>
              </w:tc>
              <w:tc>
                <w:tcPr>
                  <w:tcW w:w="3463" w:type="dxa"/>
                  <w:vAlign w:val="center"/>
                </w:tcPr>
                <w:p w14:paraId="7921DCE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5.5KW，</w:t>
                  </w:r>
                  <w:r>
                    <w:rPr>
                      <w:rFonts w:hint="eastAsia" w:ascii="Times New Roman" w:hAnsi="Times New Roman" w:eastAsia="宋体" w:cs="Times New Roman"/>
                      <w:bCs/>
                      <w:szCs w:val="21"/>
                    </w:rPr>
                    <w:t>Φ273</w:t>
                  </w:r>
                </w:p>
              </w:tc>
              <w:tc>
                <w:tcPr>
                  <w:tcW w:w="672" w:type="dxa"/>
                  <w:vAlign w:val="center"/>
                </w:tcPr>
                <w:p w14:paraId="2323DA9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3184A7F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492BBC64">
                  <w:pPr>
                    <w:jc w:val="center"/>
                    <w:rPr>
                      <w:rFonts w:ascii="Times New Roman" w:hAnsi="Times New Roman" w:eastAsia="宋体" w:cs="宋体-PUA"/>
                      <w:b/>
                      <w:color w:val="FF0000"/>
                      <w:szCs w:val="21"/>
                      <w:shd w:val="clear" w:color="auto" w:fill="FFFFFF"/>
                    </w:rPr>
                  </w:pPr>
                </w:p>
              </w:tc>
            </w:tr>
            <w:tr w14:paraId="5A2FC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608697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9</w:t>
                  </w:r>
                </w:p>
              </w:tc>
              <w:tc>
                <w:tcPr>
                  <w:tcW w:w="1901" w:type="dxa"/>
                  <w:vAlign w:val="center"/>
                </w:tcPr>
                <w:p w14:paraId="5BC23DE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平台栏杆、烟囱</w:t>
                  </w:r>
                </w:p>
              </w:tc>
              <w:tc>
                <w:tcPr>
                  <w:tcW w:w="3463" w:type="dxa"/>
                  <w:vAlign w:val="center"/>
                </w:tcPr>
                <w:p w14:paraId="45CE0B6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防滑结构</w:t>
                  </w:r>
                </w:p>
              </w:tc>
              <w:tc>
                <w:tcPr>
                  <w:tcW w:w="672" w:type="dxa"/>
                  <w:vAlign w:val="center"/>
                </w:tcPr>
                <w:p w14:paraId="0C976C1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281B999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45E0BFED">
                  <w:pPr>
                    <w:jc w:val="center"/>
                    <w:rPr>
                      <w:rFonts w:ascii="Times New Roman" w:hAnsi="Times New Roman" w:eastAsia="宋体" w:cs="宋体-PUA"/>
                      <w:b/>
                      <w:color w:val="FF0000"/>
                      <w:szCs w:val="21"/>
                      <w:shd w:val="clear" w:color="auto" w:fill="FFFFFF"/>
                    </w:rPr>
                  </w:pPr>
                </w:p>
              </w:tc>
            </w:tr>
            <w:tr w14:paraId="4594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512287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10</w:t>
                  </w:r>
                </w:p>
              </w:tc>
              <w:tc>
                <w:tcPr>
                  <w:tcW w:w="1901" w:type="dxa"/>
                  <w:vAlign w:val="center"/>
                </w:tcPr>
                <w:p w14:paraId="54A776F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烟气温度检测</w:t>
                  </w:r>
                </w:p>
              </w:tc>
              <w:tc>
                <w:tcPr>
                  <w:tcW w:w="3463" w:type="dxa"/>
                  <w:vAlign w:val="center"/>
                </w:tcPr>
                <w:p w14:paraId="378C70E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除尘器进气口温度检测，高温切断燃烧器，低温报警，保护布袋</w:t>
                  </w:r>
                </w:p>
              </w:tc>
              <w:tc>
                <w:tcPr>
                  <w:tcW w:w="672" w:type="dxa"/>
                  <w:vAlign w:val="center"/>
                </w:tcPr>
                <w:p w14:paraId="21D3E8B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59949BE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352E2026">
                  <w:pPr>
                    <w:jc w:val="center"/>
                    <w:rPr>
                      <w:rFonts w:ascii="Times New Roman" w:hAnsi="Times New Roman" w:eastAsia="宋体" w:cs="宋体-PUA"/>
                      <w:b/>
                      <w:color w:val="FF0000"/>
                      <w:szCs w:val="21"/>
                      <w:shd w:val="clear" w:color="auto" w:fill="FFFFFF"/>
                    </w:rPr>
                  </w:pPr>
                </w:p>
              </w:tc>
            </w:tr>
            <w:tr w14:paraId="4277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D644CC1">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3.2</w:t>
                  </w:r>
                </w:p>
              </w:tc>
              <w:tc>
                <w:tcPr>
                  <w:tcW w:w="7224" w:type="dxa"/>
                  <w:gridSpan w:val="5"/>
                  <w:vAlign w:val="center"/>
                </w:tcPr>
                <w:p w14:paraId="6BE16F4A">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烟道及附件</w:t>
                  </w:r>
                </w:p>
              </w:tc>
            </w:tr>
            <w:tr w14:paraId="0C690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51D39F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7D46897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进、出口烟道</w:t>
                  </w:r>
                </w:p>
              </w:tc>
              <w:tc>
                <w:tcPr>
                  <w:tcW w:w="3463" w:type="dxa"/>
                  <w:vAlign w:val="center"/>
                </w:tcPr>
                <w:p w14:paraId="161432BC">
                  <w:pPr>
                    <w:jc w:val="center"/>
                    <w:rPr>
                      <w:rFonts w:ascii="Times New Roman" w:hAnsi="Times New Roman" w:eastAsia="宋体" w:cs="宋体-PUA"/>
                      <w:bCs/>
                      <w:szCs w:val="21"/>
                      <w:shd w:val="clear" w:color="auto" w:fill="FFFFFF"/>
                    </w:rPr>
                  </w:pPr>
                </w:p>
              </w:tc>
              <w:tc>
                <w:tcPr>
                  <w:tcW w:w="672" w:type="dxa"/>
                  <w:vAlign w:val="center"/>
                </w:tcPr>
                <w:p w14:paraId="1FEB190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192D283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746CC907">
                  <w:pPr>
                    <w:jc w:val="center"/>
                    <w:rPr>
                      <w:rFonts w:ascii="Times New Roman" w:hAnsi="Times New Roman" w:eastAsia="宋体" w:cs="宋体-PUA"/>
                      <w:b/>
                      <w:szCs w:val="21"/>
                      <w:shd w:val="clear" w:color="auto" w:fill="FFFFFF"/>
                    </w:rPr>
                  </w:pPr>
                </w:p>
              </w:tc>
            </w:tr>
            <w:tr w14:paraId="22CC2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411929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2132BA3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冷风阀</w:t>
                  </w:r>
                </w:p>
              </w:tc>
              <w:tc>
                <w:tcPr>
                  <w:tcW w:w="3463" w:type="dxa"/>
                  <w:vAlign w:val="center"/>
                </w:tcPr>
                <w:p w14:paraId="321EFC1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布袋高温保护</w:t>
                  </w:r>
                </w:p>
              </w:tc>
              <w:tc>
                <w:tcPr>
                  <w:tcW w:w="672" w:type="dxa"/>
                  <w:vAlign w:val="center"/>
                </w:tcPr>
                <w:p w14:paraId="69B9E0F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1AF818B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3AD89B57">
                  <w:pPr>
                    <w:jc w:val="center"/>
                    <w:rPr>
                      <w:rFonts w:ascii="Times New Roman" w:hAnsi="Times New Roman" w:eastAsia="宋体" w:cs="宋体-PUA"/>
                      <w:b/>
                      <w:szCs w:val="21"/>
                      <w:shd w:val="clear" w:color="auto" w:fill="FFFFFF"/>
                    </w:rPr>
                  </w:pPr>
                </w:p>
              </w:tc>
            </w:tr>
            <w:tr w14:paraId="69179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0DCC5BB2">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3.3</w:t>
                  </w:r>
                </w:p>
              </w:tc>
              <w:tc>
                <w:tcPr>
                  <w:tcW w:w="7224" w:type="dxa"/>
                  <w:gridSpan w:val="5"/>
                  <w:vAlign w:val="center"/>
                </w:tcPr>
                <w:p w14:paraId="73E66758">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风机</w:t>
                  </w:r>
                </w:p>
              </w:tc>
            </w:tr>
            <w:tr w14:paraId="4FAD2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9105FA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1432B1F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引风机</w:t>
                  </w:r>
                </w:p>
              </w:tc>
              <w:tc>
                <w:tcPr>
                  <w:tcW w:w="3463" w:type="dxa"/>
                  <w:vAlign w:val="center"/>
                </w:tcPr>
                <w:p w14:paraId="77E1DC7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color w:val="1C0CF2"/>
                      <w:szCs w:val="21"/>
                      <w:shd w:val="clear" w:color="auto" w:fill="FFFFFF"/>
                    </w:rPr>
                    <w:t>45000m</w:t>
                  </w:r>
                  <w:r>
                    <w:rPr>
                      <w:rFonts w:hint="eastAsia" w:ascii="Times New Roman" w:hAnsi="Times New Roman" w:eastAsia="宋体" w:cs="宋体-PUA"/>
                      <w:bCs/>
                      <w:color w:val="1C0CF2"/>
                      <w:szCs w:val="21"/>
                      <w:shd w:val="clear" w:color="auto" w:fill="FFFFFF"/>
                      <w:vertAlign w:val="superscript"/>
                    </w:rPr>
                    <w:t>3</w:t>
                  </w:r>
                  <w:r>
                    <w:rPr>
                      <w:rFonts w:hint="eastAsia" w:ascii="Times New Roman" w:hAnsi="Times New Roman" w:eastAsia="宋体" w:cs="宋体-PUA"/>
                      <w:bCs/>
                      <w:color w:val="1C0CF2"/>
                      <w:szCs w:val="21"/>
                      <w:shd w:val="clear" w:color="auto" w:fill="FFFFFF"/>
                    </w:rPr>
                    <w:t>/h</w:t>
                  </w:r>
                </w:p>
              </w:tc>
              <w:tc>
                <w:tcPr>
                  <w:tcW w:w="672" w:type="dxa"/>
                  <w:vAlign w:val="center"/>
                </w:tcPr>
                <w:p w14:paraId="2ED4BB7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3228C17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6091AD2B">
                  <w:pPr>
                    <w:jc w:val="center"/>
                    <w:rPr>
                      <w:rFonts w:ascii="Times New Roman" w:hAnsi="Times New Roman" w:eastAsia="宋体" w:cs="宋体-PUA"/>
                      <w:bCs/>
                      <w:color w:val="1C0CF2"/>
                      <w:szCs w:val="21"/>
                      <w:shd w:val="clear" w:color="auto" w:fill="FFFFFF"/>
                    </w:rPr>
                  </w:pPr>
                </w:p>
              </w:tc>
            </w:tr>
            <w:tr w14:paraId="41553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20041A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1EE3AF9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风机轴承</w:t>
                  </w:r>
                </w:p>
              </w:tc>
              <w:tc>
                <w:tcPr>
                  <w:tcW w:w="3463" w:type="dxa"/>
                  <w:vAlign w:val="center"/>
                </w:tcPr>
                <w:p w14:paraId="1FD2DF83">
                  <w:pPr>
                    <w:jc w:val="center"/>
                    <w:rPr>
                      <w:rFonts w:ascii="Times New Roman" w:hAnsi="Times New Roman" w:eastAsia="宋体" w:cs="宋体-PUA"/>
                      <w:bCs/>
                      <w:szCs w:val="21"/>
                      <w:shd w:val="clear" w:color="auto" w:fill="FFFFFF"/>
                    </w:rPr>
                  </w:pPr>
                </w:p>
              </w:tc>
              <w:tc>
                <w:tcPr>
                  <w:tcW w:w="672" w:type="dxa"/>
                  <w:vAlign w:val="center"/>
                </w:tcPr>
                <w:p w14:paraId="77D560E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4FF3869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4C7F0E52">
                  <w:pPr>
                    <w:jc w:val="center"/>
                    <w:rPr>
                      <w:rFonts w:ascii="Times New Roman" w:hAnsi="Times New Roman" w:eastAsia="宋体" w:cs="宋体-PUA"/>
                      <w:bCs/>
                      <w:szCs w:val="21"/>
                      <w:shd w:val="clear" w:color="auto" w:fill="FFFFFF"/>
                    </w:rPr>
                  </w:pPr>
                </w:p>
              </w:tc>
            </w:tr>
            <w:tr w14:paraId="087F9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CB3511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901" w:type="dxa"/>
                  <w:vAlign w:val="center"/>
                </w:tcPr>
                <w:p w14:paraId="063BCFB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引风机安全开关</w:t>
                  </w:r>
                </w:p>
              </w:tc>
              <w:tc>
                <w:tcPr>
                  <w:tcW w:w="3463" w:type="dxa"/>
                  <w:vAlign w:val="center"/>
                </w:tcPr>
                <w:p w14:paraId="3F9C0422">
                  <w:pPr>
                    <w:jc w:val="center"/>
                    <w:rPr>
                      <w:rFonts w:ascii="Times New Roman" w:hAnsi="Times New Roman" w:eastAsia="宋体" w:cs="宋体-PUA"/>
                      <w:bCs/>
                      <w:szCs w:val="21"/>
                      <w:shd w:val="clear" w:color="auto" w:fill="FFFFFF"/>
                    </w:rPr>
                  </w:pPr>
                </w:p>
              </w:tc>
              <w:tc>
                <w:tcPr>
                  <w:tcW w:w="672" w:type="dxa"/>
                  <w:vAlign w:val="center"/>
                </w:tcPr>
                <w:p w14:paraId="5F575AB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35406B4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035FAD14">
                  <w:pPr>
                    <w:jc w:val="center"/>
                    <w:rPr>
                      <w:rFonts w:ascii="Times New Roman" w:hAnsi="Times New Roman" w:eastAsia="宋体" w:cs="宋体-PUA"/>
                      <w:bCs/>
                      <w:szCs w:val="21"/>
                      <w:shd w:val="clear" w:color="auto" w:fill="FFFFFF"/>
                    </w:rPr>
                  </w:pPr>
                </w:p>
              </w:tc>
            </w:tr>
            <w:tr w14:paraId="33E4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214BBC3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w:t>
                  </w:r>
                </w:p>
              </w:tc>
              <w:tc>
                <w:tcPr>
                  <w:tcW w:w="1901" w:type="dxa"/>
                  <w:vAlign w:val="center"/>
                </w:tcPr>
                <w:p w14:paraId="71818FA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电动机</w:t>
                  </w:r>
                </w:p>
              </w:tc>
              <w:tc>
                <w:tcPr>
                  <w:tcW w:w="3463" w:type="dxa"/>
                  <w:vAlign w:val="center"/>
                </w:tcPr>
                <w:p w14:paraId="1271FB6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160kw</w:t>
                  </w:r>
                </w:p>
              </w:tc>
              <w:tc>
                <w:tcPr>
                  <w:tcW w:w="672" w:type="dxa"/>
                  <w:vAlign w:val="center"/>
                </w:tcPr>
                <w:p w14:paraId="39C6553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08BF0A2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23F61DDE">
                  <w:pPr>
                    <w:jc w:val="center"/>
                    <w:rPr>
                      <w:rFonts w:ascii="Times New Roman" w:hAnsi="Times New Roman" w:eastAsia="宋体" w:cs="宋体-PUA"/>
                      <w:bCs/>
                      <w:szCs w:val="21"/>
                      <w:shd w:val="clear" w:color="auto" w:fill="FFFFFF"/>
                    </w:rPr>
                  </w:pPr>
                </w:p>
              </w:tc>
            </w:tr>
            <w:tr w14:paraId="3E537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1" w:type="dxa"/>
                  <w:gridSpan w:val="6"/>
                  <w:vAlign w:val="center"/>
                </w:tcPr>
                <w:p w14:paraId="60F551E4">
                  <w:pPr>
                    <w:jc w:val="center"/>
                    <w:rPr>
                      <w:rFonts w:ascii="Times New Roman" w:hAnsi="Times New Roman" w:eastAsia="宋体" w:cs="宋体-PUA"/>
                      <w:bCs/>
                      <w:color w:val="1C0CF2"/>
                      <w:szCs w:val="21"/>
                      <w:shd w:val="clear" w:color="auto" w:fill="FFFFFF"/>
                    </w:rPr>
                  </w:pPr>
                  <w:r>
                    <w:rPr>
                      <w:rFonts w:hint="eastAsia" w:ascii="Times New Roman" w:hAnsi="Times New Roman" w:eastAsia="宋体" w:cs="宋体-PUA"/>
                      <w:b/>
                      <w:szCs w:val="21"/>
                      <w:shd w:val="clear" w:color="auto" w:fill="FFFFFF"/>
                    </w:rPr>
                    <w:t>四、粉料供给系统</w:t>
                  </w:r>
                </w:p>
              </w:tc>
            </w:tr>
            <w:tr w14:paraId="7C71F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22451E68">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4.1</w:t>
                  </w:r>
                </w:p>
              </w:tc>
              <w:tc>
                <w:tcPr>
                  <w:tcW w:w="7224" w:type="dxa"/>
                  <w:gridSpan w:val="5"/>
                  <w:vAlign w:val="center"/>
                </w:tcPr>
                <w:p w14:paraId="50AC48CF">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罐体</w:t>
                  </w:r>
                </w:p>
              </w:tc>
            </w:tr>
            <w:tr w14:paraId="62B0C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BF26E6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5E828D2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单体双层罐体</w:t>
                  </w:r>
                </w:p>
              </w:tc>
              <w:tc>
                <w:tcPr>
                  <w:tcW w:w="3463" w:type="dxa"/>
                  <w:vAlign w:val="center"/>
                </w:tcPr>
                <w:p w14:paraId="516F122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上仓矿粉仓70m</w:t>
                  </w:r>
                  <w:r>
                    <w:rPr>
                      <w:rFonts w:hint="eastAsia" w:ascii="Times New Roman" w:hAnsi="Times New Roman" w:eastAsia="宋体" w:cs="宋体-PUA"/>
                      <w:bCs/>
                      <w:szCs w:val="21"/>
                      <w:shd w:val="clear" w:color="auto" w:fill="FFFFFF"/>
                      <w:vertAlign w:val="superscript"/>
                    </w:rPr>
                    <w:t>3</w:t>
                  </w:r>
                  <w:r>
                    <w:rPr>
                      <w:rFonts w:hint="eastAsia" w:ascii="Times New Roman" w:hAnsi="Times New Roman" w:eastAsia="宋体" w:cs="宋体-PUA"/>
                      <w:bCs/>
                      <w:szCs w:val="21"/>
                      <w:shd w:val="clear" w:color="auto" w:fill="FFFFFF"/>
                    </w:rPr>
                    <w:t>，下仓回收粉仓30m</w:t>
                  </w:r>
                  <w:r>
                    <w:rPr>
                      <w:rFonts w:hint="eastAsia" w:ascii="Times New Roman" w:hAnsi="Times New Roman" w:eastAsia="宋体" w:cs="宋体-PUA"/>
                      <w:bCs/>
                      <w:szCs w:val="21"/>
                      <w:shd w:val="clear" w:color="auto" w:fill="FFFFFF"/>
                      <w:vertAlign w:val="superscript"/>
                    </w:rPr>
                    <w:t>3</w:t>
                  </w:r>
                </w:p>
              </w:tc>
              <w:tc>
                <w:tcPr>
                  <w:tcW w:w="672" w:type="dxa"/>
                  <w:vAlign w:val="center"/>
                </w:tcPr>
                <w:p w14:paraId="2D181FF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118FDAC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56C87156">
                  <w:pPr>
                    <w:jc w:val="center"/>
                    <w:rPr>
                      <w:rFonts w:ascii="Times New Roman" w:hAnsi="Times New Roman" w:eastAsia="宋体" w:cs="宋体-PUA"/>
                      <w:bCs/>
                      <w:szCs w:val="21"/>
                      <w:shd w:val="clear" w:color="auto" w:fill="FFFFFF"/>
                    </w:rPr>
                  </w:pPr>
                </w:p>
              </w:tc>
            </w:tr>
            <w:tr w14:paraId="2A02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387765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6ED33BD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单体罐</w:t>
                  </w:r>
                </w:p>
              </w:tc>
              <w:tc>
                <w:tcPr>
                  <w:tcW w:w="3463" w:type="dxa"/>
                  <w:vAlign w:val="center"/>
                </w:tcPr>
                <w:p w14:paraId="38ABCAA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80t</w:t>
                  </w:r>
                </w:p>
              </w:tc>
              <w:tc>
                <w:tcPr>
                  <w:tcW w:w="672" w:type="dxa"/>
                  <w:vAlign w:val="center"/>
                </w:tcPr>
                <w:p w14:paraId="318B166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3FE7592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个</w:t>
                  </w:r>
                </w:p>
              </w:tc>
              <w:tc>
                <w:tcPr>
                  <w:tcW w:w="504" w:type="dxa"/>
                  <w:vAlign w:val="center"/>
                </w:tcPr>
                <w:p w14:paraId="295481BE">
                  <w:pPr>
                    <w:jc w:val="center"/>
                    <w:rPr>
                      <w:rFonts w:ascii="Times New Roman" w:hAnsi="Times New Roman" w:eastAsia="宋体" w:cs="宋体-PUA"/>
                      <w:bCs/>
                      <w:szCs w:val="21"/>
                      <w:shd w:val="clear" w:color="auto" w:fill="FFFFFF"/>
                    </w:rPr>
                  </w:pPr>
                </w:p>
              </w:tc>
            </w:tr>
            <w:tr w14:paraId="61E53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2D02105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901" w:type="dxa"/>
                  <w:vAlign w:val="center"/>
                </w:tcPr>
                <w:p w14:paraId="433A1AC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矿粉罐料位计</w:t>
                  </w:r>
                </w:p>
              </w:tc>
              <w:tc>
                <w:tcPr>
                  <w:tcW w:w="3463" w:type="dxa"/>
                  <w:vAlign w:val="center"/>
                </w:tcPr>
                <w:p w14:paraId="2721DBB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阻旋式上下料位计</w:t>
                  </w:r>
                </w:p>
              </w:tc>
              <w:tc>
                <w:tcPr>
                  <w:tcW w:w="672" w:type="dxa"/>
                  <w:vAlign w:val="center"/>
                </w:tcPr>
                <w:p w14:paraId="58F8029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684" w:type="dxa"/>
                  <w:vAlign w:val="center"/>
                </w:tcPr>
                <w:p w14:paraId="3D88D47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个</w:t>
                  </w:r>
                </w:p>
              </w:tc>
              <w:tc>
                <w:tcPr>
                  <w:tcW w:w="504" w:type="dxa"/>
                  <w:vAlign w:val="center"/>
                </w:tcPr>
                <w:p w14:paraId="454ACE9D">
                  <w:pPr>
                    <w:jc w:val="center"/>
                    <w:rPr>
                      <w:rFonts w:ascii="Times New Roman" w:hAnsi="Times New Roman" w:eastAsia="宋体" w:cs="宋体-PUA"/>
                      <w:bCs/>
                      <w:szCs w:val="21"/>
                      <w:shd w:val="clear" w:color="auto" w:fill="FFFFFF"/>
                    </w:rPr>
                  </w:pPr>
                </w:p>
              </w:tc>
            </w:tr>
            <w:tr w14:paraId="2D2B4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143436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w:t>
                  </w:r>
                </w:p>
              </w:tc>
              <w:tc>
                <w:tcPr>
                  <w:tcW w:w="1901" w:type="dxa"/>
                  <w:vAlign w:val="center"/>
                </w:tcPr>
                <w:p w14:paraId="7C7C90B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回粉罐料位计</w:t>
                  </w:r>
                </w:p>
              </w:tc>
              <w:tc>
                <w:tcPr>
                  <w:tcW w:w="3463" w:type="dxa"/>
                  <w:vAlign w:val="center"/>
                </w:tcPr>
                <w:p w14:paraId="51C8AA5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阻旋式上下料位计</w:t>
                  </w:r>
                </w:p>
              </w:tc>
              <w:tc>
                <w:tcPr>
                  <w:tcW w:w="672" w:type="dxa"/>
                  <w:vAlign w:val="center"/>
                </w:tcPr>
                <w:p w14:paraId="1A3B171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684" w:type="dxa"/>
                  <w:vAlign w:val="center"/>
                </w:tcPr>
                <w:p w14:paraId="67F14DC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个</w:t>
                  </w:r>
                </w:p>
              </w:tc>
              <w:tc>
                <w:tcPr>
                  <w:tcW w:w="504" w:type="dxa"/>
                  <w:vAlign w:val="center"/>
                </w:tcPr>
                <w:p w14:paraId="2F42B51F">
                  <w:pPr>
                    <w:jc w:val="center"/>
                    <w:rPr>
                      <w:rFonts w:ascii="Times New Roman" w:hAnsi="Times New Roman" w:eastAsia="宋体" w:cs="宋体-PUA"/>
                      <w:bCs/>
                      <w:szCs w:val="21"/>
                      <w:shd w:val="clear" w:color="auto" w:fill="FFFFFF"/>
                    </w:rPr>
                  </w:pPr>
                </w:p>
              </w:tc>
            </w:tr>
            <w:tr w14:paraId="493F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018CDA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w:t>
                  </w:r>
                </w:p>
              </w:tc>
              <w:tc>
                <w:tcPr>
                  <w:tcW w:w="1901" w:type="dxa"/>
                  <w:vAlign w:val="center"/>
                </w:tcPr>
                <w:p w14:paraId="0297454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振动式仓顶收尘</w:t>
                  </w:r>
                  <w:r>
                    <w:rPr>
                      <w:rFonts w:hint="eastAsia" w:ascii="Times New Roman" w:hAnsi="Times New Roman" w:eastAsia="宋体" w:cs="宋体-PUA"/>
                      <w:bCs/>
                      <w:szCs w:val="21"/>
                      <w:shd w:val="clear" w:color="FFFFFF" w:fill="D9D9D9"/>
                    </w:rPr>
                    <w:t>机</w:t>
                  </w:r>
                </w:p>
              </w:tc>
              <w:tc>
                <w:tcPr>
                  <w:tcW w:w="3463" w:type="dxa"/>
                  <w:vAlign w:val="center"/>
                </w:tcPr>
                <w:p w14:paraId="004AAB1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0.18kw</w:t>
                  </w:r>
                </w:p>
              </w:tc>
              <w:tc>
                <w:tcPr>
                  <w:tcW w:w="672" w:type="dxa"/>
                  <w:vAlign w:val="center"/>
                </w:tcPr>
                <w:p w14:paraId="4B91439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1EDB640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61991823">
                  <w:pPr>
                    <w:jc w:val="center"/>
                    <w:rPr>
                      <w:rFonts w:ascii="Times New Roman" w:hAnsi="Times New Roman" w:eastAsia="宋体" w:cs="宋体-PUA"/>
                      <w:bCs/>
                      <w:szCs w:val="21"/>
                      <w:shd w:val="clear" w:color="auto" w:fill="FFFFFF"/>
                    </w:rPr>
                  </w:pPr>
                </w:p>
              </w:tc>
            </w:tr>
            <w:tr w14:paraId="4D09E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4A8B5C9">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4.2</w:t>
                  </w:r>
                </w:p>
              </w:tc>
              <w:tc>
                <w:tcPr>
                  <w:tcW w:w="7224" w:type="dxa"/>
                  <w:gridSpan w:val="5"/>
                  <w:vAlign w:val="center"/>
                </w:tcPr>
                <w:p w14:paraId="4752C2DA">
                  <w:pPr>
                    <w:jc w:val="center"/>
                    <w:rPr>
                      <w:rFonts w:ascii="Times New Roman" w:hAnsi="Times New Roman" w:eastAsia="宋体" w:cs="宋体-PUA"/>
                      <w:bCs/>
                      <w:szCs w:val="21"/>
                      <w:shd w:val="clear" w:color="auto" w:fill="FFFFFF"/>
                    </w:rPr>
                  </w:pPr>
                  <w:r>
                    <w:rPr>
                      <w:rFonts w:hint="eastAsia" w:ascii="Times New Roman" w:hAnsi="Times New Roman" w:eastAsia="宋体" w:cs="宋体-PUA"/>
                      <w:b/>
                      <w:szCs w:val="21"/>
                      <w:shd w:val="clear" w:color="auto" w:fill="FFFFFF"/>
                    </w:rPr>
                    <w:t>粉料供给系统附件</w:t>
                  </w:r>
                </w:p>
              </w:tc>
            </w:tr>
            <w:tr w14:paraId="42EA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125897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6818553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罐连接平台等接口</w:t>
                  </w:r>
                </w:p>
              </w:tc>
              <w:tc>
                <w:tcPr>
                  <w:tcW w:w="3463" w:type="dxa"/>
                  <w:vAlign w:val="center"/>
                </w:tcPr>
                <w:p w14:paraId="088A8397">
                  <w:pPr>
                    <w:jc w:val="center"/>
                    <w:rPr>
                      <w:rFonts w:ascii="Times New Roman" w:hAnsi="Times New Roman" w:eastAsia="宋体" w:cs="宋体-PUA"/>
                      <w:bCs/>
                      <w:szCs w:val="21"/>
                      <w:shd w:val="clear" w:color="auto" w:fill="FFFFFF"/>
                    </w:rPr>
                  </w:pPr>
                </w:p>
              </w:tc>
              <w:tc>
                <w:tcPr>
                  <w:tcW w:w="672" w:type="dxa"/>
                  <w:vAlign w:val="center"/>
                </w:tcPr>
                <w:p w14:paraId="44E6F27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6AF0014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146D5F3A">
                  <w:pPr>
                    <w:jc w:val="center"/>
                    <w:rPr>
                      <w:rFonts w:ascii="Times New Roman" w:hAnsi="Times New Roman" w:eastAsia="宋体" w:cs="宋体-PUA"/>
                      <w:bCs/>
                      <w:szCs w:val="21"/>
                      <w:shd w:val="clear" w:color="auto" w:fill="FFFFFF"/>
                    </w:rPr>
                  </w:pPr>
                </w:p>
              </w:tc>
            </w:tr>
            <w:tr w14:paraId="5A418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C598E2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22AF12C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回收粉提升螺旋</w:t>
                  </w:r>
                </w:p>
              </w:tc>
              <w:tc>
                <w:tcPr>
                  <w:tcW w:w="3463" w:type="dxa"/>
                  <w:vAlign w:val="center"/>
                </w:tcPr>
                <w:p w14:paraId="3171623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5.5kw，Φ273</w:t>
                  </w:r>
                </w:p>
              </w:tc>
              <w:tc>
                <w:tcPr>
                  <w:tcW w:w="672" w:type="dxa"/>
                  <w:vAlign w:val="center"/>
                </w:tcPr>
                <w:p w14:paraId="65D1E21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3FDAC3A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46919658">
                  <w:pPr>
                    <w:jc w:val="center"/>
                    <w:rPr>
                      <w:rFonts w:ascii="Times New Roman" w:hAnsi="Times New Roman" w:eastAsia="宋体" w:cs="宋体-PUA"/>
                      <w:bCs/>
                      <w:szCs w:val="21"/>
                      <w:shd w:val="clear" w:color="auto" w:fill="FFFFFF"/>
                    </w:rPr>
                  </w:pPr>
                </w:p>
              </w:tc>
            </w:tr>
            <w:tr w14:paraId="7E97C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EEFC2C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901" w:type="dxa"/>
                  <w:vAlign w:val="center"/>
                </w:tcPr>
                <w:p w14:paraId="6F101C2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叶轮给料器</w:t>
                  </w:r>
                </w:p>
              </w:tc>
              <w:tc>
                <w:tcPr>
                  <w:tcW w:w="3463" w:type="dxa"/>
                  <w:vAlign w:val="center"/>
                </w:tcPr>
                <w:p w14:paraId="5815693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1.5kw</w:t>
                  </w:r>
                </w:p>
              </w:tc>
              <w:tc>
                <w:tcPr>
                  <w:tcW w:w="672" w:type="dxa"/>
                  <w:vAlign w:val="center"/>
                </w:tcPr>
                <w:p w14:paraId="4872943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6EABBF2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4DD1A445">
                  <w:pPr>
                    <w:jc w:val="center"/>
                    <w:rPr>
                      <w:rFonts w:ascii="Times New Roman" w:hAnsi="Times New Roman" w:eastAsia="宋体" w:cs="宋体-PUA"/>
                      <w:bCs/>
                      <w:szCs w:val="21"/>
                      <w:shd w:val="clear" w:color="auto" w:fill="FFFFFF"/>
                    </w:rPr>
                  </w:pPr>
                </w:p>
              </w:tc>
            </w:tr>
            <w:tr w14:paraId="25A5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FE8444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w:t>
                  </w:r>
                </w:p>
              </w:tc>
              <w:tc>
                <w:tcPr>
                  <w:tcW w:w="1901" w:type="dxa"/>
                  <w:vAlign w:val="center"/>
                </w:tcPr>
                <w:p w14:paraId="2C8FA25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矿粉进秤螺旋</w:t>
                  </w:r>
                </w:p>
              </w:tc>
              <w:tc>
                <w:tcPr>
                  <w:tcW w:w="3463" w:type="dxa"/>
                  <w:vAlign w:val="center"/>
                </w:tcPr>
                <w:p w14:paraId="1D54DCC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11kw，Φ325</w:t>
                  </w:r>
                </w:p>
              </w:tc>
              <w:tc>
                <w:tcPr>
                  <w:tcW w:w="672" w:type="dxa"/>
                  <w:vAlign w:val="center"/>
                </w:tcPr>
                <w:p w14:paraId="5BA7401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3A53C01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39FC7870">
                  <w:pPr>
                    <w:jc w:val="center"/>
                    <w:rPr>
                      <w:rFonts w:ascii="Times New Roman" w:hAnsi="Times New Roman" w:eastAsia="宋体" w:cs="宋体-PUA"/>
                      <w:bCs/>
                      <w:szCs w:val="21"/>
                      <w:shd w:val="clear" w:color="auto" w:fill="FFFFFF"/>
                    </w:rPr>
                  </w:pPr>
                </w:p>
              </w:tc>
            </w:tr>
            <w:tr w14:paraId="08417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C6A59B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w:t>
                  </w:r>
                </w:p>
              </w:tc>
              <w:tc>
                <w:tcPr>
                  <w:tcW w:w="1901" w:type="dxa"/>
                  <w:vAlign w:val="center"/>
                </w:tcPr>
                <w:p w14:paraId="2701B8B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粉料破拱</w:t>
                  </w:r>
                </w:p>
              </w:tc>
              <w:tc>
                <w:tcPr>
                  <w:tcW w:w="3463" w:type="dxa"/>
                  <w:vAlign w:val="center"/>
                </w:tcPr>
                <w:p w14:paraId="08185DDD">
                  <w:pPr>
                    <w:jc w:val="center"/>
                    <w:rPr>
                      <w:rFonts w:ascii="Times New Roman" w:hAnsi="Times New Roman" w:eastAsia="宋体" w:cs="宋体-PUA"/>
                      <w:bCs/>
                      <w:szCs w:val="21"/>
                      <w:shd w:val="clear" w:color="auto" w:fill="FFFFFF"/>
                    </w:rPr>
                  </w:pPr>
                </w:p>
              </w:tc>
              <w:tc>
                <w:tcPr>
                  <w:tcW w:w="672" w:type="dxa"/>
                  <w:vAlign w:val="center"/>
                </w:tcPr>
                <w:p w14:paraId="29D593C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684" w:type="dxa"/>
                  <w:vAlign w:val="center"/>
                </w:tcPr>
                <w:p w14:paraId="0193A88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18B58F26">
                  <w:pPr>
                    <w:jc w:val="center"/>
                    <w:rPr>
                      <w:rFonts w:ascii="Times New Roman" w:hAnsi="Times New Roman" w:eastAsia="宋体" w:cs="宋体-PUA"/>
                      <w:bCs/>
                      <w:szCs w:val="21"/>
                      <w:shd w:val="clear" w:color="auto" w:fill="FFFFFF"/>
                    </w:rPr>
                  </w:pPr>
                </w:p>
              </w:tc>
            </w:tr>
            <w:tr w14:paraId="5DE05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1" w:type="dxa"/>
                  <w:gridSpan w:val="6"/>
                  <w:vAlign w:val="center"/>
                </w:tcPr>
                <w:p w14:paraId="526DEB15">
                  <w:pPr>
                    <w:jc w:val="center"/>
                    <w:rPr>
                      <w:rFonts w:ascii="Times New Roman" w:hAnsi="Times New Roman" w:eastAsia="宋体" w:cs="宋体-PUA"/>
                      <w:bCs/>
                      <w:szCs w:val="21"/>
                      <w:shd w:val="clear" w:color="auto" w:fill="FFFFFF"/>
                    </w:rPr>
                  </w:pPr>
                  <w:r>
                    <w:rPr>
                      <w:rFonts w:hint="eastAsia" w:ascii="Times New Roman" w:hAnsi="Times New Roman" w:eastAsia="宋体" w:cs="宋体-PUA"/>
                      <w:b/>
                      <w:szCs w:val="21"/>
                      <w:shd w:val="clear" w:color="auto" w:fill="FFFFFF"/>
                    </w:rPr>
                    <w:t>五、搅拌主楼</w:t>
                  </w:r>
                </w:p>
              </w:tc>
            </w:tr>
            <w:tr w14:paraId="3995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036B452F">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5.1</w:t>
                  </w:r>
                </w:p>
              </w:tc>
              <w:tc>
                <w:tcPr>
                  <w:tcW w:w="7224" w:type="dxa"/>
                  <w:gridSpan w:val="5"/>
                  <w:vAlign w:val="center"/>
                </w:tcPr>
                <w:p w14:paraId="4549C19D">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骨料提升机</w:t>
                  </w:r>
                </w:p>
              </w:tc>
            </w:tr>
            <w:tr w14:paraId="501E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70DABE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22892BA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提升机</w:t>
                  </w:r>
                </w:p>
              </w:tc>
              <w:tc>
                <w:tcPr>
                  <w:tcW w:w="3463" w:type="dxa"/>
                  <w:vAlign w:val="center"/>
                </w:tcPr>
                <w:p w14:paraId="035C012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高耐磨板链</w:t>
                  </w:r>
                </w:p>
              </w:tc>
              <w:tc>
                <w:tcPr>
                  <w:tcW w:w="672" w:type="dxa"/>
                  <w:vAlign w:val="center"/>
                </w:tcPr>
                <w:p w14:paraId="7BA609F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2BD8404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2227135A">
                  <w:pPr>
                    <w:jc w:val="center"/>
                    <w:rPr>
                      <w:rFonts w:ascii="Times New Roman" w:hAnsi="Times New Roman" w:eastAsia="宋体" w:cs="宋体-PUA"/>
                      <w:bCs/>
                      <w:szCs w:val="21"/>
                      <w:shd w:val="clear" w:color="auto" w:fill="FFFFFF"/>
                    </w:rPr>
                  </w:pPr>
                </w:p>
              </w:tc>
            </w:tr>
            <w:tr w14:paraId="5F6D5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0C73DF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66A1E7B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电机减速器</w:t>
                  </w:r>
                </w:p>
              </w:tc>
              <w:tc>
                <w:tcPr>
                  <w:tcW w:w="3463" w:type="dxa"/>
                  <w:vAlign w:val="center"/>
                </w:tcPr>
                <w:p w14:paraId="6C43BC1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直联式减速电机45kw</w:t>
                  </w:r>
                </w:p>
              </w:tc>
              <w:tc>
                <w:tcPr>
                  <w:tcW w:w="672" w:type="dxa"/>
                  <w:vAlign w:val="center"/>
                </w:tcPr>
                <w:p w14:paraId="7D9378F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1D93DDE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4CB5398A">
                  <w:pPr>
                    <w:jc w:val="center"/>
                    <w:rPr>
                      <w:rFonts w:ascii="Times New Roman" w:hAnsi="Times New Roman" w:eastAsia="宋体" w:cs="宋体-PUA"/>
                      <w:bCs/>
                      <w:szCs w:val="21"/>
                      <w:shd w:val="clear" w:color="auto" w:fill="FFFFFF"/>
                    </w:rPr>
                  </w:pPr>
                </w:p>
              </w:tc>
            </w:tr>
            <w:tr w14:paraId="5F7FE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002FE6F3">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5.2</w:t>
                  </w:r>
                </w:p>
              </w:tc>
              <w:tc>
                <w:tcPr>
                  <w:tcW w:w="7224" w:type="dxa"/>
                  <w:gridSpan w:val="5"/>
                  <w:vAlign w:val="center"/>
                </w:tcPr>
                <w:p w14:paraId="48BB9640">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回粉提升机</w:t>
                  </w:r>
                  <w:r>
                    <w:rPr>
                      <w:rFonts w:hint="eastAsia" w:ascii="Times New Roman" w:hAnsi="Times New Roman" w:eastAsia="宋体" w:cs="宋体-PUA"/>
                      <w:bCs/>
                      <w:szCs w:val="21"/>
                      <w:shd w:val="clear" w:color="FFFFFF" w:fill="D9D9D9"/>
                    </w:rPr>
                    <w:t>32t/h</w:t>
                  </w:r>
                </w:p>
              </w:tc>
            </w:tr>
            <w:tr w14:paraId="1980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80A3C2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4BB35B5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提升机</w:t>
                  </w:r>
                </w:p>
              </w:tc>
              <w:tc>
                <w:tcPr>
                  <w:tcW w:w="3463" w:type="dxa"/>
                  <w:vAlign w:val="center"/>
                </w:tcPr>
                <w:p w14:paraId="3AC4265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高耐磨板链</w:t>
                  </w:r>
                </w:p>
              </w:tc>
              <w:tc>
                <w:tcPr>
                  <w:tcW w:w="672" w:type="dxa"/>
                  <w:vAlign w:val="center"/>
                </w:tcPr>
                <w:p w14:paraId="1200D77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4556B89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2AF52458">
                  <w:pPr>
                    <w:jc w:val="center"/>
                    <w:rPr>
                      <w:rFonts w:ascii="Times New Roman" w:hAnsi="Times New Roman" w:eastAsia="宋体" w:cs="宋体-PUA"/>
                      <w:bCs/>
                      <w:szCs w:val="21"/>
                      <w:shd w:val="clear" w:color="auto" w:fill="FFFFFF"/>
                    </w:rPr>
                  </w:pPr>
                </w:p>
              </w:tc>
            </w:tr>
            <w:tr w14:paraId="2CB2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631E3EB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1A58806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电机减速器</w:t>
                  </w:r>
                </w:p>
              </w:tc>
              <w:tc>
                <w:tcPr>
                  <w:tcW w:w="3463" w:type="dxa"/>
                  <w:vAlign w:val="center"/>
                </w:tcPr>
                <w:p w14:paraId="50435A7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直联式减速电机7.5kw</w:t>
                  </w:r>
                </w:p>
              </w:tc>
              <w:tc>
                <w:tcPr>
                  <w:tcW w:w="672" w:type="dxa"/>
                  <w:vAlign w:val="center"/>
                </w:tcPr>
                <w:p w14:paraId="42F2800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6C25EBC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05D3E2DB">
                  <w:pPr>
                    <w:jc w:val="center"/>
                    <w:rPr>
                      <w:rFonts w:ascii="Times New Roman" w:hAnsi="Times New Roman" w:eastAsia="宋体" w:cs="宋体-PUA"/>
                      <w:bCs/>
                      <w:szCs w:val="21"/>
                      <w:shd w:val="clear" w:color="auto" w:fill="FFFFFF"/>
                    </w:rPr>
                  </w:pPr>
                </w:p>
              </w:tc>
            </w:tr>
            <w:tr w14:paraId="01C9C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A04FF87">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5.3</w:t>
                  </w:r>
                </w:p>
              </w:tc>
              <w:tc>
                <w:tcPr>
                  <w:tcW w:w="7224" w:type="dxa"/>
                  <w:gridSpan w:val="5"/>
                  <w:vAlign w:val="center"/>
                </w:tcPr>
                <w:p w14:paraId="0CCBCED0">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振动筛(340t/h)</w:t>
                  </w:r>
                </w:p>
              </w:tc>
            </w:tr>
            <w:tr w14:paraId="3ACF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45259D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564E411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筛体</w:t>
                  </w:r>
                </w:p>
              </w:tc>
              <w:tc>
                <w:tcPr>
                  <w:tcW w:w="3463" w:type="dxa"/>
                  <w:vAlign w:val="center"/>
                </w:tcPr>
                <w:p w14:paraId="1322E22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6层，筛分面积58m</w:t>
                  </w:r>
                  <w:r>
                    <w:rPr>
                      <w:rFonts w:hint="eastAsia" w:ascii="Times New Roman" w:hAnsi="Times New Roman" w:eastAsia="宋体" w:cs="宋体-PUA"/>
                      <w:bCs/>
                      <w:szCs w:val="21"/>
                      <w:shd w:val="clear" w:color="auto" w:fill="FFFFFF"/>
                      <w:vertAlign w:val="superscript"/>
                    </w:rPr>
                    <w:t>2</w:t>
                  </w:r>
                  <w:r>
                    <w:rPr>
                      <w:rFonts w:hint="eastAsia" w:ascii="Times New Roman" w:hAnsi="Times New Roman" w:eastAsia="宋体" w:cs="宋体-PUA"/>
                      <w:bCs/>
                      <w:szCs w:val="21"/>
                      <w:shd w:val="clear" w:color="auto" w:fill="FFFFFF"/>
                    </w:rPr>
                    <w:t>，振幅5-7mm，筛分效率≥95%，且混仓率≤10%</w:t>
                  </w:r>
                </w:p>
              </w:tc>
              <w:tc>
                <w:tcPr>
                  <w:tcW w:w="672" w:type="dxa"/>
                  <w:vAlign w:val="center"/>
                </w:tcPr>
                <w:p w14:paraId="3C499AE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6EC8490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14A5E1AB">
                  <w:pPr>
                    <w:jc w:val="center"/>
                    <w:rPr>
                      <w:rFonts w:ascii="Times New Roman" w:hAnsi="Times New Roman" w:eastAsia="宋体" w:cs="宋体-PUA"/>
                      <w:bCs/>
                      <w:szCs w:val="21"/>
                      <w:shd w:val="clear" w:color="auto" w:fill="FFFFFF"/>
                    </w:rPr>
                  </w:pPr>
                </w:p>
              </w:tc>
            </w:tr>
            <w:tr w14:paraId="6876C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45AD3A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1B7679B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振动电机</w:t>
                  </w:r>
                </w:p>
              </w:tc>
              <w:tc>
                <w:tcPr>
                  <w:tcW w:w="3463" w:type="dxa"/>
                  <w:vAlign w:val="center"/>
                </w:tcPr>
                <w:p w14:paraId="2B286FB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11kw</w:t>
                  </w:r>
                </w:p>
              </w:tc>
              <w:tc>
                <w:tcPr>
                  <w:tcW w:w="672" w:type="dxa"/>
                  <w:vAlign w:val="center"/>
                </w:tcPr>
                <w:p w14:paraId="4951D01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684" w:type="dxa"/>
                  <w:vAlign w:val="center"/>
                </w:tcPr>
                <w:p w14:paraId="62A7CBD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5A4371EF">
                  <w:pPr>
                    <w:jc w:val="center"/>
                    <w:rPr>
                      <w:rFonts w:ascii="Times New Roman" w:hAnsi="Times New Roman" w:eastAsia="宋体" w:cs="宋体-PUA"/>
                      <w:bCs/>
                      <w:szCs w:val="21"/>
                      <w:shd w:val="clear" w:color="auto" w:fill="FFFFFF"/>
                    </w:rPr>
                  </w:pPr>
                </w:p>
              </w:tc>
            </w:tr>
            <w:tr w14:paraId="30FD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01FC78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901" w:type="dxa"/>
                  <w:vAlign w:val="center"/>
                </w:tcPr>
                <w:p w14:paraId="4E361F3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筛网</w:t>
                  </w:r>
                </w:p>
              </w:tc>
              <w:tc>
                <w:tcPr>
                  <w:tcW w:w="3463" w:type="dxa"/>
                  <w:vAlign w:val="center"/>
                </w:tcPr>
                <w:p w14:paraId="0D58826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细料防堵</w:t>
                  </w:r>
                </w:p>
              </w:tc>
              <w:tc>
                <w:tcPr>
                  <w:tcW w:w="672" w:type="dxa"/>
                  <w:vAlign w:val="center"/>
                </w:tcPr>
                <w:p w14:paraId="178EB7A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59294C0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20567CC4">
                  <w:pPr>
                    <w:jc w:val="center"/>
                    <w:rPr>
                      <w:rFonts w:ascii="Times New Roman" w:hAnsi="Times New Roman" w:eastAsia="宋体" w:cs="宋体-PUA"/>
                      <w:bCs/>
                      <w:szCs w:val="21"/>
                      <w:shd w:val="clear" w:color="auto" w:fill="FFFFFF"/>
                    </w:rPr>
                  </w:pPr>
                </w:p>
              </w:tc>
            </w:tr>
            <w:tr w14:paraId="118B1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A804004">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5.4</w:t>
                  </w:r>
                </w:p>
              </w:tc>
              <w:tc>
                <w:tcPr>
                  <w:tcW w:w="7224" w:type="dxa"/>
                  <w:gridSpan w:val="5"/>
                  <w:vAlign w:val="center"/>
                </w:tcPr>
                <w:p w14:paraId="2524D84F">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热骨料仓</w:t>
                  </w:r>
                </w:p>
              </w:tc>
            </w:tr>
            <w:tr w14:paraId="79CC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FDBE79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5251821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仓容</w:t>
                  </w:r>
                </w:p>
              </w:tc>
              <w:tc>
                <w:tcPr>
                  <w:tcW w:w="3463" w:type="dxa"/>
                  <w:vAlign w:val="center"/>
                </w:tcPr>
                <w:p w14:paraId="1BF9C46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5+2(回收粉、超限料)，43m</w:t>
                  </w:r>
                  <w:r>
                    <w:rPr>
                      <w:rFonts w:hint="eastAsia" w:ascii="Times New Roman" w:hAnsi="Times New Roman" w:eastAsia="宋体" w:cs="宋体-PUA"/>
                      <w:bCs/>
                      <w:szCs w:val="21"/>
                      <w:shd w:val="clear" w:color="auto" w:fill="FFFFFF"/>
                      <w:vertAlign w:val="superscript"/>
                    </w:rPr>
                    <w:t>3</w:t>
                  </w:r>
                  <w:r>
                    <w:rPr>
                      <w:rFonts w:hint="eastAsia" w:ascii="Times New Roman" w:hAnsi="Times New Roman" w:eastAsia="宋体" w:cs="宋体-PUA"/>
                      <w:bCs/>
                      <w:szCs w:val="21"/>
                      <w:shd w:val="clear" w:color="auto" w:fill="FFFFFF"/>
                    </w:rPr>
                    <w:t>，仓体保温</w:t>
                  </w:r>
                </w:p>
              </w:tc>
              <w:tc>
                <w:tcPr>
                  <w:tcW w:w="672" w:type="dxa"/>
                  <w:vAlign w:val="center"/>
                </w:tcPr>
                <w:p w14:paraId="57F0F89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527D89C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351B77BA">
                  <w:pPr>
                    <w:jc w:val="center"/>
                    <w:rPr>
                      <w:rFonts w:ascii="Times New Roman" w:hAnsi="Times New Roman" w:eastAsia="宋体" w:cs="宋体-PUA"/>
                      <w:bCs/>
                      <w:szCs w:val="21"/>
                      <w:shd w:val="clear" w:color="auto" w:fill="FFFFFF"/>
                    </w:rPr>
                  </w:pPr>
                </w:p>
              </w:tc>
            </w:tr>
            <w:tr w14:paraId="16E8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578E0F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495A932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料位计</w:t>
                  </w:r>
                </w:p>
              </w:tc>
              <w:tc>
                <w:tcPr>
                  <w:tcW w:w="3463" w:type="dxa"/>
                  <w:vAlign w:val="center"/>
                </w:tcPr>
                <w:p w14:paraId="32CD41C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阻旋式料位计</w:t>
                  </w:r>
                </w:p>
              </w:tc>
              <w:tc>
                <w:tcPr>
                  <w:tcW w:w="672" w:type="dxa"/>
                  <w:vAlign w:val="center"/>
                </w:tcPr>
                <w:p w14:paraId="0762132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6</w:t>
                  </w:r>
                </w:p>
              </w:tc>
              <w:tc>
                <w:tcPr>
                  <w:tcW w:w="684" w:type="dxa"/>
                  <w:vAlign w:val="center"/>
                </w:tcPr>
                <w:p w14:paraId="5885125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个</w:t>
                  </w:r>
                </w:p>
              </w:tc>
              <w:tc>
                <w:tcPr>
                  <w:tcW w:w="504" w:type="dxa"/>
                  <w:vAlign w:val="center"/>
                </w:tcPr>
                <w:p w14:paraId="041E3BCD">
                  <w:pPr>
                    <w:jc w:val="center"/>
                    <w:rPr>
                      <w:rFonts w:ascii="Times New Roman" w:hAnsi="Times New Roman" w:eastAsia="宋体" w:cs="宋体-PUA"/>
                      <w:bCs/>
                      <w:szCs w:val="21"/>
                      <w:shd w:val="clear" w:color="auto" w:fill="FFFFFF"/>
                    </w:rPr>
                  </w:pPr>
                </w:p>
              </w:tc>
            </w:tr>
            <w:tr w14:paraId="5B7AA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E49CC4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901" w:type="dxa"/>
                  <w:vAlign w:val="center"/>
                </w:tcPr>
                <w:p w14:paraId="702E3D3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测温装置</w:t>
                  </w:r>
                </w:p>
              </w:tc>
              <w:tc>
                <w:tcPr>
                  <w:tcW w:w="3463" w:type="dxa"/>
                  <w:vAlign w:val="center"/>
                </w:tcPr>
                <w:p w14:paraId="38F06D2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砂仓自动测温</w:t>
                  </w:r>
                </w:p>
              </w:tc>
              <w:tc>
                <w:tcPr>
                  <w:tcW w:w="672" w:type="dxa"/>
                  <w:vAlign w:val="center"/>
                </w:tcPr>
                <w:p w14:paraId="7A9783B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21A4356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33A1A66E">
                  <w:pPr>
                    <w:jc w:val="center"/>
                    <w:rPr>
                      <w:rFonts w:ascii="Times New Roman" w:hAnsi="Times New Roman" w:eastAsia="宋体" w:cs="宋体-PUA"/>
                      <w:bCs/>
                      <w:szCs w:val="21"/>
                      <w:shd w:val="clear" w:color="auto" w:fill="FFFFFF"/>
                    </w:rPr>
                  </w:pPr>
                </w:p>
              </w:tc>
            </w:tr>
            <w:tr w14:paraId="0DFA3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27" w:type="dxa"/>
                  <w:vAlign w:val="center"/>
                </w:tcPr>
                <w:p w14:paraId="0B665B9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w:t>
                  </w:r>
                </w:p>
              </w:tc>
              <w:tc>
                <w:tcPr>
                  <w:tcW w:w="1901" w:type="dxa"/>
                  <w:vAlign w:val="center"/>
                </w:tcPr>
                <w:p w14:paraId="70D44B2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粉料破拱</w:t>
                  </w:r>
                </w:p>
              </w:tc>
              <w:tc>
                <w:tcPr>
                  <w:tcW w:w="3463" w:type="dxa"/>
                  <w:vAlign w:val="center"/>
                </w:tcPr>
                <w:p w14:paraId="1B530F5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粉料防堵</w:t>
                  </w:r>
                </w:p>
              </w:tc>
              <w:tc>
                <w:tcPr>
                  <w:tcW w:w="672" w:type="dxa"/>
                  <w:vAlign w:val="center"/>
                </w:tcPr>
                <w:p w14:paraId="5C7FB10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29B642A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502747CC">
                  <w:pPr>
                    <w:jc w:val="center"/>
                    <w:rPr>
                      <w:rFonts w:ascii="Times New Roman" w:hAnsi="Times New Roman" w:eastAsia="宋体" w:cs="宋体-PUA"/>
                      <w:bCs/>
                      <w:szCs w:val="21"/>
                      <w:shd w:val="clear" w:color="auto" w:fill="FFFFFF"/>
                    </w:rPr>
                  </w:pPr>
                </w:p>
              </w:tc>
            </w:tr>
            <w:tr w14:paraId="755DC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3E1310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w:t>
                  </w:r>
                </w:p>
              </w:tc>
              <w:tc>
                <w:tcPr>
                  <w:tcW w:w="1901" w:type="dxa"/>
                  <w:vAlign w:val="center"/>
                </w:tcPr>
                <w:p w14:paraId="0122A32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开门机构</w:t>
                  </w:r>
                </w:p>
              </w:tc>
              <w:tc>
                <w:tcPr>
                  <w:tcW w:w="3463" w:type="dxa"/>
                  <w:vAlign w:val="center"/>
                </w:tcPr>
                <w:p w14:paraId="28D8C45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FFFFFF" w:fill="D9D9D9"/>
                    </w:rPr>
                    <w:t>大小</w:t>
                  </w:r>
                  <w:r>
                    <w:rPr>
                      <w:rFonts w:hint="eastAsia" w:ascii="Times New Roman" w:hAnsi="Times New Roman" w:eastAsia="宋体" w:cs="宋体-PUA"/>
                      <w:bCs/>
                      <w:szCs w:val="21"/>
                      <w:shd w:val="clear" w:color="auto" w:fill="FFFFFF"/>
                    </w:rPr>
                    <w:t>门精确放料(专利技术)</w:t>
                  </w:r>
                </w:p>
              </w:tc>
              <w:tc>
                <w:tcPr>
                  <w:tcW w:w="672" w:type="dxa"/>
                  <w:vAlign w:val="center"/>
                </w:tcPr>
                <w:p w14:paraId="1EF0FC8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w:t>
                  </w:r>
                </w:p>
              </w:tc>
              <w:tc>
                <w:tcPr>
                  <w:tcW w:w="684" w:type="dxa"/>
                  <w:vAlign w:val="center"/>
                </w:tcPr>
                <w:p w14:paraId="1E155C0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3477DCC8">
                  <w:pPr>
                    <w:jc w:val="center"/>
                    <w:rPr>
                      <w:rFonts w:ascii="Times New Roman" w:hAnsi="Times New Roman" w:eastAsia="宋体" w:cs="宋体-PUA"/>
                      <w:bCs/>
                      <w:szCs w:val="21"/>
                      <w:shd w:val="clear" w:color="auto" w:fill="FFFFFF"/>
                    </w:rPr>
                  </w:pPr>
                </w:p>
              </w:tc>
            </w:tr>
            <w:tr w14:paraId="3BF3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298B626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6</w:t>
                  </w:r>
                </w:p>
              </w:tc>
              <w:tc>
                <w:tcPr>
                  <w:tcW w:w="1901" w:type="dxa"/>
                  <w:vAlign w:val="center"/>
                </w:tcPr>
                <w:p w14:paraId="634BB14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叶轮给料器</w:t>
                  </w:r>
                </w:p>
              </w:tc>
              <w:tc>
                <w:tcPr>
                  <w:tcW w:w="3463" w:type="dxa"/>
                  <w:vAlign w:val="center"/>
                </w:tcPr>
                <w:p w14:paraId="69DE090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1.5kw</w:t>
                  </w:r>
                </w:p>
              </w:tc>
              <w:tc>
                <w:tcPr>
                  <w:tcW w:w="672" w:type="dxa"/>
                  <w:vAlign w:val="center"/>
                </w:tcPr>
                <w:p w14:paraId="060C350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1D5AC98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3EF0EE52">
                  <w:pPr>
                    <w:jc w:val="center"/>
                    <w:rPr>
                      <w:rFonts w:ascii="Times New Roman" w:hAnsi="Times New Roman" w:eastAsia="宋体" w:cs="宋体-PUA"/>
                      <w:bCs/>
                      <w:szCs w:val="21"/>
                      <w:shd w:val="clear" w:color="auto" w:fill="FFFFFF"/>
                    </w:rPr>
                  </w:pPr>
                </w:p>
              </w:tc>
            </w:tr>
            <w:tr w14:paraId="45C1E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08FB0274">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5.5</w:t>
                  </w:r>
                </w:p>
              </w:tc>
              <w:tc>
                <w:tcPr>
                  <w:tcW w:w="7224" w:type="dxa"/>
                  <w:gridSpan w:val="5"/>
                  <w:vAlign w:val="center"/>
                </w:tcPr>
                <w:p w14:paraId="2099C25B">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计量搅拌系统</w:t>
                  </w:r>
                </w:p>
              </w:tc>
            </w:tr>
            <w:tr w14:paraId="2DA6C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B12FF4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62D845C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计量、搅拌框架</w:t>
                  </w:r>
                </w:p>
              </w:tc>
              <w:tc>
                <w:tcPr>
                  <w:tcW w:w="3463" w:type="dxa"/>
                  <w:vAlign w:val="center"/>
                </w:tcPr>
                <w:p w14:paraId="1DFA7861">
                  <w:pPr>
                    <w:jc w:val="center"/>
                    <w:rPr>
                      <w:rFonts w:ascii="Times New Roman" w:hAnsi="Times New Roman" w:eastAsia="宋体" w:cs="宋体-PUA"/>
                      <w:bCs/>
                      <w:szCs w:val="21"/>
                      <w:shd w:val="clear" w:color="auto" w:fill="FFFFFF"/>
                    </w:rPr>
                  </w:pPr>
                </w:p>
              </w:tc>
              <w:tc>
                <w:tcPr>
                  <w:tcW w:w="672" w:type="dxa"/>
                  <w:vAlign w:val="center"/>
                </w:tcPr>
                <w:p w14:paraId="2CE8EFD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7F45D35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34C967FA">
                  <w:pPr>
                    <w:jc w:val="center"/>
                    <w:rPr>
                      <w:rFonts w:ascii="Times New Roman" w:hAnsi="Times New Roman" w:eastAsia="宋体" w:cs="宋体-PUA"/>
                      <w:bCs/>
                      <w:szCs w:val="21"/>
                      <w:shd w:val="clear" w:color="auto" w:fill="FFFFFF"/>
                    </w:rPr>
                  </w:pPr>
                </w:p>
              </w:tc>
            </w:tr>
            <w:tr w14:paraId="28009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1D3048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47624C7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骨料秤</w:t>
                  </w:r>
                </w:p>
              </w:tc>
              <w:tc>
                <w:tcPr>
                  <w:tcW w:w="3463" w:type="dxa"/>
                  <w:vAlign w:val="center"/>
                </w:tcPr>
                <w:p w14:paraId="211B864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4点压式承重传感器、最大称重量4250KG、累加计量；动态计量精度：≤±1.5%；静态计量精度：≤±0.2%，自动补称功能</w:t>
                  </w:r>
                </w:p>
              </w:tc>
              <w:tc>
                <w:tcPr>
                  <w:tcW w:w="672" w:type="dxa"/>
                  <w:vAlign w:val="center"/>
                </w:tcPr>
                <w:p w14:paraId="37FC56D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669B932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79680E7C">
                  <w:pPr>
                    <w:jc w:val="center"/>
                    <w:rPr>
                      <w:rFonts w:ascii="Times New Roman" w:hAnsi="Times New Roman" w:eastAsia="宋体" w:cs="宋体-PUA"/>
                      <w:bCs/>
                      <w:szCs w:val="21"/>
                      <w:shd w:val="clear" w:color="auto" w:fill="FFFFFF"/>
                    </w:rPr>
                  </w:pPr>
                </w:p>
              </w:tc>
            </w:tr>
            <w:tr w14:paraId="5E3F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AF05C6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901" w:type="dxa"/>
                  <w:vAlign w:val="center"/>
                </w:tcPr>
                <w:p w14:paraId="3216C74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粉料秤</w:t>
                  </w:r>
                </w:p>
              </w:tc>
              <w:tc>
                <w:tcPr>
                  <w:tcW w:w="3463" w:type="dxa"/>
                  <w:vAlign w:val="center"/>
                </w:tcPr>
                <w:p w14:paraId="2EE77DB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3点压式承重传感器、最大称重量500KG、累加计量；动态计量精度：≤±1.5%；静态计量精度：≤±0.1%，自动补扣称功能</w:t>
                  </w:r>
                </w:p>
              </w:tc>
              <w:tc>
                <w:tcPr>
                  <w:tcW w:w="672" w:type="dxa"/>
                  <w:vAlign w:val="center"/>
                </w:tcPr>
                <w:p w14:paraId="01CE41D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60C10B6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68DF6BFF">
                  <w:pPr>
                    <w:jc w:val="center"/>
                    <w:rPr>
                      <w:rFonts w:ascii="Times New Roman" w:hAnsi="Times New Roman" w:eastAsia="宋体" w:cs="宋体-PUA"/>
                      <w:bCs/>
                      <w:szCs w:val="21"/>
                      <w:shd w:val="clear" w:color="auto" w:fill="FFFFFF"/>
                    </w:rPr>
                  </w:pPr>
                </w:p>
              </w:tc>
            </w:tr>
            <w:tr w14:paraId="4D45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560C8D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w:t>
                  </w:r>
                </w:p>
              </w:tc>
              <w:tc>
                <w:tcPr>
                  <w:tcW w:w="1901" w:type="dxa"/>
                  <w:vAlign w:val="center"/>
                </w:tcPr>
                <w:p w14:paraId="5D05A20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沥青秤</w:t>
                  </w:r>
                </w:p>
              </w:tc>
              <w:tc>
                <w:tcPr>
                  <w:tcW w:w="3463" w:type="dxa"/>
                  <w:vAlign w:val="center"/>
                </w:tcPr>
                <w:p w14:paraId="3C2653D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3点压式承重传感器、最大称重量500KG、累加计量；动态计量精度:≤±1.0%；静态计量精度:≤±0.1%，自动补扣称功能 二次跟踪计量，确保油石比(专利技术)</w:t>
                  </w:r>
                </w:p>
              </w:tc>
              <w:tc>
                <w:tcPr>
                  <w:tcW w:w="672" w:type="dxa"/>
                  <w:vAlign w:val="center"/>
                </w:tcPr>
                <w:p w14:paraId="256B42C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1EECFCA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04A51C90">
                  <w:pPr>
                    <w:jc w:val="center"/>
                    <w:rPr>
                      <w:rFonts w:ascii="Times New Roman" w:hAnsi="Times New Roman" w:eastAsia="宋体" w:cs="宋体-PUA"/>
                      <w:bCs/>
                      <w:szCs w:val="21"/>
                      <w:shd w:val="clear" w:color="auto" w:fill="FFFFFF"/>
                    </w:rPr>
                  </w:pPr>
                </w:p>
              </w:tc>
            </w:tr>
            <w:tr w14:paraId="638F0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C555F9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w:t>
                  </w:r>
                </w:p>
              </w:tc>
              <w:tc>
                <w:tcPr>
                  <w:tcW w:w="1901" w:type="dxa"/>
                  <w:vAlign w:val="center"/>
                </w:tcPr>
                <w:p w14:paraId="7241A1C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螺旋输送机</w:t>
                  </w:r>
                </w:p>
              </w:tc>
              <w:tc>
                <w:tcPr>
                  <w:tcW w:w="3463" w:type="dxa"/>
                  <w:vAlign w:val="center"/>
                </w:tcPr>
                <w:p w14:paraId="5AE88C3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4kw，</w:t>
                  </w:r>
                  <w:r>
                    <w:rPr>
                      <w:rFonts w:hint="eastAsia" w:ascii="Times New Roman" w:hAnsi="Times New Roman" w:eastAsia="宋体" w:cs="宋体-PUA"/>
                      <w:bCs/>
                      <w:szCs w:val="21"/>
                      <w:shd w:val="clear" w:color="FFFFFF" w:fill="D9D9D9"/>
                    </w:rPr>
                    <w:t>Φ325</w:t>
                  </w:r>
                </w:p>
              </w:tc>
              <w:tc>
                <w:tcPr>
                  <w:tcW w:w="672" w:type="dxa"/>
                  <w:vAlign w:val="center"/>
                </w:tcPr>
                <w:p w14:paraId="2656E42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6E7AA5E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723B2F36">
                  <w:pPr>
                    <w:jc w:val="center"/>
                    <w:rPr>
                      <w:rFonts w:ascii="Times New Roman" w:hAnsi="Times New Roman" w:eastAsia="宋体" w:cs="宋体-PUA"/>
                      <w:bCs/>
                      <w:szCs w:val="21"/>
                      <w:shd w:val="clear" w:color="auto" w:fill="FFFFFF"/>
                    </w:rPr>
                  </w:pPr>
                </w:p>
              </w:tc>
            </w:tr>
            <w:tr w14:paraId="76A6A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02543B1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6</w:t>
                  </w:r>
                </w:p>
              </w:tc>
              <w:tc>
                <w:tcPr>
                  <w:tcW w:w="1901" w:type="dxa"/>
                  <w:vAlign w:val="center"/>
                </w:tcPr>
                <w:p w14:paraId="746C856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沥青喷洒方式</w:t>
                  </w:r>
                </w:p>
              </w:tc>
              <w:tc>
                <w:tcPr>
                  <w:tcW w:w="3463" w:type="dxa"/>
                  <w:vAlign w:val="center"/>
                </w:tcPr>
                <w:p w14:paraId="024781C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自流式</w:t>
                  </w:r>
                </w:p>
              </w:tc>
              <w:tc>
                <w:tcPr>
                  <w:tcW w:w="672" w:type="dxa"/>
                  <w:vAlign w:val="center"/>
                </w:tcPr>
                <w:p w14:paraId="0C4AEF0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31C0FF2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5408F4DD">
                  <w:pPr>
                    <w:jc w:val="center"/>
                    <w:rPr>
                      <w:rFonts w:ascii="Times New Roman" w:hAnsi="Times New Roman" w:eastAsia="宋体" w:cs="宋体-PUA"/>
                      <w:bCs/>
                      <w:szCs w:val="21"/>
                      <w:shd w:val="clear" w:color="auto" w:fill="FFFFFF"/>
                    </w:rPr>
                  </w:pPr>
                </w:p>
              </w:tc>
            </w:tr>
            <w:tr w14:paraId="4EC15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2BBA26E">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5.6</w:t>
                  </w:r>
                </w:p>
              </w:tc>
              <w:tc>
                <w:tcPr>
                  <w:tcW w:w="7224" w:type="dxa"/>
                  <w:gridSpan w:val="5"/>
                  <w:vAlign w:val="center"/>
                </w:tcPr>
                <w:p w14:paraId="235353C5">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搅拌主机</w:t>
                  </w:r>
                </w:p>
              </w:tc>
            </w:tr>
            <w:tr w14:paraId="46D8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6B6BD93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23791DD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高效能双轴搅拌主机</w:t>
                  </w:r>
                </w:p>
              </w:tc>
              <w:tc>
                <w:tcPr>
                  <w:tcW w:w="3463" w:type="dxa"/>
                  <w:vAlign w:val="center"/>
                </w:tcPr>
                <w:p w14:paraId="7879F17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JB4000D.0、2x45kw、双卧轴强制式、搅拌量4000KG/批次，柔性驱动。</w:t>
                  </w:r>
                </w:p>
              </w:tc>
              <w:tc>
                <w:tcPr>
                  <w:tcW w:w="672" w:type="dxa"/>
                  <w:vAlign w:val="center"/>
                </w:tcPr>
                <w:p w14:paraId="7930EC1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64DF3A3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62C8A7BE">
                  <w:pPr>
                    <w:jc w:val="center"/>
                    <w:rPr>
                      <w:rFonts w:ascii="Times New Roman" w:hAnsi="Times New Roman" w:eastAsia="宋体" w:cs="宋体-PUA"/>
                      <w:bCs/>
                      <w:szCs w:val="21"/>
                      <w:shd w:val="clear" w:color="auto" w:fill="FFFFFF"/>
                    </w:rPr>
                  </w:pPr>
                </w:p>
              </w:tc>
            </w:tr>
            <w:tr w14:paraId="0BE2F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69D65A9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5F5D3CB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减速器</w:t>
                  </w:r>
                </w:p>
              </w:tc>
              <w:tc>
                <w:tcPr>
                  <w:tcW w:w="3463" w:type="dxa"/>
                  <w:vAlign w:val="center"/>
                </w:tcPr>
                <w:p w14:paraId="16EE7892">
                  <w:pPr>
                    <w:jc w:val="center"/>
                    <w:rPr>
                      <w:rFonts w:ascii="Times New Roman" w:hAnsi="Times New Roman" w:eastAsia="宋体" w:cs="宋体-PUA"/>
                      <w:bCs/>
                      <w:szCs w:val="21"/>
                      <w:shd w:val="clear" w:color="auto" w:fill="FFFFFF"/>
                    </w:rPr>
                  </w:pPr>
                </w:p>
              </w:tc>
              <w:tc>
                <w:tcPr>
                  <w:tcW w:w="672" w:type="dxa"/>
                  <w:vAlign w:val="center"/>
                </w:tcPr>
                <w:p w14:paraId="55942ED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684" w:type="dxa"/>
                  <w:vAlign w:val="center"/>
                </w:tcPr>
                <w:p w14:paraId="30D5B19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110BC721">
                  <w:pPr>
                    <w:jc w:val="center"/>
                    <w:rPr>
                      <w:rFonts w:ascii="Times New Roman" w:hAnsi="Times New Roman" w:eastAsia="宋体" w:cs="宋体-PUA"/>
                      <w:bCs/>
                      <w:szCs w:val="21"/>
                      <w:shd w:val="clear" w:color="auto" w:fill="FFFFFF"/>
                    </w:rPr>
                  </w:pPr>
                </w:p>
              </w:tc>
            </w:tr>
            <w:tr w14:paraId="2642A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C2FD6E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901" w:type="dxa"/>
                  <w:vAlign w:val="center"/>
                </w:tcPr>
                <w:p w14:paraId="7254354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电机</w:t>
                  </w:r>
                </w:p>
              </w:tc>
              <w:tc>
                <w:tcPr>
                  <w:tcW w:w="3463" w:type="dxa"/>
                  <w:vAlign w:val="center"/>
                </w:tcPr>
                <w:p w14:paraId="238DE5E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电流继电器保护</w:t>
                  </w:r>
                </w:p>
              </w:tc>
              <w:tc>
                <w:tcPr>
                  <w:tcW w:w="672" w:type="dxa"/>
                  <w:vAlign w:val="center"/>
                </w:tcPr>
                <w:p w14:paraId="15BA80D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684" w:type="dxa"/>
                  <w:vAlign w:val="center"/>
                </w:tcPr>
                <w:p w14:paraId="2EEDF72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7A3033DD">
                  <w:pPr>
                    <w:jc w:val="center"/>
                    <w:rPr>
                      <w:rFonts w:ascii="Times New Roman" w:hAnsi="Times New Roman" w:eastAsia="宋体" w:cs="宋体-PUA"/>
                      <w:bCs/>
                      <w:szCs w:val="21"/>
                      <w:shd w:val="clear" w:color="auto" w:fill="FFFFFF"/>
                    </w:rPr>
                  </w:pPr>
                </w:p>
              </w:tc>
            </w:tr>
            <w:tr w14:paraId="00A3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6507674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w:t>
                  </w:r>
                </w:p>
              </w:tc>
              <w:tc>
                <w:tcPr>
                  <w:tcW w:w="1901" w:type="dxa"/>
                  <w:vAlign w:val="center"/>
                </w:tcPr>
                <w:p w14:paraId="681166C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桨叶、衬板装置</w:t>
                  </w:r>
                </w:p>
              </w:tc>
              <w:tc>
                <w:tcPr>
                  <w:tcW w:w="3463" w:type="dxa"/>
                  <w:vAlign w:val="center"/>
                </w:tcPr>
                <w:p w14:paraId="7EA0E0A4">
                  <w:pPr>
                    <w:jc w:val="center"/>
                    <w:rPr>
                      <w:rFonts w:ascii="Times New Roman" w:hAnsi="Times New Roman" w:eastAsia="宋体" w:cs="宋体-PUA"/>
                      <w:bCs/>
                      <w:szCs w:val="21"/>
                      <w:shd w:val="clear" w:color="auto" w:fill="FFFFFF"/>
                    </w:rPr>
                  </w:pPr>
                </w:p>
              </w:tc>
              <w:tc>
                <w:tcPr>
                  <w:tcW w:w="672" w:type="dxa"/>
                  <w:vAlign w:val="center"/>
                </w:tcPr>
                <w:p w14:paraId="7CD6F98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5E30675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01FA7691">
                  <w:pPr>
                    <w:jc w:val="center"/>
                    <w:rPr>
                      <w:rFonts w:ascii="Times New Roman" w:hAnsi="Times New Roman" w:eastAsia="宋体" w:cs="宋体-PUA"/>
                      <w:bCs/>
                      <w:szCs w:val="21"/>
                      <w:shd w:val="clear" w:color="auto" w:fill="FFFFFF"/>
                    </w:rPr>
                  </w:pPr>
                </w:p>
              </w:tc>
            </w:tr>
            <w:tr w14:paraId="191C3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18DFE4A">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5.7</w:t>
                  </w:r>
                </w:p>
              </w:tc>
              <w:tc>
                <w:tcPr>
                  <w:tcW w:w="7224" w:type="dxa"/>
                  <w:gridSpan w:val="5"/>
                  <w:vAlign w:val="center"/>
                </w:tcPr>
                <w:p w14:paraId="0F610C29">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主楼配套件</w:t>
                  </w:r>
                </w:p>
              </w:tc>
            </w:tr>
            <w:tr w14:paraId="6A7A9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6ABDB27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0A74056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过渡料仓</w:t>
                  </w:r>
                </w:p>
              </w:tc>
              <w:tc>
                <w:tcPr>
                  <w:tcW w:w="3463" w:type="dxa"/>
                  <w:vAlign w:val="center"/>
                </w:tcPr>
                <w:p w14:paraId="2001319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FFFFFF" w:fill="D9D9D9"/>
                    </w:rPr>
                    <w:t>矿粉带助流气垫</w:t>
                  </w:r>
                </w:p>
              </w:tc>
              <w:tc>
                <w:tcPr>
                  <w:tcW w:w="672" w:type="dxa"/>
                  <w:vAlign w:val="center"/>
                </w:tcPr>
                <w:p w14:paraId="68D8458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4BEFED1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4E6742CD">
                  <w:pPr>
                    <w:jc w:val="center"/>
                    <w:rPr>
                      <w:rFonts w:ascii="Times New Roman" w:hAnsi="Times New Roman" w:eastAsia="宋体" w:cs="宋体-PUA"/>
                      <w:bCs/>
                      <w:szCs w:val="21"/>
                      <w:shd w:val="clear" w:color="auto" w:fill="FFFFFF"/>
                    </w:rPr>
                  </w:pPr>
                </w:p>
              </w:tc>
            </w:tr>
            <w:tr w14:paraId="1232B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CC70F5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7BA3788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溢料系统</w:t>
                  </w:r>
                </w:p>
              </w:tc>
              <w:tc>
                <w:tcPr>
                  <w:tcW w:w="3463" w:type="dxa"/>
                  <w:vAlign w:val="center"/>
                </w:tcPr>
                <w:p w14:paraId="4952E43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耐磨设计</w:t>
                  </w:r>
                </w:p>
              </w:tc>
              <w:tc>
                <w:tcPr>
                  <w:tcW w:w="672" w:type="dxa"/>
                  <w:vAlign w:val="center"/>
                </w:tcPr>
                <w:p w14:paraId="0C0A463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01334D0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281D96E6">
                  <w:pPr>
                    <w:jc w:val="center"/>
                    <w:rPr>
                      <w:rFonts w:ascii="Times New Roman" w:hAnsi="Times New Roman" w:eastAsia="宋体" w:cs="宋体-PUA"/>
                      <w:bCs/>
                      <w:szCs w:val="21"/>
                      <w:shd w:val="clear" w:color="auto" w:fill="FFFFFF"/>
                    </w:rPr>
                  </w:pPr>
                </w:p>
              </w:tc>
            </w:tr>
            <w:tr w14:paraId="4FC3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F45F5A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901" w:type="dxa"/>
                  <w:vAlign w:val="center"/>
                </w:tcPr>
                <w:p w14:paraId="79EDEBB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主楼负压管</w:t>
                  </w:r>
                </w:p>
              </w:tc>
              <w:tc>
                <w:tcPr>
                  <w:tcW w:w="3463" w:type="dxa"/>
                  <w:vAlign w:val="center"/>
                </w:tcPr>
                <w:p w14:paraId="3779683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FFFFFF" w:fill="D9D9D9"/>
                    </w:rPr>
                    <w:t>内置式负压管</w:t>
                  </w:r>
                </w:p>
              </w:tc>
              <w:tc>
                <w:tcPr>
                  <w:tcW w:w="672" w:type="dxa"/>
                  <w:vAlign w:val="center"/>
                </w:tcPr>
                <w:p w14:paraId="479F9C1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5133C1D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49A16599">
                  <w:pPr>
                    <w:jc w:val="center"/>
                    <w:rPr>
                      <w:rFonts w:ascii="Times New Roman" w:hAnsi="Times New Roman" w:eastAsia="宋体" w:cs="宋体-PUA"/>
                      <w:bCs/>
                      <w:szCs w:val="21"/>
                      <w:shd w:val="clear" w:color="auto" w:fill="FFFFFF"/>
                    </w:rPr>
                  </w:pPr>
                </w:p>
              </w:tc>
            </w:tr>
            <w:tr w14:paraId="14082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82F019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w:t>
                  </w:r>
                </w:p>
              </w:tc>
              <w:tc>
                <w:tcPr>
                  <w:tcW w:w="1901" w:type="dxa"/>
                  <w:vAlign w:val="center"/>
                </w:tcPr>
                <w:p w14:paraId="5E5C1EF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主楼沥青管路</w:t>
                  </w:r>
                </w:p>
              </w:tc>
              <w:tc>
                <w:tcPr>
                  <w:tcW w:w="3463" w:type="dxa"/>
                  <w:vAlign w:val="center"/>
                </w:tcPr>
                <w:p w14:paraId="0F1DF82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FFFFFF" w:fill="D9D9D9"/>
                    </w:rPr>
                    <w:t>带导热油保温</w:t>
                  </w:r>
                </w:p>
              </w:tc>
              <w:tc>
                <w:tcPr>
                  <w:tcW w:w="672" w:type="dxa"/>
                  <w:vAlign w:val="center"/>
                </w:tcPr>
                <w:p w14:paraId="0BC4B52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14663E4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316F4072">
                  <w:pPr>
                    <w:jc w:val="center"/>
                    <w:rPr>
                      <w:rFonts w:ascii="Times New Roman" w:hAnsi="Times New Roman" w:eastAsia="宋体" w:cs="宋体-PUA"/>
                      <w:bCs/>
                      <w:szCs w:val="21"/>
                      <w:shd w:val="clear" w:color="auto" w:fill="FFFFFF"/>
                    </w:rPr>
                  </w:pPr>
                </w:p>
              </w:tc>
            </w:tr>
            <w:tr w14:paraId="10CD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6D07BE5">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5.8</w:t>
                  </w:r>
                </w:p>
              </w:tc>
              <w:tc>
                <w:tcPr>
                  <w:tcW w:w="7224" w:type="dxa"/>
                  <w:gridSpan w:val="5"/>
                  <w:vAlign w:val="center"/>
                </w:tcPr>
                <w:p w14:paraId="572DBD8E">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成套主楼框架</w:t>
                  </w:r>
                </w:p>
              </w:tc>
            </w:tr>
            <w:tr w14:paraId="6947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63F76B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0BB9B0B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楼腿</w:t>
                  </w:r>
                </w:p>
              </w:tc>
              <w:tc>
                <w:tcPr>
                  <w:tcW w:w="3463" w:type="dxa"/>
                  <w:vAlign w:val="center"/>
                </w:tcPr>
                <w:p w14:paraId="6DBCD702">
                  <w:pPr>
                    <w:jc w:val="center"/>
                    <w:rPr>
                      <w:rFonts w:ascii="Times New Roman" w:hAnsi="Times New Roman" w:eastAsia="宋体" w:cs="宋体-PUA"/>
                      <w:bCs/>
                      <w:szCs w:val="21"/>
                      <w:shd w:val="clear" w:color="auto" w:fill="FFFFFF"/>
                    </w:rPr>
                  </w:pPr>
                </w:p>
              </w:tc>
              <w:tc>
                <w:tcPr>
                  <w:tcW w:w="672" w:type="dxa"/>
                  <w:vAlign w:val="center"/>
                </w:tcPr>
                <w:p w14:paraId="00915DF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63CE987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07BC9907">
                  <w:pPr>
                    <w:jc w:val="center"/>
                    <w:rPr>
                      <w:rFonts w:ascii="Times New Roman" w:hAnsi="Times New Roman" w:eastAsia="宋体" w:cs="宋体-PUA"/>
                      <w:bCs/>
                      <w:szCs w:val="21"/>
                      <w:shd w:val="clear" w:color="auto" w:fill="FFFFFF"/>
                    </w:rPr>
                  </w:pPr>
                </w:p>
              </w:tc>
            </w:tr>
            <w:tr w14:paraId="3BA68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35B728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164629C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主楼框架及梯子平台</w:t>
                  </w:r>
                </w:p>
              </w:tc>
              <w:tc>
                <w:tcPr>
                  <w:tcW w:w="3463" w:type="dxa"/>
                  <w:vAlign w:val="center"/>
                </w:tcPr>
                <w:p w14:paraId="1CBE2EC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梯子平台花纹板</w:t>
                  </w:r>
                </w:p>
              </w:tc>
              <w:tc>
                <w:tcPr>
                  <w:tcW w:w="672" w:type="dxa"/>
                  <w:vAlign w:val="center"/>
                </w:tcPr>
                <w:p w14:paraId="471586E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1FE5E48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517CCBE2">
                  <w:pPr>
                    <w:jc w:val="center"/>
                    <w:rPr>
                      <w:rFonts w:ascii="Times New Roman" w:hAnsi="Times New Roman" w:eastAsia="宋体" w:cs="宋体-PUA"/>
                      <w:bCs/>
                      <w:szCs w:val="21"/>
                      <w:shd w:val="clear" w:color="auto" w:fill="FFFFFF"/>
                    </w:rPr>
                  </w:pPr>
                </w:p>
              </w:tc>
            </w:tr>
            <w:tr w14:paraId="1177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1" w:type="dxa"/>
                  <w:gridSpan w:val="6"/>
                  <w:vAlign w:val="center"/>
                </w:tcPr>
                <w:p w14:paraId="7F022CA1">
                  <w:pPr>
                    <w:jc w:val="center"/>
                    <w:rPr>
                      <w:rFonts w:ascii="Times New Roman" w:hAnsi="Times New Roman" w:eastAsia="宋体" w:cs="宋体-PUA"/>
                      <w:bCs/>
                      <w:szCs w:val="21"/>
                      <w:shd w:val="clear" w:color="auto" w:fill="FFFFFF"/>
                    </w:rPr>
                  </w:pPr>
                  <w:r>
                    <w:rPr>
                      <w:rFonts w:hint="eastAsia" w:ascii="Times New Roman" w:hAnsi="Times New Roman" w:eastAsia="宋体" w:cs="宋体-PUA"/>
                      <w:b/>
                      <w:szCs w:val="21"/>
                      <w:shd w:val="clear" w:color="auto" w:fill="FFFFFF"/>
                    </w:rPr>
                    <w:t>六、沥青供给系统</w:t>
                  </w:r>
                </w:p>
              </w:tc>
            </w:tr>
            <w:tr w14:paraId="118F5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211BC97B">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7.1</w:t>
                  </w:r>
                </w:p>
              </w:tc>
              <w:tc>
                <w:tcPr>
                  <w:tcW w:w="7224" w:type="dxa"/>
                  <w:gridSpan w:val="5"/>
                  <w:vAlign w:val="center"/>
                </w:tcPr>
                <w:p w14:paraId="420D414F">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沥青罐与管路</w:t>
                  </w:r>
                </w:p>
              </w:tc>
            </w:tr>
            <w:tr w14:paraId="5C414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2A6ECE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18DB5E2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沥青罐(卧式)</w:t>
                  </w:r>
                </w:p>
              </w:tc>
              <w:tc>
                <w:tcPr>
                  <w:tcW w:w="3463" w:type="dxa"/>
                  <w:vAlign w:val="center"/>
                </w:tcPr>
                <w:p w14:paraId="32B861F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FFFFFF" w:fill="D9D9D9"/>
                    </w:rPr>
                    <w:t>50m³</w:t>
                  </w:r>
                  <w:r>
                    <w:rPr>
                      <w:rFonts w:hint="eastAsia" w:ascii="Times New Roman" w:hAnsi="Times New Roman" w:eastAsia="宋体" w:cs="宋体-PUA"/>
                      <w:bCs/>
                      <w:szCs w:val="21"/>
                      <w:shd w:val="clear" w:color="auto" w:fill="FFFFFF"/>
                    </w:rPr>
                    <w:t>，液位指示器及温度显示器</w:t>
                  </w:r>
                </w:p>
              </w:tc>
              <w:tc>
                <w:tcPr>
                  <w:tcW w:w="672" w:type="dxa"/>
                  <w:vAlign w:val="center"/>
                </w:tcPr>
                <w:p w14:paraId="6692884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7</w:t>
                  </w:r>
                </w:p>
              </w:tc>
              <w:tc>
                <w:tcPr>
                  <w:tcW w:w="684" w:type="dxa"/>
                  <w:vAlign w:val="center"/>
                </w:tcPr>
                <w:p w14:paraId="1E84212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4DF8C8EF">
                  <w:pPr>
                    <w:jc w:val="center"/>
                    <w:rPr>
                      <w:rFonts w:ascii="Times New Roman" w:hAnsi="Times New Roman" w:eastAsia="宋体" w:cs="宋体-PUA"/>
                      <w:bCs/>
                      <w:szCs w:val="21"/>
                      <w:shd w:val="clear" w:color="auto" w:fill="FFFFFF"/>
                    </w:rPr>
                  </w:pPr>
                </w:p>
              </w:tc>
            </w:tr>
            <w:tr w14:paraId="51A76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EF38D9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708C9CC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沥青接卸槽</w:t>
                  </w:r>
                </w:p>
              </w:tc>
              <w:tc>
                <w:tcPr>
                  <w:tcW w:w="3463" w:type="dxa"/>
                  <w:vAlign w:val="center"/>
                </w:tcPr>
                <w:p w14:paraId="5D68130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1m</w:t>
                  </w:r>
                  <w:r>
                    <w:rPr>
                      <w:rFonts w:hint="eastAsia" w:ascii="Times New Roman" w:hAnsi="Times New Roman" w:eastAsia="宋体" w:cs="宋体-PUA"/>
                      <w:bCs/>
                      <w:szCs w:val="21"/>
                      <w:shd w:val="clear" w:color="auto" w:fill="FFFFFF"/>
                      <w:vertAlign w:val="superscript"/>
                    </w:rPr>
                    <w:t>3</w:t>
                  </w:r>
                </w:p>
              </w:tc>
              <w:tc>
                <w:tcPr>
                  <w:tcW w:w="672" w:type="dxa"/>
                  <w:vAlign w:val="center"/>
                </w:tcPr>
                <w:p w14:paraId="7CADDF8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356654C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31CE47DB">
                  <w:pPr>
                    <w:jc w:val="center"/>
                    <w:rPr>
                      <w:rFonts w:ascii="Times New Roman" w:hAnsi="Times New Roman" w:eastAsia="宋体" w:cs="宋体-PUA"/>
                      <w:bCs/>
                      <w:szCs w:val="21"/>
                      <w:shd w:val="clear" w:color="auto" w:fill="FFFFFF"/>
                    </w:rPr>
                  </w:pPr>
                </w:p>
              </w:tc>
            </w:tr>
            <w:tr w14:paraId="0611F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1EBE2C8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901" w:type="dxa"/>
                  <w:vAlign w:val="center"/>
                </w:tcPr>
                <w:p w14:paraId="00BE87B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沥青泵</w:t>
                  </w:r>
                </w:p>
              </w:tc>
              <w:tc>
                <w:tcPr>
                  <w:tcW w:w="3463" w:type="dxa"/>
                  <w:vAlign w:val="center"/>
                </w:tcPr>
                <w:p w14:paraId="28684C9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螺杆泵，18.5kw</w:t>
                  </w:r>
                </w:p>
              </w:tc>
              <w:tc>
                <w:tcPr>
                  <w:tcW w:w="672" w:type="dxa"/>
                  <w:vAlign w:val="center"/>
                </w:tcPr>
                <w:p w14:paraId="444E4A8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0A8D884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72B0DCC2">
                  <w:pPr>
                    <w:jc w:val="center"/>
                    <w:rPr>
                      <w:rFonts w:ascii="Times New Roman" w:hAnsi="Times New Roman" w:eastAsia="宋体" w:cs="宋体-PUA"/>
                      <w:bCs/>
                      <w:szCs w:val="21"/>
                      <w:shd w:val="clear" w:color="auto" w:fill="FFFFFF"/>
                    </w:rPr>
                  </w:pPr>
                </w:p>
              </w:tc>
            </w:tr>
            <w:tr w14:paraId="1718F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9983FA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w:t>
                  </w:r>
                </w:p>
              </w:tc>
              <w:tc>
                <w:tcPr>
                  <w:tcW w:w="1901" w:type="dxa"/>
                  <w:vAlign w:val="center"/>
                </w:tcPr>
                <w:p w14:paraId="60CEAAD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导热油炉(柴油)</w:t>
                  </w:r>
                </w:p>
              </w:tc>
              <w:tc>
                <w:tcPr>
                  <w:tcW w:w="3463" w:type="dxa"/>
                  <w:vAlign w:val="center"/>
                </w:tcPr>
                <w:p w14:paraId="737D6E98">
                  <w:pPr>
                    <w:jc w:val="center"/>
                    <w:rPr>
                      <w:rFonts w:ascii="Times New Roman" w:hAnsi="Times New Roman" w:eastAsia="宋体" w:cs="宋体-PUA"/>
                      <w:bCs/>
                      <w:szCs w:val="21"/>
                      <w:shd w:val="clear" w:color="auto" w:fill="FFFFFF"/>
                    </w:rPr>
                  </w:pPr>
                </w:p>
              </w:tc>
              <w:tc>
                <w:tcPr>
                  <w:tcW w:w="672" w:type="dxa"/>
                  <w:vAlign w:val="center"/>
                </w:tcPr>
                <w:p w14:paraId="2E08B1A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1E945E5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3CF4D194">
                  <w:pPr>
                    <w:jc w:val="center"/>
                    <w:rPr>
                      <w:rFonts w:ascii="Times New Roman" w:hAnsi="Times New Roman" w:eastAsia="宋体" w:cs="宋体-PUA"/>
                      <w:bCs/>
                      <w:szCs w:val="21"/>
                      <w:shd w:val="clear" w:color="auto" w:fill="FFFFFF"/>
                    </w:rPr>
                  </w:pPr>
                </w:p>
              </w:tc>
            </w:tr>
            <w:tr w14:paraId="73608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3321F35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w:t>
                  </w:r>
                </w:p>
              </w:tc>
              <w:tc>
                <w:tcPr>
                  <w:tcW w:w="1901" w:type="dxa"/>
                  <w:vAlign w:val="center"/>
                </w:tcPr>
                <w:p w14:paraId="3881486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沥青罐管路组件</w:t>
                  </w:r>
                </w:p>
              </w:tc>
              <w:tc>
                <w:tcPr>
                  <w:tcW w:w="3463" w:type="dxa"/>
                  <w:vAlign w:val="center"/>
                </w:tcPr>
                <w:p w14:paraId="52C3F55B">
                  <w:pPr>
                    <w:jc w:val="center"/>
                    <w:rPr>
                      <w:rFonts w:ascii="Times New Roman" w:hAnsi="Times New Roman" w:eastAsia="宋体" w:cs="宋体-PUA"/>
                      <w:bCs/>
                      <w:szCs w:val="21"/>
                      <w:shd w:val="clear" w:color="auto" w:fill="FFFFFF"/>
                    </w:rPr>
                  </w:pPr>
                </w:p>
              </w:tc>
              <w:tc>
                <w:tcPr>
                  <w:tcW w:w="672" w:type="dxa"/>
                  <w:vAlign w:val="center"/>
                </w:tcPr>
                <w:p w14:paraId="42A87EA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550F70E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4C6C575E">
                  <w:pPr>
                    <w:jc w:val="center"/>
                    <w:rPr>
                      <w:rFonts w:ascii="Times New Roman" w:hAnsi="Times New Roman" w:eastAsia="宋体" w:cs="宋体-PUA"/>
                      <w:bCs/>
                      <w:szCs w:val="21"/>
                      <w:shd w:val="clear" w:color="auto" w:fill="FFFFFF"/>
                    </w:rPr>
                  </w:pPr>
                </w:p>
              </w:tc>
            </w:tr>
            <w:tr w14:paraId="13E2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8930B29">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7.2</w:t>
                  </w:r>
                </w:p>
              </w:tc>
              <w:tc>
                <w:tcPr>
                  <w:tcW w:w="7224" w:type="dxa"/>
                  <w:gridSpan w:val="5"/>
                  <w:vAlign w:val="center"/>
                </w:tcPr>
                <w:p w14:paraId="1C200813">
                  <w:pPr>
                    <w:jc w:val="center"/>
                    <w:rPr>
                      <w:rFonts w:ascii="Times New Roman" w:hAnsi="Times New Roman" w:eastAsia="宋体" w:cs="宋体-PUA"/>
                      <w:bCs/>
                      <w:szCs w:val="21"/>
                      <w:shd w:val="clear" w:color="auto" w:fill="FFFFFF"/>
                    </w:rPr>
                  </w:pPr>
                  <w:r>
                    <w:rPr>
                      <w:rFonts w:hint="eastAsia" w:ascii="Times New Roman" w:hAnsi="Times New Roman" w:eastAsia="宋体" w:cs="宋体-PUA"/>
                      <w:b/>
                      <w:szCs w:val="21"/>
                      <w:shd w:val="clear" w:color="auto" w:fill="FFFFFF"/>
                    </w:rPr>
                    <w:t>沥青称量循环系统</w:t>
                  </w:r>
                </w:p>
              </w:tc>
            </w:tr>
            <w:tr w14:paraId="45F1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67FA66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1901" w:type="dxa"/>
                  <w:vAlign w:val="center"/>
                </w:tcPr>
                <w:p w14:paraId="1A1F4C4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沥青称量循环单元</w:t>
                  </w:r>
                </w:p>
              </w:tc>
              <w:tc>
                <w:tcPr>
                  <w:tcW w:w="3463" w:type="dxa"/>
                  <w:vAlign w:val="center"/>
                </w:tcPr>
                <w:p w14:paraId="3DBD3241">
                  <w:pPr>
                    <w:jc w:val="center"/>
                    <w:rPr>
                      <w:rFonts w:ascii="Times New Roman" w:hAnsi="Times New Roman" w:eastAsia="宋体" w:cs="宋体-PUA"/>
                      <w:bCs/>
                      <w:szCs w:val="21"/>
                      <w:shd w:val="clear" w:color="auto" w:fill="FFFFFF"/>
                    </w:rPr>
                  </w:pPr>
                </w:p>
              </w:tc>
              <w:tc>
                <w:tcPr>
                  <w:tcW w:w="672" w:type="dxa"/>
                  <w:vAlign w:val="center"/>
                </w:tcPr>
                <w:p w14:paraId="1E3DBCE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4183F8B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7EE8D99E">
                  <w:pPr>
                    <w:jc w:val="center"/>
                    <w:rPr>
                      <w:rFonts w:ascii="Times New Roman" w:hAnsi="Times New Roman" w:eastAsia="宋体" w:cs="宋体-PUA"/>
                      <w:bCs/>
                      <w:szCs w:val="21"/>
                      <w:shd w:val="clear" w:color="auto" w:fill="FFFFFF"/>
                    </w:rPr>
                  </w:pPr>
                </w:p>
              </w:tc>
            </w:tr>
            <w:tr w14:paraId="4F514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7" w:type="dxa"/>
                  <w:vAlign w:val="center"/>
                </w:tcPr>
                <w:p w14:paraId="5DC198F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1901" w:type="dxa"/>
                  <w:vAlign w:val="center"/>
                </w:tcPr>
                <w:p w14:paraId="67162BF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带阀沥青泵</w:t>
                  </w:r>
                </w:p>
              </w:tc>
              <w:tc>
                <w:tcPr>
                  <w:tcW w:w="3463" w:type="dxa"/>
                  <w:vAlign w:val="center"/>
                </w:tcPr>
                <w:p w14:paraId="58A1CD0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螺杆泵，18.5kw</w:t>
                  </w:r>
                </w:p>
              </w:tc>
              <w:tc>
                <w:tcPr>
                  <w:tcW w:w="672" w:type="dxa"/>
                  <w:vAlign w:val="center"/>
                </w:tcPr>
                <w:p w14:paraId="5243F3D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13ED641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1525343A">
                  <w:pPr>
                    <w:jc w:val="center"/>
                    <w:rPr>
                      <w:rFonts w:ascii="Times New Roman" w:hAnsi="Times New Roman" w:eastAsia="宋体" w:cs="宋体-PUA"/>
                      <w:bCs/>
                      <w:szCs w:val="21"/>
                      <w:shd w:val="clear" w:color="auto" w:fill="FFFFFF"/>
                    </w:rPr>
                  </w:pPr>
                </w:p>
              </w:tc>
            </w:tr>
            <w:tr w14:paraId="2044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C9831A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901" w:type="dxa"/>
                  <w:vAlign w:val="center"/>
                </w:tcPr>
                <w:p w14:paraId="75B6F86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导热油泵</w:t>
                  </w:r>
                </w:p>
              </w:tc>
              <w:tc>
                <w:tcPr>
                  <w:tcW w:w="3463" w:type="dxa"/>
                  <w:vAlign w:val="center"/>
                </w:tcPr>
                <w:p w14:paraId="0763EAE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FFFFFF" w:fill="D9D9D9"/>
                    </w:rPr>
                    <w:t>2*22kw，一台备用</w:t>
                  </w:r>
                </w:p>
              </w:tc>
              <w:tc>
                <w:tcPr>
                  <w:tcW w:w="672" w:type="dxa"/>
                  <w:vAlign w:val="center"/>
                </w:tcPr>
                <w:p w14:paraId="1F363F0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7F1DF85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个</w:t>
                  </w:r>
                </w:p>
              </w:tc>
              <w:tc>
                <w:tcPr>
                  <w:tcW w:w="504" w:type="dxa"/>
                  <w:vAlign w:val="center"/>
                </w:tcPr>
                <w:p w14:paraId="3BCC1B69">
                  <w:pPr>
                    <w:jc w:val="center"/>
                    <w:rPr>
                      <w:rFonts w:ascii="Times New Roman" w:hAnsi="Times New Roman" w:eastAsia="宋体" w:cs="宋体-PUA"/>
                      <w:bCs/>
                      <w:szCs w:val="21"/>
                      <w:shd w:val="clear" w:color="auto" w:fill="FFFFFF"/>
                    </w:rPr>
                  </w:pPr>
                </w:p>
              </w:tc>
            </w:tr>
            <w:tr w14:paraId="7B6B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9113E2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w:t>
                  </w:r>
                </w:p>
              </w:tc>
              <w:tc>
                <w:tcPr>
                  <w:tcW w:w="1901" w:type="dxa"/>
                  <w:vAlign w:val="center"/>
                </w:tcPr>
                <w:p w14:paraId="258AE07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沥青循环温度检测</w:t>
                  </w:r>
                </w:p>
              </w:tc>
              <w:tc>
                <w:tcPr>
                  <w:tcW w:w="3463" w:type="dxa"/>
                  <w:vAlign w:val="center"/>
                </w:tcPr>
                <w:p w14:paraId="5BD153B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显示沥青温度，可设置循环泵保护温度</w:t>
                  </w:r>
                </w:p>
              </w:tc>
              <w:tc>
                <w:tcPr>
                  <w:tcW w:w="672" w:type="dxa"/>
                  <w:vAlign w:val="center"/>
                </w:tcPr>
                <w:p w14:paraId="0886BA8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684" w:type="dxa"/>
                  <w:vAlign w:val="center"/>
                </w:tcPr>
                <w:p w14:paraId="33AE955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504" w:type="dxa"/>
                  <w:vAlign w:val="center"/>
                </w:tcPr>
                <w:p w14:paraId="4BA45C09">
                  <w:pPr>
                    <w:jc w:val="center"/>
                    <w:rPr>
                      <w:rFonts w:ascii="Times New Roman" w:hAnsi="Times New Roman" w:eastAsia="宋体" w:cs="宋体-PUA"/>
                      <w:bCs/>
                      <w:szCs w:val="21"/>
                      <w:shd w:val="clear" w:color="auto" w:fill="FFFFFF"/>
                    </w:rPr>
                  </w:pPr>
                </w:p>
              </w:tc>
            </w:tr>
          </w:tbl>
          <w:p w14:paraId="6B7BBE91">
            <w:pPr>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表2-4  集装箱式改性乳化沥青生产系统主要设备一览表</w:t>
            </w:r>
          </w:p>
          <w:tbl>
            <w:tblPr>
              <w:tblStyle w:val="28"/>
              <w:tblW w:w="79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5"/>
              <w:gridCol w:w="2505"/>
              <w:gridCol w:w="2535"/>
              <w:gridCol w:w="660"/>
              <w:gridCol w:w="765"/>
              <w:gridCol w:w="740"/>
            </w:tblGrid>
            <w:tr w14:paraId="657EA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054A9F04">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序号</w:t>
                  </w:r>
                </w:p>
              </w:tc>
              <w:tc>
                <w:tcPr>
                  <w:tcW w:w="2505" w:type="dxa"/>
                  <w:tcBorders>
                    <w:tl2br w:val="nil"/>
                    <w:tr2bl w:val="nil"/>
                  </w:tcBorders>
                  <w:vAlign w:val="center"/>
                </w:tcPr>
                <w:p w14:paraId="1AC303F1">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名称</w:t>
                  </w:r>
                </w:p>
              </w:tc>
              <w:tc>
                <w:tcPr>
                  <w:tcW w:w="2535" w:type="dxa"/>
                  <w:tcBorders>
                    <w:tl2br w:val="nil"/>
                    <w:tr2bl w:val="nil"/>
                  </w:tcBorders>
                  <w:vAlign w:val="center"/>
                </w:tcPr>
                <w:p w14:paraId="467B03D3">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规格/型号</w:t>
                  </w:r>
                </w:p>
              </w:tc>
              <w:tc>
                <w:tcPr>
                  <w:tcW w:w="660" w:type="dxa"/>
                  <w:tcBorders>
                    <w:tl2br w:val="nil"/>
                    <w:tr2bl w:val="nil"/>
                  </w:tcBorders>
                  <w:vAlign w:val="center"/>
                </w:tcPr>
                <w:p w14:paraId="784E963B">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单位</w:t>
                  </w:r>
                </w:p>
              </w:tc>
              <w:tc>
                <w:tcPr>
                  <w:tcW w:w="765" w:type="dxa"/>
                  <w:tcBorders>
                    <w:tl2br w:val="nil"/>
                    <w:tr2bl w:val="nil"/>
                  </w:tcBorders>
                  <w:vAlign w:val="center"/>
                </w:tcPr>
                <w:p w14:paraId="79E65ACE">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数量</w:t>
                  </w:r>
                </w:p>
              </w:tc>
              <w:tc>
                <w:tcPr>
                  <w:tcW w:w="740" w:type="dxa"/>
                  <w:tcBorders>
                    <w:tl2br w:val="nil"/>
                    <w:tr2bl w:val="nil"/>
                  </w:tcBorders>
                  <w:vAlign w:val="center"/>
                </w:tcPr>
                <w:p w14:paraId="153676F7">
                  <w:pPr>
                    <w:jc w:val="center"/>
                    <w:rPr>
                      <w:rFonts w:ascii="Times New Roman" w:hAnsi="Times New Roman" w:eastAsia="宋体" w:cs="宋体-PUA"/>
                      <w:b/>
                      <w:szCs w:val="21"/>
                      <w:shd w:val="clear" w:color="auto" w:fill="FFFFFF"/>
                    </w:rPr>
                  </w:pPr>
                  <w:r>
                    <w:rPr>
                      <w:rFonts w:hint="eastAsia" w:ascii="Times New Roman" w:hAnsi="Times New Roman" w:eastAsia="宋体" w:cs="宋体-PUA"/>
                      <w:b/>
                      <w:szCs w:val="21"/>
                      <w:shd w:val="clear" w:color="auto" w:fill="FFFFFF"/>
                    </w:rPr>
                    <w:t>备注</w:t>
                  </w:r>
                </w:p>
              </w:tc>
            </w:tr>
            <w:tr w14:paraId="0D442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4781BDA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2505" w:type="dxa"/>
                  <w:tcBorders>
                    <w:tl2br w:val="nil"/>
                    <w:tr2bl w:val="nil"/>
                  </w:tcBorders>
                  <w:vAlign w:val="center"/>
                </w:tcPr>
                <w:p w14:paraId="5755441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乳化机</w:t>
                  </w:r>
                </w:p>
              </w:tc>
              <w:tc>
                <w:tcPr>
                  <w:tcW w:w="2535" w:type="dxa"/>
                  <w:tcBorders>
                    <w:tl2br w:val="nil"/>
                    <w:tr2bl w:val="nil"/>
                  </w:tcBorders>
                  <w:vAlign w:val="center"/>
                </w:tcPr>
                <w:p w14:paraId="7D2349A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MJ-10，功率45千瓦</w:t>
                  </w:r>
                </w:p>
              </w:tc>
              <w:tc>
                <w:tcPr>
                  <w:tcW w:w="660" w:type="dxa"/>
                  <w:tcBorders>
                    <w:tl2br w:val="nil"/>
                    <w:tr2bl w:val="nil"/>
                  </w:tcBorders>
                  <w:vAlign w:val="center"/>
                </w:tcPr>
                <w:p w14:paraId="4DCD773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台</w:t>
                  </w:r>
                </w:p>
              </w:tc>
              <w:tc>
                <w:tcPr>
                  <w:tcW w:w="765" w:type="dxa"/>
                  <w:tcBorders>
                    <w:tl2br w:val="nil"/>
                    <w:tr2bl w:val="nil"/>
                  </w:tcBorders>
                  <w:vAlign w:val="center"/>
                </w:tcPr>
                <w:p w14:paraId="5E625F7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7EF4B802">
                  <w:pPr>
                    <w:jc w:val="center"/>
                    <w:rPr>
                      <w:rFonts w:ascii="Times New Roman" w:hAnsi="Times New Roman" w:eastAsia="宋体" w:cs="宋体-PUA"/>
                      <w:bCs/>
                      <w:szCs w:val="21"/>
                      <w:shd w:val="clear" w:color="auto" w:fill="FFFFFF"/>
                    </w:rPr>
                  </w:pPr>
                </w:p>
              </w:tc>
            </w:tr>
            <w:tr w14:paraId="67825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09AE573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2505" w:type="dxa"/>
                  <w:tcBorders>
                    <w:tl2br w:val="nil"/>
                    <w:tr2bl w:val="nil"/>
                  </w:tcBorders>
                  <w:vAlign w:val="center"/>
                </w:tcPr>
                <w:p w14:paraId="0053CB8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中央控制系统</w:t>
                  </w:r>
                </w:p>
              </w:tc>
              <w:tc>
                <w:tcPr>
                  <w:tcW w:w="2535" w:type="dxa"/>
                  <w:tcBorders>
                    <w:tl2br w:val="nil"/>
                    <w:tr2bl w:val="nil"/>
                  </w:tcBorders>
                  <w:vAlign w:val="center"/>
                </w:tcPr>
                <w:p w14:paraId="29B3633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变频控制</w:t>
                  </w:r>
                </w:p>
              </w:tc>
              <w:tc>
                <w:tcPr>
                  <w:tcW w:w="660" w:type="dxa"/>
                  <w:tcBorders>
                    <w:tl2br w:val="nil"/>
                    <w:tr2bl w:val="nil"/>
                  </w:tcBorders>
                  <w:vAlign w:val="center"/>
                </w:tcPr>
                <w:p w14:paraId="61F1194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765" w:type="dxa"/>
                  <w:tcBorders>
                    <w:tl2br w:val="nil"/>
                    <w:tr2bl w:val="nil"/>
                  </w:tcBorders>
                  <w:vAlign w:val="center"/>
                </w:tcPr>
                <w:p w14:paraId="7963B62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014FA53A">
                  <w:pPr>
                    <w:jc w:val="center"/>
                    <w:rPr>
                      <w:rFonts w:ascii="Times New Roman" w:hAnsi="Times New Roman" w:eastAsia="宋体" w:cs="宋体-PUA"/>
                      <w:bCs/>
                      <w:szCs w:val="21"/>
                      <w:shd w:val="clear" w:color="auto" w:fill="FFFFFF"/>
                    </w:rPr>
                  </w:pPr>
                </w:p>
              </w:tc>
            </w:tr>
            <w:tr w14:paraId="1559C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0E8028E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2505" w:type="dxa"/>
                  <w:tcBorders>
                    <w:tl2br w:val="nil"/>
                    <w:tr2bl w:val="nil"/>
                  </w:tcBorders>
                  <w:vAlign w:val="center"/>
                </w:tcPr>
                <w:p w14:paraId="65AD035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固含量显示</w:t>
                  </w:r>
                </w:p>
              </w:tc>
              <w:tc>
                <w:tcPr>
                  <w:tcW w:w="2535" w:type="dxa"/>
                  <w:tcBorders>
                    <w:tl2br w:val="nil"/>
                    <w:tr2bl w:val="nil"/>
                  </w:tcBorders>
                  <w:vAlign w:val="center"/>
                </w:tcPr>
                <w:p w14:paraId="39655AD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屏显</w:t>
                  </w:r>
                </w:p>
              </w:tc>
              <w:tc>
                <w:tcPr>
                  <w:tcW w:w="660" w:type="dxa"/>
                  <w:tcBorders>
                    <w:tl2br w:val="nil"/>
                    <w:tr2bl w:val="nil"/>
                  </w:tcBorders>
                  <w:vAlign w:val="center"/>
                </w:tcPr>
                <w:p w14:paraId="005B0C8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765" w:type="dxa"/>
                  <w:tcBorders>
                    <w:tl2br w:val="nil"/>
                    <w:tr2bl w:val="nil"/>
                  </w:tcBorders>
                  <w:vAlign w:val="center"/>
                </w:tcPr>
                <w:p w14:paraId="3FFD4F4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73D6DFEF">
                  <w:pPr>
                    <w:jc w:val="center"/>
                    <w:rPr>
                      <w:rFonts w:ascii="Times New Roman" w:hAnsi="Times New Roman" w:eastAsia="宋体" w:cs="宋体-PUA"/>
                      <w:bCs/>
                      <w:szCs w:val="21"/>
                      <w:shd w:val="clear" w:color="auto" w:fill="FFFFFF"/>
                    </w:rPr>
                  </w:pPr>
                </w:p>
              </w:tc>
            </w:tr>
            <w:tr w14:paraId="27BEB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2F7BC11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w:t>
                  </w:r>
                </w:p>
              </w:tc>
              <w:tc>
                <w:tcPr>
                  <w:tcW w:w="2505" w:type="dxa"/>
                  <w:tcBorders>
                    <w:tl2br w:val="nil"/>
                    <w:tr2bl w:val="nil"/>
                  </w:tcBorders>
                  <w:vAlign w:val="center"/>
                </w:tcPr>
                <w:p w14:paraId="39AA9F4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玻璃转子流量计</w:t>
                  </w:r>
                </w:p>
              </w:tc>
              <w:tc>
                <w:tcPr>
                  <w:tcW w:w="2535" w:type="dxa"/>
                  <w:tcBorders>
                    <w:tl2br w:val="nil"/>
                    <w:tr2bl w:val="nil"/>
                  </w:tcBorders>
                  <w:vAlign w:val="center"/>
                </w:tcPr>
                <w:p w14:paraId="61ACB15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BL-40</w:t>
                  </w:r>
                </w:p>
              </w:tc>
              <w:tc>
                <w:tcPr>
                  <w:tcW w:w="660" w:type="dxa"/>
                  <w:tcBorders>
                    <w:tl2br w:val="nil"/>
                    <w:tr2bl w:val="nil"/>
                  </w:tcBorders>
                  <w:vAlign w:val="center"/>
                </w:tcPr>
                <w:p w14:paraId="391D4FC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台</w:t>
                  </w:r>
                </w:p>
              </w:tc>
              <w:tc>
                <w:tcPr>
                  <w:tcW w:w="765" w:type="dxa"/>
                  <w:tcBorders>
                    <w:tl2br w:val="nil"/>
                    <w:tr2bl w:val="nil"/>
                  </w:tcBorders>
                  <w:vAlign w:val="center"/>
                </w:tcPr>
                <w:p w14:paraId="348B071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549D0B13">
                  <w:pPr>
                    <w:jc w:val="center"/>
                    <w:rPr>
                      <w:rFonts w:ascii="Times New Roman" w:hAnsi="Times New Roman" w:eastAsia="宋体" w:cs="宋体-PUA"/>
                      <w:bCs/>
                      <w:szCs w:val="21"/>
                      <w:shd w:val="clear" w:color="auto" w:fill="FFFFFF"/>
                    </w:rPr>
                  </w:pPr>
                </w:p>
              </w:tc>
            </w:tr>
            <w:tr w14:paraId="795C2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5A900DD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5</w:t>
                  </w:r>
                </w:p>
              </w:tc>
              <w:tc>
                <w:tcPr>
                  <w:tcW w:w="2505" w:type="dxa"/>
                  <w:tcBorders>
                    <w:tl2br w:val="nil"/>
                    <w:tr2bl w:val="nil"/>
                  </w:tcBorders>
                  <w:vAlign w:val="center"/>
                </w:tcPr>
                <w:p w14:paraId="6370D0B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比例混合阀</w:t>
                  </w:r>
                </w:p>
              </w:tc>
              <w:tc>
                <w:tcPr>
                  <w:tcW w:w="2535" w:type="dxa"/>
                  <w:tcBorders>
                    <w:tl2br w:val="nil"/>
                    <w:tr2bl w:val="nil"/>
                  </w:tcBorders>
                  <w:vAlign w:val="center"/>
                </w:tcPr>
                <w:p w14:paraId="7A04F3B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Q235</w:t>
                  </w:r>
                </w:p>
              </w:tc>
              <w:tc>
                <w:tcPr>
                  <w:tcW w:w="660" w:type="dxa"/>
                  <w:tcBorders>
                    <w:tl2br w:val="nil"/>
                    <w:tr2bl w:val="nil"/>
                  </w:tcBorders>
                  <w:vAlign w:val="center"/>
                </w:tcPr>
                <w:p w14:paraId="2B06CCD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台</w:t>
                  </w:r>
                </w:p>
              </w:tc>
              <w:tc>
                <w:tcPr>
                  <w:tcW w:w="765" w:type="dxa"/>
                  <w:tcBorders>
                    <w:tl2br w:val="nil"/>
                    <w:tr2bl w:val="nil"/>
                  </w:tcBorders>
                  <w:vAlign w:val="center"/>
                </w:tcPr>
                <w:p w14:paraId="3EEDE6D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47BEAF69">
                  <w:pPr>
                    <w:jc w:val="center"/>
                    <w:rPr>
                      <w:rFonts w:ascii="Times New Roman" w:hAnsi="Times New Roman" w:eastAsia="宋体" w:cs="宋体-PUA"/>
                      <w:bCs/>
                      <w:szCs w:val="21"/>
                      <w:shd w:val="clear" w:color="auto" w:fill="FFFFFF"/>
                    </w:rPr>
                  </w:pPr>
                </w:p>
              </w:tc>
            </w:tr>
            <w:tr w14:paraId="2D612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5EDF65C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6</w:t>
                  </w:r>
                </w:p>
              </w:tc>
              <w:tc>
                <w:tcPr>
                  <w:tcW w:w="2505" w:type="dxa"/>
                  <w:tcBorders>
                    <w:tl2br w:val="nil"/>
                    <w:tr2bl w:val="nil"/>
                  </w:tcBorders>
                  <w:vAlign w:val="center"/>
                </w:tcPr>
                <w:p w14:paraId="3B4F79F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乳化沥青成品泵</w:t>
                  </w:r>
                </w:p>
              </w:tc>
              <w:tc>
                <w:tcPr>
                  <w:tcW w:w="2535" w:type="dxa"/>
                  <w:tcBorders>
                    <w:tl2br w:val="nil"/>
                    <w:tr2bl w:val="nil"/>
                  </w:tcBorders>
                  <w:vAlign w:val="center"/>
                </w:tcPr>
                <w:p w14:paraId="73063B2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11.7m³/h</w:t>
                  </w:r>
                </w:p>
              </w:tc>
              <w:tc>
                <w:tcPr>
                  <w:tcW w:w="660" w:type="dxa"/>
                  <w:tcBorders>
                    <w:tl2br w:val="nil"/>
                    <w:tr2bl w:val="nil"/>
                  </w:tcBorders>
                  <w:vAlign w:val="center"/>
                </w:tcPr>
                <w:p w14:paraId="5117A21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765" w:type="dxa"/>
                  <w:tcBorders>
                    <w:tl2br w:val="nil"/>
                    <w:tr2bl w:val="nil"/>
                  </w:tcBorders>
                  <w:vAlign w:val="center"/>
                </w:tcPr>
                <w:p w14:paraId="12B1B68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46B51E88">
                  <w:pPr>
                    <w:jc w:val="center"/>
                    <w:rPr>
                      <w:rFonts w:ascii="Times New Roman" w:hAnsi="Times New Roman" w:eastAsia="宋体" w:cs="宋体-PUA"/>
                      <w:bCs/>
                      <w:szCs w:val="21"/>
                      <w:shd w:val="clear" w:color="auto" w:fill="FFFFFF"/>
                    </w:rPr>
                  </w:pPr>
                </w:p>
              </w:tc>
            </w:tr>
            <w:tr w14:paraId="46E2C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028A3C7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7</w:t>
                  </w:r>
                </w:p>
              </w:tc>
              <w:tc>
                <w:tcPr>
                  <w:tcW w:w="2505" w:type="dxa"/>
                  <w:tcBorders>
                    <w:tl2br w:val="nil"/>
                    <w:tr2bl w:val="nil"/>
                  </w:tcBorders>
                  <w:vAlign w:val="center"/>
                </w:tcPr>
                <w:p w14:paraId="0C3E17B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沥青泵电机</w:t>
                  </w:r>
                </w:p>
              </w:tc>
              <w:tc>
                <w:tcPr>
                  <w:tcW w:w="2535" w:type="dxa"/>
                  <w:tcBorders>
                    <w:tl2br w:val="nil"/>
                    <w:tr2bl w:val="nil"/>
                  </w:tcBorders>
                  <w:vAlign w:val="center"/>
                </w:tcPr>
                <w:p w14:paraId="45209EB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YE2-132M1-6</w:t>
                  </w:r>
                </w:p>
              </w:tc>
              <w:tc>
                <w:tcPr>
                  <w:tcW w:w="660" w:type="dxa"/>
                  <w:tcBorders>
                    <w:tl2br w:val="nil"/>
                    <w:tr2bl w:val="nil"/>
                  </w:tcBorders>
                  <w:vAlign w:val="center"/>
                </w:tcPr>
                <w:p w14:paraId="0F7513FC">
                  <w:pPr>
                    <w:jc w:val="center"/>
                    <w:rPr>
                      <w:rFonts w:ascii="Times New Roman" w:hAnsi="Times New Roman" w:eastAsia="宋体" w:cs="宋体-PUA"/>
                      <w:bCs/>
                      <w:szCs w:val="21"/>
                      <w:shd w:val="clear" w:color="auto" w:fill="FFFFFF"/>
                    </w:rPr>
                  </w:pPr>
                </w:p>
              </w:tc>
              <w:tc>
                <w:tcPr>
                  <w:tcW w:w="765" w:type="dxa"/>
                  <w:tcBorders>
                    <w:tl2br w:val="nil"/>
                    <w:tr2bl w:val="nil"/>
                  </w:tcBorders>
                  <w:vAlign w:val="center"/>
                </w:tcPr>
                <w:p w14:paraId="198C625F">
                  <w:pPr>
                    <w:jc w:val="center"/>
                    <w:rPr>
                      <w:rFonts w:ascii="Times New Roman" w:hAnsi="Times New Roman" w:eastAsia="宋体" w:cs="宋体-PUA"/>
                      <w:bCs/>
                      <w:szCs w:val="21"/>
                      <w:shd w:val="clear" w:color="auto" w:fill="FFFFFF"/>
                    </w:rPr>
                  </w:pPr>
                </w:p>
              </w:tc>
              <w:tc>
                <w:tcPr>
                  <w:tcW w:w="740" w:type="dxa"/>
                  <w:tcBorders>
                    <w:tl2br w:val="nil"/>
                    <w:tr2bl w:val="nil"/>
                  </w:tcBorders>
                  <w:vAlign w:val="center"/>
                </w:tcPr>
                <w:p w14:paraId="39A6965A">
                  <w:pPr>
                    <w:jc w:val="center"/>
                    <w:rPr>
                      <w:rFonts w:ascii="Times New Roman" w:hAnsi="Times New Roman" w:eastAsia="宋体" w:cs="宋体-PUA"/>
                      <w:bCs/>
                      <w:szCs w:val="21"/>
                      <w:shd w:val="clear" w:color="auto" w:fill="FFFFFF"/>
                    </w:rPr>
                  </w:pPr>
                </w:p>
              </w:tc>
            </w:tr>
            <w:tr w14:paraId="72508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059BED7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8</w:t>
                  </w:r>
                </w:p>
              </w:tc>
              <w:tc>
                <w:tcPr>
                  <w:tcW w:w="2505" w:type="dxa"/>
                  <w:tcBorders>
                    <w:tl2br w:val="nil"/>
                    <w:tr2bl w:val="nil"/>
                  </w:tcBorders>
                  <w:vAlign w:val="center"/>
                </w:tcPr>
                <w:p w14:paraId="49F246F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沥青泵</w:t>
                  </w:r>
                </w:p>
              </w:tc>
              <w:tc>
                <w:tcPr>
                  <w:tcW w:w="2535" w:type="dxa"/>
                  <w:tcBorders>
                    <w:tl2br w:val="nil"/>
                    <w:tr2bl w:val="nil"/>
                  </w:tcBorders>
                  <w:vAlign w:val="center"/>
                </w:tcPr>
                <w:p w14:paraId="6E9A912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LB-6 4Kw</w:t>
                  </w:r>
                </w:p>
              </w:tc>
              <w:tc>
                <w:tcPr>
                  <w:tcW w:w="660" w:type="dxa"/>
                  <w:tcBorders>
                    <w:tl2br w:val="nil"/>
                    <w:tr2bl w:val="nil"/>
                  </w:tcBorders>
                  <w:vAlign w:val="center"/>
                </w:tcPr>
                <w:p w14:paraId="3ABE9FC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台</w:t>
                  </w:r>
                </w:p>
              </w:tc>
              <w:tc>
                <w:tcPr>
                  <w:tcW w:w="765" w:type="dxa"/>
                  <w:tcBorders>
                    <w:tl2br w:val="nil"/>
                    <w:tr2bl w:val="nil"/>
                  </w:tcBorders>
                  <w:vAlign w:val="center"/>
                </w:tcPr>
                <w:p w14:paraId="3E04EB8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5DCBE657">
                  <w:pPr>
                    <w:jc w:val="center"/>
                    <w:rPr>
                      <w:rFonts w:ascii="Times New Roman" w:hAnsi="Times New Roman" w:eastAsia="宋体" w:cs="宋体-PUA"/>
                      <w:bCs/>
                      <w:szCs w:val="21"/>
                      <w:shd w:val="clear" w:color="auto" w:fill="FFFFFF"/>
                    </w:rPr>
                  </w:pPr>
                </w:p>
              </w:tc>
            </w:tr>
            <w:tr w14:paraId="4F7CA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16F407D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9</w:t>
                  </w:r>
                </w:p>
              </w:tc>
              <w:tc>
                <w:tcPr>
                  <w:tcW w:w="2505" w:type="dxa"/>
                  <w:tcBorders>
                    <w:tl2br w:val="nil"/>
                    <w:tr2bl w:val="nil"/>
                  </w:tcBorders>
                  <w:vAlign w:val="center"/>
                </w:tcPr>
                <w:p w14:paraId="2ADE3FF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多级乳液泵</w:t>
                  </w:r>
                </w:p>
              </w:tc>
              <w:tc>
                <w:tcPr>
                  <w:tcW w:w="2535" w:type="dxa"/>
                  <w:tcBorders>
                    <w:tl2br w:val="nil"/>
                    <w:tr2bl w:val="nil"/>
                  </w:tcBorders>
                  <w:vAlign w:val="center"/>
                </w:tcPr>
                <w:p w14:paraId="2B49A82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CDL8-5FSWPC</w:t>
                  </w:r>
                </w:p>
              </w:tc>
              <w:tc>
                <w:tcPr>
                  <w:tcW w:w="660" w:type="dxa"/>
                  <w:tcBorders>
                    <w:tl2br w:val="nil"/>
                    <w:tr2bl w:val="nil"/>
                  </w:tcBorders>
                  <w:vAlign w:val="center"/>
                </w:tcPr>
                <w:p w14:paraId="43C582F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台</w:t>
                  </w:r>
                </w:p>
              </w:tc>
              <w:tc>
                <w:tcPr>
                  <w:tcW w:w="765" w:type="dxa"/>
                  <w:tcBorders>
                    <w:tl2br w:val="nil"/>
                    <w:tr2bl w:val="nil"/>
                  </w:tcBorders>
                  <w:vAlign w:val="center"/>
                </w:tcPr>
                <w:p w14:paraId="0B3E158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67CD7133">
                  <w:pPr>
                    <w:jc w:val="center"/>
                    <w:rPr>
                      <w:rFonts w:ascii="Times New Roman" w:hAnsi="Times New Roman" w:eastAsia="宋体" w:cs="宋体-PUA"/>
                      <w:bCs/>
                      <w:szCs w:val="21"/>
                      <w:shd w:val="clear" w:color="auto" w:fill="FFFFFF"/>
                    </w:rPr>
                  </w:pPr>
                </w:p>
              </w:tc>
            </w:tr>
            <w:tr w14:paraId="3276F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7D174BF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10</w:t>
                  </w:r>
                </w:p>
              </w:tc>
              <w:tc>
                <w:tcPr>
                  <w:tcW w:w="2505" w:type="dxa"/>
                  <w:tcBorders>
                    <w:tl2br w:val="nil"/>
                    <w:tr2bl w:val="nil"/>
                  </w:tcBorders>
                  <w:vAlign w:val="center"/>
                </w:tcPr>
                <w:p w14:paraId="01CA93E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热水泵</w:t>
                  </w:r>
                </w:p>
              </w:tc>
              <w:tc>
                <w:tcPr>
                  <w:tcW w:w="2535" w:type="dxa"/>
                  <w:tcBorders>
                    <w:tl2br w:val="nil"/>
                    <w:tr2bl w:val="nil"/>
                  </w:tcBorders>
                  <w:vAlign w:val="center"/>
                </w:tcPr>
                <w:p w14:paraId="5399F0B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IPG40-125A</w:t>
                  </w:r>
                </w:p>
              </w:tc>
              <w:tc>
                <w:tcPr>
                  <w:tcW w:w="660" w:type="dxa"/>
                  <w:tcBorders>
                    <w:tl2br w:val="nil"/>
                    <w:tr2bl w:val="nil"/>
                  </w:tcBorders>
                  <w:vAlign w:val="center"/>
                </w:tcPr>
                <w:p w14:paraId="53B3B15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台</w:t>
                  </w:r>
                </w:p>
              </w:tc>
              <w:tc>
                <w:tcPr>
                  <w:tcW w:w="765" w:type="dxa"/>
                  <w:tcBorders>
                    <w:tl2br w:val="nil"/>
                    <w:tr2bl w:val="nil"/>
                  </w:tcBorders>
                  <w:vAlign w:val="center"/>
                </w:tcPr>
                <w:p w14:paraId="2FA7047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35630300">
                  <w:pPr>
                    <w:jc w:val="center"/>
                    <w:rPr>
                      <w:rFonts w:ascii="Times New Roman" w:hAnsi="Times New Roman" w:eastAsia="宋体" w:cs="宋体-PUA"/>
                      <w:bCs/>
                      <w:szCs w:val="21"/>
                      <w:shd w:val="clear" w:color="auto" w:fill="FFFFFF"/>
                    </w:rPr>
                  </w:pPr>
                </w:p>
              </w:tc>
            </w:tr>
            <w:tr w14:paraId="4AEFB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184456C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11</w:t>
                  </w:r>
                </w:p>
              </w:tc>
              <w:tc>
                <w:tcPr>
                  <w:tcW w:w="2505" w:type="dxa"/>
                  <w:tcBorders>
                    <w:tl2br w:val="nil"/>
                    <w:tr2bl w:val="nil"/>
                  </w:tcBorders>
                  <w:vAlign w:val="center"/>
                </w:tcPr>
                <w:p w14:paraId="10C2E42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温度计</w:t>
                  </w:r>
                </w:p>
              </w:tc>
              <w:tc>
                <w:tcPr>
                  <w:tcW w:w="2535" w:type="dxa"/>
                  <w:tcBorders>
                    <w:tl2br w:val="nil"/>
                    <w:tr2bl w:val="nil"/>
                  </w:tcBorders>
                  <w:vAlign w:val="center"/>
                </w:tcPr>
                <w:p w14:paraId="1FB81C7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0-300度</w:t>
                  </w:r>
                </w:p>
              </w:tc>
              <w:tc>
                <w:tcPr>
                  <w:tcW w:w="660" w:type="dxa"/>
                  <w:tcBorders>
                    <w:tl2br w:val="nil"/>
                    <w:tr2bl w:val="nil"/>
                  </w:tcBorders>
                  <w:vAlign w:val="center"/>
                </w:tcPr>
                <w:p w14:paraId="7528C8B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支</w:t>
                  </w:r>
                </w:p>
              </w:tc>
              <w:tc>
                <w:tcPr>
                  <w:tcW w:w="765" w:type="dxa"/>
                  <w:tcBorders>
                    <w:tl2br w:val="nil"/>
                    <w:tr2bl w:val="nil"/>
                  </w:tcBorders>
                  <w:vAlign w:val="center"/>
                </w:tcPr>
                <w:p w14:paraId="38A8D2E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w:t>
                  </w:r>
                </w:p>
              </w:tc>
              <w:tc>
                <w:tcPr>
                  <w:tcW w:w="740" w:type="dxa"/>
                  <w:tcBorders>
                    <w:tl2br w:val="nil"/>
                    <w:tr2bl w:val="nil"/>
                  </w:tcBorders>
                  <w:vAlign w:val="center"/>
                </w:tcPr>
                <w:p w14:paraId="3FAF80DF">
                  <w:pPr>
                    <w:jc w:val="center"/>
                    <w:rPr>
                      <w:rFonts w:ascii="Times New Roman" w:hAnsi="Times New Roman" w:eastAsia="宋体" w:cs="宋体-PUA"/>
                      <w:bCs/>
                      <w:szCs w:val="21"/>
                      <w:shd w:val="clear" w:color="auto" w:fill="FFFFFF"/>
                    </w:rPr>
                  </w:pPr>
                </w:p>
              </w:tc>
            </w:tr>
            <w:tr w14:paraId="3742D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686BB2E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12</w:t>
                  </w:r>
                </w:p>
              </w:tc>
              <w:tc>
                <w:tcPr>
                  <w:tcW w:w="2505" w:type="dxa"/>
                  <w:tcBorders>
                    <w:tl2br w:val="nil"/>
                    <w:tr2bl w:val="nil"/>
                  </w:tcBorders>
                  <w:vAlign w:val="center"/>
                </w:tcPr>
                <w:p w14:paraId="06BA44C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高压阀门</w:t>
                  </w:r>
                </w:p>
              </w:tc>
              <w:tc>
                <w:tcPr>
                  <w:tcW w:w="2535" w:type="dxa"/>
                  <w:tcBorders>
                    <w:tl2br w:val="nil"/>
                    <w:tr2bl w:val="nil"/>
                  </w:tcBorders>
                  <w:vAlign w:val="center"/>
                </w:tcPr>
                <w:p w14:paraId="32EDFE8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DN50型</w:t>
                  </w:r>
                </w:p>
              </w:tc>
              <w:tc>
                <w:tcPr>
                  <w:tcW w:w="660" w:type="dxa"/>
                  <w:tcBorders>
                    <w:tl2br w:val="nil"/>
                    <w:tr2bl w:val="nil"/>
                  </w:tcBorders>
                  <w:vAlign w:val="center"/>
                </w:tcPr>
                <w:p w14:paraId="6F4A78A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台</w:t>
                  </w:r>
                </w:p>
              </w:tc>
              <w:tc>
                <w:tcPr>
                  <w:tcW w:w="765" w:type="dxa"/>
                  <w:tcBorders>
                    <w:tl2br w:val="nil"/>
                    <w:tr2bl w:val="nil"/>
                  </w:tcBorders>
                  <w:vAlign w:val="center"/>
                </w:tcPr>
                <w:p w14:paraId="17028E6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740" w:type="dxa"/>
                  <w:tcBorders>
                    <w:tl2br w:val="nil"/>
                    <w:tr2bl w:val="nil"/>
                  </w:tcBorders>
                  <w:vAlign w:val="center"/>
                </w:tcPr>
                <w:p w14:paraId="581EF8FC">
                  <w:pPr>
                    <w:jc w:val="center"/>
                    <w:rPr>
                      <w:rFonts w:ascii="Times New Roman" w:hAnsi="Times New Roman" w:eastAsia="宋体" w:cs="宋体-PUA"/>
                      <w:bCs/>
                      <w:szCs w:val="21"/>
                      <w:shd w:val="clear" w:color="auto" w:fill="FFFFFF"/>
                    </w:rPr>
                  </w:pPr>
                </w:p>
              </w:tc>
            </w:tr>
            <w:tr w14:paraId="00E15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9" w:hRule="atLeast"/>
                <w:jc w:val="center"/>
              </w:trPr>
              <w:tc>
                <w:tcPr>
                  <w:tcW w:w="755" w:type="dxa"/>
                  <w:tcBorders>
                    <w:tl2br w:val="nil"/>
                    <w:tr2bl w:val="nil"/>
                  </w:tcBorders>
                  <w:vAlign w:val="center"/>
                </w:tcPr>
                <w:p w14:paraId="198DD69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13</w:t>
                  </w:r>
                </w:p>
              </w:tc>
              <w:tc>
                <w:tcPr>
                  <w:tcW w:w="2505" w:type="dxa"/>
                  <w:tcBorders>
                    <w:tl2br w:val="nil"/>
                    <w:tr2bl w:val="nil"/>
                  </w:tcBorders>
                  <w:vAlign w:val="center"/>
                </w:tcPr>
                <w:p w14:paraId="716E224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高压阀门</w:t>
                  </w:r>
                </w:p>
              </w:tc>
              <w:tc>
                <w:tcPr>
                  <w:tcW w:w="2535" w:type="dxa"/>
                  <w:tcBorders>
                    <w:tl2br w:val="nil"/>
                    <w:tr2bl w:val="nil"/>
                  </w:tcBorders>
                  <w:vAlign w:val="center"/>
                </w:tcPr>
                <w:p w14:paraId="29265D0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DN25型</w:t>
                  </w:r>
                </w:p>
              </w:tc>
              <w:tc>
                <w:tcPr>
                  <w:tcW w:w="660" w:type="dxa"/>
                  <w:tcBorders>
                    <w:tl2br w:val="nil"/>
                    <w:tr2bl w:val="nil"/>
                  </w:tcBorders>
                  <w:vAlign w:val="center"/>
                </w:tcPr>
                <w:p w14:paraId="3FCACD6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台</w:t>
                  </w:r>
                </w:p>
              </w:tc>
              <w:tc>
                <w:tcPr>
                  <w:tcW w:w="765" w:type="dxa"/>
                  <w:tcBorders>
                    <w:tl2br w:val="nil"/>
                    <w:tr2bl w:val="nil"/>
                  </w:tcBorders>
                  <w:vAlign w:val="center"/>
                </w:tcPr>
                <w:p w14:paraId="62369A5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63CB1494">
                  <w:pPr>
                    <w:jc w:val="center"/>
                    <w:rPr>
                      <w:rFonts w:ascii="Times New Roman" w:hAnsi="Times New Roman" w:eastAsia="宋体" w:cs="宋体-PUA"/>
                      <w:bCs/>
                      <w:szCs w:val="21"/>
                      <w:shd w:val="clear" w:color="auto" w:fill="FFFFFF"/>
                    </w:rPr>
                  </w:pPr>
                </w:p>
              </w:tc>
            </w:tr>
            <w:tr w14:paraId="30085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5F859AD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14</w:t>
                  </w:r>
                </w:p>
              </w:tc>
              <w:tc>
                <w:tcPr>
                  <w:tcW w:w="2505" w:type="dxa"/>
                  <w:tcBorders>
                    <w:tl2br w:val="nil"/>
                    <w:tr2bl w:val="nil"/>
                  </w:tcBorders>
                  <w:vAlign w:val="center"/>
                </w:tcPr>
                <w:p w14:paraId="23910CE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清水管线</w:t>
                  </w:r>
                </w:p>
              </w:tc>
              <w:tc>
                <w:tcPr>
                  <w:tcW w:w="2535" w:type="dxa"/>
                  <w:tcBorders>
                    <w:tl2br w:val="nil"/>
                    <w:tr2bl w:val="nil"/>
                  </w:tcBorders>
                  <w:vAlign w:val="center"/>
                </w:tcPr>
                <w:p w14:paraId="0EA9027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不锈钢</w:t>
                  </w:r>
                </w:p>
              </w:tc>
              <w:tc>
                <w:tcPr>
                  <w:tcW w:w="660" w:type="dxa"/>
                  <w:tcBorders>
                    <w:tl2br w:val="nil"/>
                    <w:tr2bl w:val="nil"/>
                  </w:tcBorders>
                  <w:vAlign w:val="center"/>
                </w:tcPr>
                <w:p w14:paraId="04CF5A9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765" w:type="dxa"/>
                  <w:tcBorders>
                    <w:tl2br w:val="nil"/>
                    <w:tr2bl w:val="nil"/>
                  </w:tcBorders>
                  <w:vAlign w:val="center"/>
                </w:tcPr>
                <w:p w14:paraId="21D2BC1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2C861CB7">
                  <w:pPr>
                    <w:jc w:val="center"/>
                    <w:rPr>
                      <w:rFonts w:ascii="Times New Roman" w:hAnsi="Times New Roman" w:eastAsia="宋体" w:cs="宋体-PUA"/>
                      <w:bCs/>
                      <w:szCs w:val="21"/>
                      <w:shd w:val="clear" w:color="auto" w:fill="FFFFFF"/>
                    </w:rPr>
                  </w:pPr>
                </w:p>
              </w:tc>
            </w:tr>
            <w:tr w14:paraId="20783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4BE34A5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15</w:t>
                  </w:r>
                </w:p>
              </w:tc>
              <w:tc>
                <w:tcPr>
                  <w:tcW w:w="2505" w:type="dxa"/>
                  <w:tcBorders>
                    <w:tl2br w:val="nil"/>
                    <w:tr2bl w:val="nil"/>
                  </w:tcBorders>
                  <w:vAlign w:val="center"/>
                </w:tcPr>
                <w:p w14:paraId="69A6F66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成品中转箱</w:t>
                  </w:r>
                </w:p>
              </w:tc>
              <w:tc>
                <w:tcPr>
                  <w:tcW w:w="2535" w:type="dxa"/>
                  <w:tcBorders>
                    <w:tl2br w:val="nil"/>
                    <w:tr2bl w:val="nil"/>
                  </w:tcBorders>
                  <w:vAlign w:val="center"/>
                </w:tcPr>
                <w:p w14:paraId="45483D6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0.3m³</w:t>
                  </w:r>
                </w:p>
              </w:tc>
              <w:tc>
                <w:tcPr>
                  <w:tcW w:w="660" w:type="dxa"/>
                  <w:tcBorders>
                    <w:tl2br w:val="nil"/>
                    <w:tr2bl w:val="nil"/>
                  </w:tcBorders>
                  <w:vAlign w:val="center"/>
                </w:tcPr>
                <w:p w14:paraId="7F68DD7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台</w:t>
                  </w:r>
                </w:p>
              </w:tc>
              <w:tc>
                <w:tcPr>
                  <w:tcW w:w="765" w:type="dxa"/>
                  <w:tcBorders>
                    <w:tl2br w:val="nil"/>
                    <w:tr2bl w:val="nil"/>
                  </w:tcBorders>
                  <w:vAlign w:val="center"/>
                </w:tcPr>
                <w:p w14:paraId="7505869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7008E64E">
                  <w:pPr>
                    <w:jc w:val="center"/>
                    <w:rPr>
                      <w:rFonts w:ascii="Times New Roman" w:hAnsi="Times New Roman" w:eastAsia="宋体" w:cs="宋体-PUA"/>
                      <w:bCs/>
                      <w:szCs w:val="21"/>
                      <w:shd w:val="clear" w:color="auto" w:fill="FFFFFF"/>
                    </w:rPr>
                  </w:pPr>
                </w:p>
              </w:tc>
            </w:tr>
            <w:tr w14:paraId="46A6A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3F2F4F7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16</w:t>
                  </w:r>
                </w:p>
              </w:tc>
              <w:tc>
                <w:tcPr>
                  <w:tcW w:w="2505" w:type="dxa"/>
                  <w:tcBorders>
                    <w:tl2br w:val="nil"/>
                    <w:tr2bl w:val="nil"/>
                  </w:tcBorders>
                  <w:vAlign w:val="center"/>
                </w:tcPr>
                <w:p w14:paraId="1507CD3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水加温箱</w:t>
                  </w:r>
                </w:p>
              </w:tc>
              <w:tc>
                <w:tcPr>
                  <w:tcW w:w="2535" w:type="dxa"/>
                  <w:tcBorders>
                    <w:tl2br w:val="nil"/>
                    <w:tr2bl w:val="nil"/>
                  </w:tcBorders>
                  <w:vAlign w:val="center"/>
                </w:tcPr>
                <w:p w14:paraId="67577F2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3m³</w:t>
                  </w:r>
                </w:p>
              </w:tc>
              <w:tc>
                <w:tcPr>
                  <w:tcW w:w="660" w:type="dxa"/>
                  <w:tcBorders>
                    <w:tl2br w:val="nil"/>
                    <w:tr2bl w:val="nil"/>
                  </w:tcBorders>
                  <w:vAlign w:val="center"/>
                </w:tcPr>
                <w:p w14:paraId="22B6F24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台</w:t>
                  </w:r>
                </w:p>
              </w:tc>
              <w:tc>
                <w:tcPr>
                  <w:tcW w:w="765" w:type="dxa"/>
                  <w:tcBorders>
                    <w:tl2br w:val="nil"/>
                    <w:tr2bl w:val="nil"/>
                  </w:tcBorders>
                  <w:vAlign w:val="center"/>
                </w:tcPr>
                <w:p w14:paraId="5F78B30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3479FB33">
                  <w:pPr>
                    <w:jc w:val="center"/>
                    <w:rPr>
                      <w:rFonts w:ascii="Times New Roman" w:hAnsi="Times New Roman" w:eastAsia="宋体" w:cs="宋体-PUA"/>
                      <w:bCs/>
                      <w:szCs w:val="21"/>
                      <w:shd w:val="clear" w:color="auto" w:fill="FFFFFF"/>
                    </w:rPr>
                  </w:pPr>
                </w:p>
              </w:tc>
            </w:tr>
            <w:tr w14:paraId="0601A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029DC91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17</w:t>
                  </w:r>
                </w:p>
              </w:tc>
              <w:tc>
                <w:tcPr>
                  <w:tcW w:w="2505" w:type="dxa"/>
                  <w:tcBorders>
                    <w:tl2br w:val="nil"/>
                    <w:tr2bl w:val="nil"/>
                  </w:tcBorders>
                  <w:vAlign w:val="center"/>
                </w:tcPr>
                <w:p w14:paraId="7A3898A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沥青加温箱</w:t>
                  </w:r>
                </w:p>
              </w:tc>
              <w:tc>
                <w:tcPr>
                  <w:tcW w:w="2535" w:type="dxa"/>
                  <w:tcBorders>
                    <w:tl2br w:val="nil"/>
                    <w:tr2bl w:val="nil"/>
                  </w:tcBorders>
                  <w:vAlign w:val="center"/>
                </w:tcPr>
                <w:p w14:paraId="6846017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3m³</w:t>
                  </w:r>
                </w:p>
              </w:tc>
              <w:tc>
                <w:tcPr>
                  <w:tcW w:w="660" w:type="dxa"/>
                  <w:tcBorders>
                    <w:tl2br w:val="nil"/>
                    <w:tr2bl w:val="nil"/>
                  </w:tcBorders>
                  <w:vAlign w:val="center"/>
                </w:tcPr>
                <w:p w14:paraId="60B2E9E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台</w:t>
                  </w:r>
                </w:p>
              </w:tc>
              <w:tc>
                <w:tcPr>
                  <w:tcW w:w="765" w:type="dxa"/>
                  <w:tcBorders>
                    <w:tl2br w:val="nil"/>
                    <w:tr2bl w:val="nil"/>
                  </w:tcBorders>
                  <w:vAlign w:val="center"/>
                </w:tcPr>
                <w:p w14:paraId="4AC41B2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6053B2DD">
                  <w:pPr>
                    <w:jc w:val="center"/>
                    <w:rPr>
                      <w:rFonts w:ascii="Times New Roman" w:hAnsi="Times New Roman" w:eastAsia="宋体" w:cs="宋体-PUA"/>
                      <w:bCs/>
                      <w:szCs w:val="21"/>
                      <w:shd w:val="clear" w:color="auto" w:fill="FFFFFF"/>
                    </w:rPr>
                  </w:pPr>
                </w:p>
              </w:tc>
            </w:tr>
            <w:tr w14:paraId="2FC1C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091CC72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18</w:t>
                  </w:r>
                </w:p>
              </w:tc>
              <w:tc>
                <w:tcPr>
                  <w:tcW w:w="2505" w:type="dxa"/>
                  <w:tcBorders>
                    <w:tl2br w:val="nil"/>
                    <w:tr2bl w:val="nil"/>
                  </w:tcBorders>
                  <w:vAlign w:val="center"/>
                </w:tcPr>
                <w:p w14:paraId="30102C5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不锈钢止回阀</w:t>
                  </w:r>
                </w:p>
              </w:tc>
              <w:tc>
                <w:tcPr>
                  <w:tcW w:w="2535" w:type="dxa"/>
                  <w:tcBorders>
                    <w:tl2br w:val="nil"/>
                    <w:tr2bl w:val="nil"/>
                  </w:tcBorders>
                  <w:vAlign w:val="center"/>
                </w:tcPr>
                <w:p w14:paraId="77818F9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DN32</w:t>
                  </w:r>
                </w:p>
              </w:tc>
              <w:tc>
                <w:tcPr>
                  <w:tcW w:w="660" w:type="dxa"/>
                  <w:tcBorders>
                    <w:tl2br w:val="nil"/>
                    <w:tr2bl w:val="nil"/>
                  </w:tcBorders>
                  <w:vAlign w:val="center"/>
                </w:tcPr>
                <w:p w14:paraId="406DB3F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个</w:t>
                  </w:r>
                </w:p>
              </w:tc>
              <w:tc>
                <w:tcPr>
                  <w:tcW w:w="765" w:type="dxa"/>
                  <w:tcBorders>
                    <w:tl2br w:val="nil"/>
                    <w:tr2bl w:val="nil"/>
                  </w:tcBorders>
                  <w:vAlign w:val="center"/>
                </w:tcPr>
                <w:p w14:paraId="4B9D37E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6977B0AD">
                  <w:pPr>
                    <w:jc w:val="center"/>
                    <w:rPr>
                      <w:rFonts w:ascii="Times New Roman" w:hAnsi="Times New Roman" w:eastAsia="宋体" w:cs="宋体-PUA"/>
                      <w:bCs/>
                      <w:szCs w:val="21"/>
                      <w:shd w:val="clear" w:color="auto" w:fill="FFFFFF"/>
                    </w:rPr>
                  </w:pPr>
                </w:p>
              </w:tc>
            </w:tr>
            <w:tr w14:paraId="61835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9" w:hRule="atLeast"/>
                <w:jc w:val="center"/>
              </w:trPr>
              <w:tc>
                <w:tcPr>
                  <w:tcW w:w="755" w:type="dxa"/>
                  <w:tcBorders>
                    <w:tl2br w:val="nil"/>
                    <w:tr2bl w:val="nil"/>
                  </w:tcBorders>
                  <w:vAlign w:val="center"/>
                </w:tcPr>
                <w:p w14:paraId="3858EF4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19</w:t>
                  </w:r>
                </w:p>
              </w:tc>
              <w:tc>
                <w:tcPr>
                  <w:tcW w:w="2505" w:type="dxa"/>
                  <w:tcBorders>
                    <w:tl2br w:val="nil"/>
                    <w:tr2bl w:val="nil"/>
                  </w:tcBorders>
                  <w:vAlign w:val="center"/>
                </w:tcPr>
                <w:p w14:paraId="46E055B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乳液罐</w:t>
                  </w:r>
                </w:p>
              </w:tc>
              <w:tc>
                <w:tcPr>
                  <w:tcW w:w="2535" w:type="dxa"/>
                  <w:tcBorders>
                    <w:tl2br w:val="nil"/>
                    <w:tr2bl w:val="nil"/>
                  </w:tcBorders>
                  <w:vAlign w:val="center"/>
                </w:tcPr>
                <w:p w14:paraId="27459FB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φ1100*1100</w:t>
                  </w:r>
                </w:p>
              </w:tc>
              <w:tc>
                <w:tcPr>
                  <w:tcW w:w="660" w:type="dxa"/>
                  <w:tcBorders>
                    <w:tl2br w:val="nil"/>
                    <w:tr2bl w:val="nil"/>
                  </w:tcBorders>
                  <w:vAlign w:val="center"/>
                </w:tcPr>
                <w:p w14:paraId="350D96A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台</w:t>
                  </w:r>
                </w:p>
              </w:tc>
              <w:tc>
                <w:tcPr>
                  <w:tcW w:w="765" w:type="dxa"/>
                  <w:tcBorders>
                    <w:tl2br w:val="nil"/>
                    <w:tr2bl w:val="nil"/>
                  </w:tcBorders>
                  <w:vAlign w:val="center"/>
                </w:tcPr>
                <w:p w14:paraId="6558AC8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740" w:type="dxa"/>
                  <w:tcBorders>
                    <w:tl2br w:val="nil"/>
                    <w:tr2bl w:val="nil"/>
                  </w:tcBorders>
                  <w:vAlign w:val="center"/>
                </w:tcPr>
                <w:p w14:paraId="15E0860D">
                  <w:pPr>
                    <w:jc w:val="center"/>
                    <w:rPr>
                      <w:rFonts w:ascii="Times New Roman" w:hAnsi="Times New Roman" w:eastAsia="宋体" w:cs="宋体-PUA"/>
                      <w:bCs/>
                      <w:szCs w:val="21"/>
                      <w:shd w:val="clear" w:color="auto" w:fill="FFFFFF"/>
                    </w:rPr>
                  </w:pPr>
                </w:p>
              </w:tc>
            </w:tr>
            <w:tr w14:paraId="71CEC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06EB929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22</w:t>
                  </w:r>
                </w:p>
              </w:tc>
              <w:tc>
                <w:tcPr>
                  <w:tcW w:w="2505" w:type="dxa"/>
                  <w:tcBorders>
                    <w:tl2br w:val="nil"/>
                    <w:tr2bl w:val="nil"/>
                  </w:tcBorders>
                  <w:vAlign w:val="center"/>
                </w:tcPr>
                <w:p w14:paraId="1662B77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乳液搅拌器</w:t>
                  </w:r>
                </w:p>
              </w:tc>
              <w:tc>
                <w:tcPr>
                  <w:tcW w:w="2535" w:type="dxa"/>
                  <w:tcBorders>
                    <w:tl2br w:val="nil"/>
                    <w:tr2bl w:val="nil"/>
                  </w:tcBorders>
                  <w:vAlign w:val="center"/>
                </w:tcPr>
                <w:p w14:paraId="6425348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不锈钢搅拌器</w:t>
                  </w:r>
                </w:p>
              </w:tc>
              <w:tc>
                <w:tcPr>
                  <w:tcW w:w="660" w:type="dxa"/>
                  <w:tcBorders>
                    <w:tl2br w:val="nil"/>
                    <w:tr2bl w:val="nil"/>
                  </w:tcBorders>
                  <w:vAlign w:val="center"/>
                </w:tcPr>
                <w:p w14:paraId="025E341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765" w:type="dxa"/>
                  <w:tcBorders>
                    <w:tl2br w:val="nil"/>
                    <w:tr2bl w:val="nil"/>
                  </w:tcBorders>
                  <w:vAlign w:val="center"/>
                </w:tcPr>
                <w:p w14:paraId="7301C7B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w:t>
                  </w:r>
                </w:p>
              </w:tc>
              <w:tc>
                <w:tcPr>
                  <w:tcW w:w="740" w:type="dxa"/>
                  <w:tcBorders>
                    <w:tl2br w:val="nil"/>
                    <w:tr2bl w:val="nil"/>
                  </w:tcBorders>
                  <w:vAlign w:val="center"/>
                </w:tcPr>
                <w:p w14:paraId="2656FA58">
                  <w:pPr>
                    <w:jc w:val="center"/>
                    <w:rPr>
                      <w:rFonts w:ascii="Times New Roman" w:hAnsi="Times New Roman" w:eastAsia="宋体" w:cs="宋体-PUA"/>
                      <w:bCs/>
                      <w:szCs w:val="21"/>
                      <w:shd w:val="clear" w:color="auto" w:fill="FFFFFF"/>
                    </w:rPr>
                  </w:pPr>
                </w:p>
              </w:tc>
            </w:tr>
            <w:tr w14:paraId="6BF69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24470EB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24</w:t>
                  </w:r>
                </w:p>
              </w:tc>
              <w:tc>
                <w:tcPr>
                  <w:tcW w:w="2505" w:type="dxa"/>
                  <w:tcBorders>
                    <w:tl2br w:val="nil"/>
                    <w:tr2bl w:val="nil"/>
                  </w:tcBorders>
                  <w:vAlign w:val="center"/>
                </w:tcPr>
                <w:p w14:paraId="550D401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乳液管线</w:t>
                  </w:r>
                </w:p>
              </w:tc>
              <w:tc>
                <w:tcPr>
                  <w:tcW w:w="2535" w:type="dxa"/>
                  <w:tcBorders>
                    <w:tl2br w:val="nil"/>
                    <w:tr2bl w:val="nil"/>
                  </w:tcBorders>
                  <w:vAlign w:val="center"/>
                </w:tcPr>
                <w:p w14:paraId="7860FE4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φ32*3</w:t>
                  </w:r>
                </w:p>
              </w:tc>
              <w:tc>
                <w:tcPr>
                  <w:tcW w:w="660" w:type="dxa"/>
                  <w:tcBorders>
                    <w:tl2br w:val="nil"/>
                    <w:tr2bl w:val="nil"/>
                  </w:tcBorders>
                  <w:vAlign w:val="center"/>
                </w:tcPr>
                <w:p w14:paraId="3C0906E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765" w:type="dxa"/>
                  <w:tcBorders>
                    <w:tl2br w:val="nil"/>
                    <w:tr2bl w:val="nil"/>
                  </w:tcBorders>
                  <w:vAlign w:val="center"/>
                </w:tcPr>
                <w:p w14:paraId="415981B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21D10D43">
                  <w:pPr>
                    <w:jc w:val="center"/>
                    <w:rPr>
                      <w:rFonts w:ascii="Times New Roman" w:hAnsi="Times New Roman" w:eastAsia="宋体" w:cs="宋体-PUA"/>
                      <w:bCs/>
                      <w:szCs w:val="21"/>
                      <w:shd w:val="clear" w:color="auto" w:fill="FFFFFF"/>
                    </w:rPr>
                  </w:pPr>
                </w:p>
              </w:tc>
            </w:tr>
            <w:tr w14:paraId="7FD53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6D5AD20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25</w:t>
                  </w:r>
                </w:p>
              </w:tc>
              <w:tc>
                <w:tcPr>
                  <w:tcW w:w="2505" w:type="dxa"/>
                  <w:tcBorders>
                    <w:tl2br w:val="nil"/>
                    <w:tr2bl w:val="nil"/>
                  </w:tcBorders>
                  <w:vAlign w:val="center"/>
                </w:tcPr>
                <w:p w14:paraId="50375BE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稀释罐</w:t>
                  </w:r>
                </w:p>
              </w:tc>
              <w:tc>
                <w:tcPr>
                  <w:tcW w:w="2535" w:type="dxa"/>
                  <w:tcBorders>
                    <w:tl2br w:val="nil"/>
                    <w:tr2bl w:val="nil"/>
                  </w:tcBorders>
                  <w:vAlign w:val="center"/>
                </w:tcPr>
                <w:p w14:paraId="76CCE01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不锈钢</w:t>
                  </w:r>
                </w:p>
              </w:tc>
              <w:tc>
                <w:tcPr>
                  <w:tcW w:w="660" w:type="dxa"/>
                  <w:tcBorders>
                    <w:tl2br w:val="nil"/>
                    <w:tr2bl w:val="nil"/>
                  </w:tcBorders>
                  <w:vAlign w:val="center"/>
                </w:tcPr>
                <w:p w14:paraId="2CBEB1C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765" w:type="dxa"/>
                  <w:tcBorders>
                    <w:tl2br w:val="nil"/>
                    <w:tr2bl w:val="nil"/>
                  </w:tcBorders>
                  <w:vAlign w:val="center"/>
                </w:tcPr>
                <w:p w14:paraId="2AB6A88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3C6B6A2E">
                  <w:pPr>
                    <w:jc w:val="center"/>
                    <w:rPr>
                      <w:rFonts w:ascii="Times New Roman" w:hAnsi="Times New Roman" w:eastAsia="宋体" w:cs="宋体-PUA"/>
                      <w:bCs/>
                      <w:szCs w:val="21"/>
                      <w:shd w:val="clear" w:color="auto" w:fill="FFFFFF"/>
                    </w:rPr>
                  </w:pPr>
                </w:p>
              </w:tc>
            </w:tr>
            <w:tr w14:paraId="03C72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30A78F1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26</w:t>
                  </w:r>
                </w:p>
              </w:tc>
              <w:tc>
                <w:tcPr>
                  <w:tcW w:w="2505" w:type="dxa"/>
                  <w:tcBorders>
                    <w:tl2br w:val="nil"/>
                    <w:tr2bl w:val="nil"/>
                  </w:tcBorders>
                  <w:vAlign w:val="center"/>
                </w:tcPr>
                <w:p w14:paraId="2729286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外围板</w:t>
                  </w:r>
                </w:p>
              </w:tc>
              <w:tc>
                <w:tcPr>
                  <w:tcW w:w="2535" w:type="dxa"/>
                  <w:tcBorders>
                    <w:tl2br w:val="nil"/>
                    <w:tr2bl w:val="nil"/>
                  </w:tcBorders>
                  <w:vAlign w:val="center"/>
                </w:tcPr>
                <w:p w14:paraId="71005A2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瓦楞板</w:t>
                  </w:r>
                </w:p>
              </w:tc>
              <w:tc>
                <w:tcPr>
                  <w:tcW w:w="660" w:type="dxa"/>
                  <w:tcBorders>
                    <w:tl2br w:val="nil"/>
                    <w:tr2bl w:val="nil"/>
                  </w:tcBorders>
                  <w:vAlign w:val="center"/>
                </w:tcPr>
                <w:p w14:paraId="358F565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765" w:type="dxa"/>
                  <w:tcBorders>
                    <w:tl2br w:val="nil"/>
                    <w:tr2bl w:val="nil"/>
                  </w:tcBorders>
                  <w:vAlign w:val="center"/>
                </w:tcPr>
                <w:p w14:paraId="56F14A0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01B12438">
                  <w:pPr>
                    <w:jc w:val="center"/>
                    <w:rPr>
                      <w:rFonts w:ascii="Times New Roman" w:hAnsi="Times New Roman" w:eastAsia="宋体" w:cs="宋体-PUA"/>
                      <w:bCs/>
                      <w:szCs w:val="21"/>
                      <w:shd w:val="clear" w:color="auto" w:fill="FFFFFF"/>
                    </w:rPr>
                  </w:pPr>
                </w:p>
              </w:tc>
            </w:tr>
            <w:tr w14:paraId="7EEAB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09D4F56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27</w:t>
                  </w:r>
                </w:p>
              </w:tc>
              <w:tc>
                <w:tcPr>
                  <w:tcW w:w="2505" w:type="dxa"/>
                  <w:tcBorders>
                    <w:tl2br w:val="nil"/>
                    <w:tr2bl w:val="nil"/>
                  </w:tcBorders>
                  <w:vAlign w:val="center"/>
                </w:tcPr>
                <w:p w14:paraId="49D6603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卷帘门</w:t>
                  </w:r>
                </w:p>
              </w:tc>
              <w:tc>
                <w:tcPr>
                  <w:tcW w:w="2535" w:type="dxa"/>
                  <w:tcBorders>
                    <w:tl2br w:val="nil"/>
                    <w:tr2bl w:val="nil"/>
                  </w:tcBorders>
                  <w:vAlign w:val="center"/>
                </w:tcPr>
                <w:p w14:paraId="40372F8D">
                  <w:pPr>
                    <w:jc w:val="center"/>
                    <w:rPr>
                      <w:rFonts w:ascii="Times New Roman" w:hAnsi="Times New Roman" w:eastAsia="宋体" w:cs="宋体-PUA"/>
                      <w:bCs/>
                      <w:szCs w:val="21"/>
                      <w:shd w:val="clear" w:color="auto" w:fill="FFFFFF"/>
                    </w:rPr>
                  </w:pPr>
                </w:p>
              </w:tc>
              <w:tc>
                <w:tcPr>
                  <w:tcW w:w="660" w:type="dxa"/>
                  <w:tcBorders>
                    <w:tl2br w:val="nil"/>
                    <w:tr2bl w:val="nil"/>
                  </w:tcBorders>
                  <w:vAlign w:val="center"/>
                </w:tcPr>
                <w:p w14:paraId="2027FEE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765" w:type="dxa"/>
                  <w:tcBorders>
                    <w:tl2br w:val="nil"/>
                    <w:tr2bl w:val="nil"/>
                  </w:tcBorders>
                  <w:vAlign w:val="center"/>
                </w:tcPr>
                <w:p w14:paraId="396BA79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740" w:type="dxa"/>
                  <w:tcBorders>
                    <w:tl2br w:val="nil"/>
                    <w:tr2bl w:val="nil"/>
                  </w:tcBorders>
                  <w:vAlign w:val="center"/>
                </w:tcPr>
                <w:p w14:paraId="7209D985">
                  <w:pPr>
                    <w:jc w:val="center"/>
                    <w:rPr>
                      <w:rFonts w:ascii="Times New Roman" w:hAnsi="Times New Roman" w:eastAsia="宋体" w:cs="宋体-PUA"/>
                      <w:bCs/>
                      <w:szCs w:val="21"/>
                      <w:shd w:val="clear" w:color="auto" w:fill="FFFFFF"/>
                    </w:rPr>
                  </w:pPr>
                </w:p>
              </w:tc>
            </w:tr>
            <w:tr w14:paraId="2BF5C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0DC6496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28</w:t>
                  </w:r>
                </w:p>
              </w:tc>
              <w:tc>
                <w:tcPr>
                  <w:tcW w:w="2505" w:type="dxa"/>
                  <w:tcBorders>
                    <w:tl2br w:val="nil"/>
                    <w:tr2bl w:val="nil"/>
                  </w:tcBorders>
                  <w:vAlign w:val="center"/>
                </w:tcPr>
                <w:p w14:paraId="0AF9AE89">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成品管线及</w:t>
                  </w:r>
                  <w:r>
                    <w:rPr>
                      <w:rFonts w:hint="eastAsia" w:ascii="Times New Roman" w:hAnsi="Times New Roman" w:eastAsia="宋体" w:cs="宋体-PUA"/>
                      <w:bCs/>
                      <w:szCs w:val="21"/>
                      <w:shd w:val="clear" w:color="auto" w:fill="FFFFFF"/>
                    </w:rPr>
                    <w:br w:type="textWrapping"/>
                  </w:r>
                  <w:r>
                    <w:rPr>
                      <w:rFonts w:hint="eastAsia" w:ascii="Times New Roman" w:hAnsi="Times New Roman" w:eastAsia="宋体" w:cs="宋体-PUA"/>
                      <w:bCs/>
                      <w:szCs w:val="21"/>
                      <w:shd w:val="clear" w:color="auto" w:fill="FFFFFF"/>
                    </w:rPr>
                    <w:t>沥青输送管线</w:t>
                  </w:r>
                </w:p>
              </w:tc>
              <w:tc>
                <w:tcPr>
                  <w:tcW w:w="2535" w:type="dxa"/>
                  <w:tcBorders>
                    <w:tl2br w:val="nil"/>
                    <w:tr2bl w:val="nil"/>
                  </w:tcBorders>
                  <w:vAlign w:val="center"/>
                </w:tcPr>
                <w:p w14:paraId="27A97C4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无缝管</w:t>
                  </w:r>
                </w:p>
              </w:tc>
              <w:tc>
                <w:tcPr>
                  <w:tcW w:w="660" w:type="dxa"/>
                  <w:tcBorders>
                    <w:tl2br w:val="nil"/>
                    <w:tr2bl w:val="nil"/>
                  </w:tcBorders>
                  <w:vAlign w:val="center"/>
                </w:tcPr>
                <w:p w14:paraId="2C10DC8D">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765" w:type="dxa"/>
                  <w:tcBorders>
                    <w:tl2br w:val="nil"/>
                    <w:tr2bl w:val="nil"/>
                  </w:tcBorders>
                  <w:vAlign w:val="center"/>
                </w:tcPr>
                <w:p w14:paraId="1DE9C84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2CB4B7A4">
                  <w:pPr>
                    <w:jc w:val="center"/>
                    <w:rPr>
                      <w:rFonts w:ascii="Times New Roman" w:hAnsi="Times New Roman" w:eastAsia="宋体" w:cs="宋体-PUA"/>
                      <w:bCs/>
                      <w:szCs w:val="21"/>
                      <w:shd w:val="clear" w:color="auto" w:fill="FFFFFF"/>
                    </w:rPr>
                  </w:pPr>
                </w:p>
              </w:tc>
            </w:tr>
            <w:tr w14:paraId="65A0B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0EEE7B9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29</w:t>
                  </w:r>
                </w:p>
              </w:tc>
              <w:tc>
                <w:tcPr>
                  <w:tcW w:w="2505" w:type="dxa"/>
                  <w:tcBorders>
                    <w:tl2br w:val="nil"/>
                    <w:tr2bl w:val="nil"/>
                  </w:tcBorders>
                  <w:vAlign w:val="center"/>
                </w:tcPr>
                <w:p w14:paraId="6E079E1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换热器</w:t>
                  </w:r>
                </w:p>
              </w:tc>
              <w:tc>
                <w:tcPr>
                  <w:tcW w:w="2535" w:type="dxa"/>
                  <w:tcBorders>
                    <w:tl2br w:val="nil"/>
                    <w:tr2bl w:val="nil"/>
                  </w:tcBorders>
                  <w:vAlign w:val="center"/>
                </w:tcPr>
                <w:p w14:paraId="3549344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16平</w:t>
                  </w:r>
                </w:p>
              </w:tc>
              <w:tc>
                <w:tcPr>
                  <w:tcW w:w="660" w:type="dxa"/>
                  <w:tcBorders>
                    <w:tl2br w:val="nil"/>
                    <w:tr2bl w:val="nil"/>
                  </w:tcBorders>
                  <w:vAlign w:val="center"/>
                </w:tcPr>
                <w:p w14:paraId="5467196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765" w:type="dxa"/>
                  <w:tcBorders>
                    <w:tl2br w:val="nil"/>
                    <w:tr2bl w:val="nil"/>
                  </w:tcBorders>
                  <w:vAlign w:val="center"/>
                </w:tcPr>
                <w:p w14:paraId="1246523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2ECC1079">
                  <w:pPr>
                    <w:jc w:val="center"/>
                    <w:rPr>
                      <w:rFonts w:ascii="Times New Roman" w:hAnsi="Times New Roman" w:eastAsia="宋体" w:cs="宋体-PUA"/>
                      <w:bCs/>
                      <w:szCs w:val="21"/>
                      <w:shd w:val="clear" w:color="auto" w:fill="FFFFFF"/>
                    </w:rPr>
                  </w:pPr>
                </w:p>
              </w:tc>
            </w:tr>
            <w:tr w14:paraId="458BF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6098323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30</w:t>
                  </w:r>
                </w:p>
              </w:tc>
              <w:tc>
                <w:tcPr>
                  <w:tcW w:w="2505" w:type="dxa"/>
                  <w:tcBorders>
                    <w:tl2br w:val="nil"/>
                    <w:tr2bl w:val="nil"/>
                  </w:tcBorders>
                  <w:vAlign w:val="center"/>
                </w:tcPr>
                <w:p w14:paraId="49CC5E2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设备框架</w:t>
                  </w:r>
                </w:p>
              </w:tc>
              <w:tc>
                <w:tcPr>
                  <w:tcW w:w="2535" w:type="dxa"/>
                  <w:tcBorders>
                    <w:tl2br w:val="nil"/>
                    <w:tr2bl w:val="nil"/>
                  </w:tcBorders>
                  <w:vAlign w:val="center"/>
                </w:tcPr>
                <w:p w14:paraId="40459C2B">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钢结构组成</w:t>
                  </w:r>
                </w:p>
              </w:tc>
              <w:tc>
                <w:tcPr>
                  <w:tcW w:w="660" w:type="dxa"/>
                  <w:tcBorders>
                    <w:tl2br w:val="nil"/>
                    <w:tr2bl w:val="nil"/>
                  </w:tcBorders>
                  <w:vAlign w:val="center"/>
                </w:tcPr>
                <w:p w14:paraId="498503D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套</w:t>
                  </w:r>
                </w:p>
              </w:tc>
              <w:tc>
                <w:tcPr>
                  <w:tcW w:w="765" w:type="dxa"/>
                  <w:tcBorders>
                    <w:tl2br w:val="nil"/>
                    <w:tr2bl w:val="nil"/>
                  </w:tcBorders>
                  <w:vAlign w:val="center"/>
                </w:tcPr>
                <w:p w14:paraId="0EF08634">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w:t>
                  </w:r>
                </w:p>
              </w:tc>
              <w:tc>
                <w:tcPr>
                  <w:tcW w:w="740" w:type="dxa"/>
                  <w:tcBorders>
                    <w:tl2br w:val="nil"/>
                    <w:tr2bl w:val="nil"/>
                  </w:tcBorders>
                  <w:vAlign w:val="center"/>
                </w:tcPr>
                <w:p w14:paraId="3C59367B">
                  <w:pPr>
                    <w:jc w:val="center"/>
                    <w:rPr>
                      <w:rFonts w:ascii="Times New Roman" w:hAnsi="Times New Roman" w:eastAsia="宋体" w:cs="宋体-PUA"/>
                      <w:bCs/>
                      <w:szCs w:val="21"/>
                      <w:shd w:val="clear" w:color="auto" w:fill="FFFFFF"/>
                    </w:rPr>
                  </w:pPr>
                </w:p>
              </w:tc>
            </w:tr>
            <w:tr w14:paraId="473A2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24DD9FEC">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31</w:t>
                  </w:r>
                </w:p>
              </w:tc>
              <w:tc>
                <w:tcPr>
                  <w:tcW w:w="2505" w:type="dxa"/>
                  <w:tcBorders>
                    <w:tl2br w:val="nil"/>
                    <w:tr2bl w:val="nil"/>
                  </w:tcBorders>
                  <w:vAlign w:val="center"/>
                </w:tcPr>
                <w:p w14:paraId="654CD4C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功率总容量</w:t>
                  </w:r>
                </w:p>
              </w:tc>
              <w:tc>
                <w:tcPr>
                  <w:tcW w:w="2535" w:type="dxa"/>
                  <w:tcBorders>
                    <w:tl2br w:val="nil"/>
                    <w:tr2bl w:val="nil"/>
                  </w:tcBorders>
                  <w:vAlign w:val="center"/>
                </w:tcPr>
                <w:p w14:paraId="4F8CEC4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45千瓦左右</w:t>
                  </w:r>
                </w:p>
              </w:tc>
              <w:tc>
                <w:tcPr>
                  <w:tcW w:w="660" w:type="dxa"/>
                  <w:tcBorders>
                    <w:tl2br w:val="nil"/>
                    <w:tr2bl w:val="nil"/>
                  </w:tcBorders>
                  <w:vAlign w:val="center"/>
                </w:tcPr>
                <w:p w14:paraId="6C505865">
                  <w:pPr>
                    <w:jc w:val="center"/>
                    <w:rPr>
                      <w:rFonts w:ascii="Times New Roman" w:hAnsi="Times New Roman" w:eastAsia="宋体" w:cs="宋体-PUA"/>
                      <w:bCs/>
                      <w:szCs w:val="21"/>
                      <w:shd w:val="clear" w:color="auto" w:fill="FFFFFF"/>
                    </w:rPr>
                  </w:pPr>
                </w:p>
              </w:tc>
              <w:tc>
                <w:tcPr>
                  <w:tcW w:w="765" w:type="dxa"/>
                  <w:tcBorders>
                    <w:tl2br w:val="nil"/>
                    <w:tr2bl w:val="nil"/>
                  </w:tcBorders>
                  <w:vAlign w:val="center"/>
                </w:tcPr>
                <w:p w14:paraId="615C1246">
                  <w:pPr>
                    <w:jc w:val="center"/>
                    <w:rPr>
                      <w:rFonts w:ascii="Times New Roman" w:hAnsi="Times New Roman" w:eastAsia="宋体" w:cs="宋体-PUA"/>
                      <w:bCs/>
                      <w:szCs w:val="21"/>
                      <w:shd w:val="clear" w:color="auto" w:fill="FFFFFF"/>
                    </w:rPr>
                  </w:pPr>
                </w:p>
              </w:tc>
              <w:tc>
                <w:tcPr>
                  <w:tcW w:w="740" w:type="dxa"/>
                  <w:tcBorders>
                    <w:tl2br w:val="nil"/>
                    <w:tr2bl w:val="nil"/>
                  </w:tcBorders>
                  <w:vAlign w:val="center"/>
                </w:tcPr>
                <w:p w14:paraId="243603BD">
                  <w:pPr>
                    <w:jc w:val="center"/>
                    <w:rPr>
                      <w:rFonts w:ascii="Times New Roman" w:hAnsi="Times New Roman" w:eastAsia="宋体" w:cs="宋体-PUA"/>
                      <w:bCs/>
                      <w:szCs w:val="21"/>
                      <w:shd w:val="clear" w:color="auto" w:fill="FFFFFF"/>
                    </w:rPr>
                  </w:pPr>
                </w:p>
              </w:tc>
            </w:tr>
            <w:tr w14:paraId="2E526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5" w:type="dxa"/>
                  <w:tcBorders>
                    <w:tl2br w:val="nil"/>
                    <w:tr2bl w:val="nil"/>
                  </w:tcBorders>
                  <w:vAlign w:val="center"/>
                </w:tcPr>
                <w:p w14:paraId="1D73A2C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32</w:t>
                  </w:r>
                </w:p>
              </w:tc>
              <w:tc>
                <w:tcPr>
                  <w:tcW w:w="2505" w:type="dxa"/>
                  <w:tcBorders>
                    <w:tl2br w:val="nil"/>
                    <w:tr2bl w:val="nil"/>
                  </w:tcBorders>
                  <w:vAlign w:val="center"/>
                </w:tcPr>
                <w:p w14:paraId="7837A73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集装箱外形尺寸</w:t>
                  </w:r>
                </w:p>
              </w:tc>
              <w:tc>
                <w:tcPr>
                  <w:tcW w:w="4700" w:type="dxa"/>
                  <w:gridSpan w:val="4"/>
                  <w:tcBorders>
                    <w:tl2br w:val="nil"/>
                    <w:tr2bl w:val="nil"/>
                  </w:tcBorders>
                  <w:vAlign w:val="center"/>
                </w:tcPr>
                <w:p w14:paraId="0A16F8C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6500mm*2200mm*2600mm</w:t>
                  </w:r>
                </w:p>
              </w:tc>
            </w:tr>
          </w:tbl>
          <w:p w14:paraId="2A433EE8">
            <w:pPr>
              <w:spacing w:line="360" w:lineRule="auto"/>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2.5原辅材料</w:t>
            </w:r>
          </w:p>
          <w:p w14:paraId="70D11595">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本项目主要原辅材料及原辅材料消耗量详见表2-5。</w:t>
            </w:r>
          </w:p>
          <w:p w14:paraId="2035E406">
            <w:pPr>
              <w:spacing w:line="360" w:lineRule="auto"/>
              <w:jc w:val="center"/>
              <w:rPr>
                <w:rFonts w:ascii="Times New Roman" w:hAnsi="Times New Roman" w:eastAsia="宋体" w:cs="宋体-PUA"/>
                <w:b/>
                <w:szCs w:val="21"/>
                <w:shd w:val="clear" w:color="auto" w:fill="FFFFFF"/>
              </w:rPr>
            </w:pPr>
            <w:r>
              <w:rPr>
                <w:rFonts w:hint="eastAsia" w:ascii="Times New Roman" w:hAnsi="Times New Roman" w:eastAsia="宋体" w:cs="Times New Roman"/>
                <w:b/>
                <w:bCs/>
                <w:snapToGrid w:val="0"/>
                <w:kern w:val="0"/>
                <w:sz w:val="24"/>
              </w:rPr>
              <w:t>表2-5 主要原、辅材料及消耗量一览表</w:t>
            </w:r>
          </w:p>
          <w:tbl>
            <w:tblPr>
              <w:tblStyle w:val="76"/>
              <w:tblW w:w="80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2"/>
              <w:gridCol w:w="32"/>
              <w:gridCol w:w="890"/>
              <w:gridCol w:w="746"/>
              <w:gridCol w:w="104"/>
              <w:gridCol w:w="774"/>
              <w:gridCol w:w="909"/>
              <w:gridCol w:w="276"/>
              <w:gridCol w:w="1068"/>
              <w:gridCol w:w="1079"/>
              <w:gridCol w:w="321"/>
              <w:gridCol w:w="1296"/>
            </w:tblGrid>
            <w:tr w14:paraId="5F682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346" w:type="pct"/>
                  <w:gridSpan w:val="2"/>
                  <w:tcBorders>
                    <w:tl2br w:val="nil"/>
                    <w:tr2bl w:val="nil"/>
                  </w:tcBorders>
                  <w:vAlign w:val="center"/>
                </w:tcPr>
                <w:p w14:paraId="4E798D6D">
                  <w:pPr>
                    <w:jc w:val="center"/>
                    <w:rPr>
                      <w:rFonts w:ascii="Times New Roman" w:hAnsi="Times New Roman" w:eastAsia="宋体" w:cs="Times New Roman"/>
                      <w:b/>
                      <w:szCs w:val="21"/>
                    </w:rPr>
                  </w:pPr>
                  <w:r>
                    <w:rPr>
                      <w:rFonts w:hint="eastAsia" w:ascii="Times New Roman" w:hAnsi="Times New Roman" w:eastAsia="宋体" w:cs="Times New Roman"/>
                      <w:b/>
                      <w:szCs w:val="21"/>
                    </w:rPr>
                    <w:t>序号</w:t>
                  </w:r>
                </w:p>
              </w:tc>
              <w:tc>
                <w:tcPr>
                  <w:tcW w:w="555" w:type="pct"/>
                  <w:tcBorders>
                    <w:tl2br w:val="nil"/>
                    <w:tr2bl w:val="nil"/>
                  </w:tcBorders>
                  <w:vAlign w:val="center"/>
                </w:tcPr>
                <w:p w14:paraId="283360DF">
                  <w:pPr>
                    <w:jc w:val="center"/>
                    <w:rPr>
                      <w:rFonts w:ascii="Times New Roman" w:hAnsi="Times New Roman" w:eastAsia="宋体" w:cs="Times New Roman"/>
                      <w:b/>
                      <w:szCs w:val="21"/>
                    </w:rPr>
                  </w:pPr>
                  <w:r>
                    <w:rPr>
                      <w:rFonts w:hint="eastAsia" w:ascii="Times New Roman" w:hAnsi="Times New Roman" w:eastAsia="宋体" w:cs="Times New Roman"/>
                      <w:b/>
                      <w:szCs w:val="21"/>
                    </w:rPr>
                    <w:t>原辅料</w:t>
                  </w:r>
                </w:p>
                <w:p w14:paraId="56180F6C">
                  <w:pPr>
                    <w:jc w:val="center"/>
                    <w:rPr>
                      <w:rFonts w:ascii="Times New Roman" w:hAnsi="Times New Roman" w:eastAsia="宋体" w:cs="Times New Roman"/>
                      <w:b/>
                      <w:szCs w:val="21"/>
                    </w:rPr>
                  </w:pPr>
                  <w:r>
                    <w:rPr>
                      <w:rFonts w:hint="eastAsia" w:ascii="Times New Roman" w:hAnsi="Times New Roman" w:eastAsia="宋体" w:cs="Times New Roman"/>
                      <w:b/>
                      <w:szCs w:val="21"/>
                    </w:rPr>
                    <w:t>名称</w:t>
                  </w:r>
                </w:p>
              </w:tc>
              <w:tc>
                <w:tcPr>
                  <w:tcW w:w="465" w:type="pct"/>
                  <w:tcBorders>
                    <w:tl2br w:val="nil"/>
                    <w:tr2bl w:val="nil"/>
                  </w:tcBorders>
                  <w:vAlign w:val="center"/>
                </w:tcPr>
                <w:p w14:paraId="741475DA">
                  <w:pPr>
                    <w:jc w:val="center"/>
                    <w:rPr>
                      <w:rFonts w:ascii="Times New Roman" w:hAnsi="Times New Roman" w:eastAsia="宋体" w:cs="Times New Roman"/>
                      <w:b/>
                      <w:szCs w:val="21"/>
                    </w:rPr>
                  </w:pPr>
                  <w:r>
                    <w:rPr>
                      <w:rFonts w:hint="eastAsia" w:ascii="Times New Roman" w:hAnsi="Times New Roman" w:eastAsia="宋体" w:cs="Times New Roman"/>
                      <w:b/>
                      <w:szCs w:val="21"/>
                    </w:rPr>
                    <w:t>单位</w:t>
                  </w:r>
                </w:p>
              </w:tc>
              <w:tc>
                <w:tcPr>
                  <w:tcW w:w="548" w:type="pct"/>
                  <w:gridSpan w:val="2"/>
                  <w:tcBorders>
                    <w:tl2br w:val="nil"/>
                    <w:tr2bl w:val="nil"/>
                  </w:tcBorders>
                  <w:vAlign w:val="center"/>
                </w:tcPr>
                <w:p w14:paraId="4FFA214F">
                  <w:pPr>
                    <w:jc w:val="center"/>
                    <w:rPr>
                      <w:rFonts w:ascii="Times New Roman" w:hAnsi="Times New Roman" w:eastAsia="宋体" w:cs="Times New Roman"/>
                      <w:b/>
                      <w:szCs w:val="21"/>
                    </w:rPr>
                  </w:pPr>
                  <w:r>
                    <w:rPr>
                      <w:rFonts w:hint="eastAsia" w:ascii="Times New Roman" w:hAnsi="Times New Roman" w:eastAsia="宋体" w:cs="Times New Roman"/>
                      <w:b/>
                      <w:szCs w:val="21"/>
                    </w:rPr>
                    <w:t>年用量</w:t>
                  </w:r>
                </w:p>
              </w:tc>
              <w:tc>
                <w:tcPr>
                  <w:tcW w:w="739" w:type="pct"/>
                  <w:gridSpan w:val="2"/>
                  <w:tcBorders>
                    <w:tl2br w:val="nil"/>
                    <w:tr2bl w:val="nil"/>
                  </w:tcBorders>
                  <w:vAlign w:val="center"/>
                </w:tcPr>
                <w:p w14:paraId="49DCA9F1">
                  <w:pPr>
                    <w:jc w:val="center"/>
                    <w:rPr>
                      <w:rFonts w:ascii="Times New Roman" w:hAnsi="Times New Roman" w:eastAsia="宋体" w:cs="Times New Roman"/>
                      <w:b/>
                      <w:szCs w:val="21"/>
                    </w:rPr>
                  </w:pPr>
                  <w:r>
                    <w:rPr>
                      <w:rFonts w:hint="eastAsia" w:ascii="Times New Roman" w:hAnsi="Times New Roman" w:eastAsia="宋体" w:cs="Times New Roman"/>
                      <w:b/>
                      <w:szCs w:val="21"/>
                    </w:rPr>
                    <w:t>贮存位置</w:t>
                  </w:r>
                </w:p>
              </w:tc>
              <w:tc>
                <w:tcPr>
                  <w:tcW w:w="665" w:type="pct"/>
                  <w:tcBorders>
                    <w:tl2br w:val="nil"/>
                    <w:tr2bl w:val="nil"/>
                  </w:tcBorders>
                  <w:vAlign w:val="center"/>
                </w:tcPr>
                <w:p w14:paraId="31705F03">
                  <w:pPr>
                    <w:jc w:val="center"/>
                    <w:rPr>
                      <w:rFonts w:ascii="Times New Roman" w:hAnsi="Times New Roman" w:eastAsia="宋体" w:cs="Times New Roman"/>
                      <w:b/>
                      <w:szCs w:val="21"/>
                    </w:rPr>
                  </w:pPr>
                  <w:r>
                    <w:rPr>
                      <w:rFonts w:hint="eastAsia" w:ascii="Times New Roman" w:hAnsi="Times New Roman" w:eastAsia="宋体" w:cs="Times New Roman"/>
                      <w:b/>
                      <w:szCs w:val="21"/>
                    </w:rPr>
                    <w:t>最大贮存量</w:t>
                  </w:r>
                </w:p>
              </w:tc>
              <w:tc>
                <w:tcPr>
                  <w:tcW w:w="873" w:type="pct"/>
                  <w:gridSpan w:val="2"/>
                  <w:tcBorders>
                    <w:tl2br w:val="nil"/>
                    <w:tr2bl w:val="nil"/>
                  </w:tcBorders>
                  <w:vAlign w:val="center"/>
                </w:tcPr>
                <w:p w14:paraId="3EF9D579">
                  <w:pPr>
                    <w:jc w:val="center"/>
                    <w:rPr>
                      <w:rFonts w:ascii="Times New Roman" w:hAnsi="Times New Roman" w:eastAsia="宋体" w:cs="Times New Roman"/>
                      <w:b/>
                      <w:szCs w:val="21"/>
                    </w:rPr>
                  </w:pPr>
                  <w:r>
                    <w:rPr>
                      <w:rFonts w:hint="eastAsia" w:ascii="Times New Roman" w:hAnsi="Times New Roman" w:eastAsia="宋体" w:cs="Times New Roman"/>
                      <w:b/>
                      <w:szCs w:val="21"/>
                    </w:rPr>
                    <w:t>来源</w:t>
                  </w:r>
                </w:p>
              </w:tc>
              <w:tc>
                <w:tcPr>
                  <w:tcW w:w="805" w:type="pct"/>
                  <w:tcBorders>
                    <w:tl2br w:val="nil"/>
                    <w:tr2bl w:val="nil"/>
                  </w:tcBorders>
                  <w:vAlign w:val="center"/>
                </w:tcPr>
                <w:p w14:paraId="117F6591">
                  <w:pPr>
                    <w:jc w:val="center"/>
                    <w:rPr>
                      <w:rFonts w:ascii="Times New Roman" w:hAnsi="Times New Roman" w:eastAsia="宋体" w:cs="Times New Roman"/>
                      <w:b/>
                      <w:szCs w:val="21"/>
                    </w:rPr>
                  </w:pPr>
                  <w:r>
                    <w:rPr>
                      <w:rFonts w:hint="eastAsia" w:ascii="Times New Roman" w:hAnsi="Times New Roman" w:eastAsia="宋体" w:cs="Times New Roman"/>
                      <w:b/>
                      <w:szCs w:val="21"/>
                    </w:rPr>
                    <w:t>备注</w:t>
                  </w:r>
                </w:p>
              </w:tc>
            </w:tr>
            <w:tr w14:paraId="3C2E1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jc w:val="center"/>
              </w:trPr>
              <w:tc>
                <w:tcPr>
                  <w:tcW w:w="5000" w:type="pct"/>
                  <w:gridSpan w:val="12"/>
                  <w:tcBorders>
                    <w:tl2br w:val="nil"/>
                    <w:tr2bl w:val="nil"/>
                  </w:tcBorders>
                  <w:vAlign w:val="center"/>
                </w:tcPr>
                <w:p w14:paraId="38B96A41">
                  <w:pPr>
                    <w:jc w:val="center"/>
                    <w:rPr>
                      <w:rFonts w:ascii="Times New Roman" w:hAnsi="Times New Roman" w:eastAsia="宋体" w:cs="Times New Roman"/>
                      <w:b/>
                      <w:szCs w:val="21"/>
                    </w:rPr>
                  </w:pPr>
                  <w:r>
                    <w:rPr>
                      <w:rFonts w:hint="eastAsia" w:ascii="Times New Roman" w:hAnsi="Times New Roman" w:eastAsia="宋体" w:cs="Times New Roman"/>
                      <w:b/>
                      <w:szCs w:val="21"/>
                    </w:rPr>
                    <w:t>一、耐候性沥青混凝土</w:t>
                  </w:r>
                </w:p>
              </w:tc>
            </w:tr>
            <w:tr w14:paraId="64988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346" w:type="pct"/>
                  <w:gridSpan w:val="2"/>
                  <w:tcBorders>
                    <w:tl2br w:val="nil"/>
                    <w:tr2bl w:val="nil"/>
                  </w:tcBorders>
                  <w:vAlign w:val="center"/>
                </w:tcPr>
                <w:p w14:paraId="4EA7936B">
                  <w:pPr>
                    <w:jc w:val="center"/>
                    <w:rPr>
                      <w:rFonts w:ascii="Times New Roman" w:hAnsi="Times New Roman" w:eastAsia="宋体" w:cs="Times New Roman"/>
                      <w:b/>
                      <w:szCs w:val="21"/>
                    </w:rPr>
                  </w:pPr>
                  <w:r>
                    <w:rPr>
                      <w:rFonts w:hint="eastAsia" w:ascii="Times New Roman" w:hAnsi="Times New Roman" w:eastAsia="宋体" w:cs="Times New Roman"/>
                      <w:b/>
                      <w:szCs w:val="21"/>
                    </w:rPr>
                    <w:t>1.1</w:t>
                  </w:r>
                </w:p>
              </w:tc>
              <w:tc>
                <w:tcPr>
                  <w:tcW w:w="555" w:type="pct"/>
                  <w:tcBorders>
                    <w:tl2br w:val="nil"/>
                    <w:tr2bl w:val="nil"/>
                  </w:tcBorders>
                  <w:vAlign w:val="center"/>
                </w:tcPr>
                <w:p w14:paraId="0DCF41EC">
                  <w:pPr>
                    <w:jc w:val="center"/>
                    <w:rPr>
                      <w:rFonts w:ascii="Times New Roman" w:hAnsi="Times New Roman" w:eastAsia="宋体" w:cs="Times New Roman"/>
                      <w:bCs/>
                      <w:szCs w:val="21"/>
                    </w:rPr>
                  </w:pPr>
                  <w:r>
                    <w:rPr>
                      <w:rFonts w:hint="eastAsia" w:ascii="Times New Roman" w:hAnsi="Times New Roman" w:eastAsia="宋体" w:cs="Times New Roman"/>
                      <w:bCs/>
                      <w:szCs w:val="21"/>
                    </w:rPr>
                    <w:t>石料</w:t>
                  </w:r>
                </w:p>
              </w:tc>
              <w:tc>
                <w:tcPr>
                  <w:tcW w:w="465" w:type="pct"/>
                  <w:tcBorders>
                    <w:tl2br w:val="nil"/>
                    <w:tr2bl w:val="nil"/>
                  </w:tcBorders>
                  <w:vAlign w:val="center"/>
                </w:tcPr>
                <w:p w14:paraId="6320AA3D">
                  <w:pPr>
                    <w:jc w:val="center"/>
                    <w:rPr>
                      <w:rFonts w:ascii="Times New Roman" w:hAnsi="Times New Roman" w:eastAsia="宋体" w:cs="Times New Roman"/>
                      <w:bCs/>
                      <w:szCs w:val="21"/>
                    </w:rPr>
                  </w:pPr>
                  <w:r>
                    <w:rPr>
                      <w:rFonts w:hint="eastAsia" w:ascii="Times New Roman" w:hAnsi="Times New Roman" w:eastAsia="宋体" w:cs="Times New Roman"/>
                      <w:bCs/>
                      <w:szCs w:val="21"/>
                    </w:rPr>
                    <w:t>t/</w:t>
                  </w:r>
                  <w:r>
                    <w:rPr>
                      <w:rFonts w:ascii="Times New Roman" w:hAnsi="Times New Roman" w:eastAsia="宋体" w:cs="Times New Roman"/>
                      <w:bCs/>
                      <w:szCs w:val="21"/>
                    </w:rPr>
                    <w:t>a</w:t>
                  </w:r>
                </w:p>
              </w:tc>
              <w:tc>
                <w:tcPr>
                  <w:tcW w:w="548" w:type="pct"/>
                  <w:gridSpan w:val="2"/>
                  <w:tcBorders>
                    <w:tl2br w:val="nil"/>
                    <w:tr2bl w:val="nil"/>
                  </w:tcBorders>
                  <w:vAlign w:val="center"/>
                </w:tcPr>
                <w:p w14:paraId="772FC624">
                  <w:pPr>
                    <w:jc w:val="center"/>
                    <w:rPr>
                      <w:rFonts w:ascii="Times New Roman" w:hAnsi="Times New Roman" w:eastAsia="宋体" w:cs="Times New Roman"/>
                      <w:bCs/>
                      <w:szCs w:val="21"/>
                    </w:rPr>
                  </w:pPr>
                  <w:r>
                    <w:rPr>
                      <w:rFonts w:ascii="Times New Roman" w:hAnsi="Times New Roman" w:eastAsia="宋体" w:cs="Times New Roman"/>
                      <w:bCs/>
                      <w:szCs w:val="21"/>
                    </w:rPr>
                    <w:t>161260</w:t>
                  </w:r>
                </w:p>
              </w:tc>
              <w:tc>
                <w:tcPr>
                  <w:tcW w:w="739" w:type="pct"/>
                  <w:gridSpan w:val="2"/>
                  <w:tcBorders>
                    <w:tl2br w:val="nil"/>
                    <w:tr2bl w:val="nil"/>
                  </w:tcBorders>
                  <w:vAlign w:val="center"/>
                </w:tcPr>
                <w:p w14:paraId="7ED14710">
                  <w:pPr>
                    <w:jc w:val="center"/>
                    <w:rPr>
                      <w:rFonts w:ascii="Times New Roman" w:hAnsi="Times New Roman" w:eastAsia="宋体" w:cs="Times New Roman"/>
                      <w:bCs/>
                      <w:szCs w:val="21"/>
                    </w:rPr>
                  </w:pPr>
                  <w:r>
                    <w:rPr>
                      <w:rFonts w:hint="eastAsia" w:ascii="Times New Roman" w:hAnsi="Times New Roman" w:eastAsia="宋体" w:cs="Times New Roman"/>
                      <w:bCs/>
                      <w:szCs w:val="21"/>
                    </w:rPr>
                    <w:t>原料堆棚</w:t>
                  </w:r>
                </w:p>
              </w:tc>
              <w:tc>
                <w:tcPr>
                  <w:tcW w:w="665" w:type="pct"/>
                  <w:tcBorders>
                    <w:bottom w:val="single" w:color="auto" w:sz="4" w:space="0"/>
                    <w:tl2br w:val="nil"/>
                    <w:tr2bl w:val="nil"/>
                  </w:tcBorders>
                  <w:vAlign w:val="center"/>
                </w:tcPr>
                <w:p w14:paraId="3DA037E9">
                  <w:pPr>
                    <w:jc w:val="center"/>
                    <w:rPr>
                      <w:rFonts w:ascii="Times New Roman" w:hAnsi="Times New Roman" w:eastAsia="宋体" w:cs="Times New Roman"/>
                      <w:bCs/>
                      <w:szCs w:val="21"/>
                    </w:rPr>
                  </w:pPr>
                  <w:r>
                    <w:rPr>
                      <w:rFonts w:hint="eastAsia" w:ascii="Times New Roman" w:hAnsi="Times New Roman" w:eastAsia="宋体" w:cs="Times New Roman"/>
                      <w:bCs/>
                      <w:szCs w:val="21"/>
                    </w:rPr>
                    <w:t>2万t</w:t>
                  </w:r>
                </w:p>
              </w:tc>
              <w:tc>
                <w:tcPr>
                  <w:tcW w:w="873" w:type="pct"/>
                  <w:gridSpan w:val="2"/>
                  <w:tcBorders>
                    <w:bottom w:val="single" w:color="auto" w:sz="4" w:space="0"/>
                    <w:tl2br w:val="nil"/>
                    <w:tr2bl w:val="nil"/>
                  </w:tcBorders>
                  <w:vAlign w:val="center"/>
                </w:tcPr>
                <w:p w14:paraId="468DAC4D">
                  <w:pPr>
                    <w:jc w:val="center"/>
                    <w:rPr>
                      <w:rFonts w:ascii="Times New Roman" w:hAnsi="Times New Roman" w:eastAsia="宋体" w:cs="Times New Roman"/>
                      <w:bCs/>
                      <w:szCs w:val="21"/>
                    </w:rPr>
                  </w:pPr>
                  <w:r>
                    <w:rPr>
                      <w:rFonts w:hint="eastAsia" w:ascii="Times New Roman" w:hAnsi="Times New Roman" w:eastAsia="宋体" w:cs="Times New Roman"/>
                      <w:bCs/>
                      <w:szCs w:val="21"/>
                    </w:rPr>
                    <w:t>外购</w:t>
                  </w:r>
                </w:p>
              </w:tc>
              <w:tc>
                <w:tcPr>
                  <w:tcW w:w="805" w:type="pct"/>
                  <w:tcBorders>
                    <w:bottom w:val="single" w:color="auto" w:sz="4" w:space="0"/>
                    <w:tl2br w:val="nil"/>
                    <w:tr2bl w:val="nil"/>
                  </w:tcBorders>
                  <w:vAlign w:val="center"/>
                </w:tcPr>
                <w:p w14:paraId="4417EAD4">
                  <w:pPr>
                    <w:wordWrap w:val="0"/>
                    <w:topLinePunct/>
                    <w:jc w:val="center"/>
                    <w:rPr>
                      <w:rFonts w:ascii="Times New Roman" w:hAnsi="Times New Roman" w:eastAsia="宋体" w:cs="Times New Roman"/>
                      <w:bCs/>
                      <w:szCs w:val="21"/>
                    </w:rPr>
                  </w:pPr>
                </w:p>
              </w:tc>
            </w:tr>
            <w:tr w14:paraId="00C2F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346" w:type="pct"/>
                  <w:gridSpan w:val="2"/>
                  <w:tcBorders>
                    <w:tl2br w:val="nil"/>
                    <w:tr2bl w:val="nil"/>
                  </w:tcBorders>
                  <w:vAlign w:val="center"/>
                </w:tcPr>
                <w:p w14:paraId="4B6EA51D">
                  <w:pPr>
                    <w:jc w:val="center"/>
                    <w:rPr>
                      <w:rFonts w:ascii="Times New Roman" w:hAnsi="Times New Roman" w:eastAsia="宋体" w:cs="Times New Roman"/>
                      <w:b/>
                      <w:color w:val="FF0000"/>
                      <w:szCs w:val="21"/>
                    </w:rPr>
                  </w:pPr>
                  <w:r>
                    <w:rPr>
                      <w:rFonts w:hint="eastAsia" w:ascii="Times New Roman" w:hAnsi="Times New Roman" w:eastAsia="宋体" w:cs="Times New Roman"/>
                      <w:b/>
                      <w:color w:val="000000" w:themeColor="text1"/>
                      <w:szCs w:val="21"/>
                      <w14:textFill>
                        <w14:solidFill>
                          <w14:schemeClr w14:val="tx1"/>
                        </w14:solidFill>
                      </w14:textFill>
                    </w:rPr>
                    <w:t>1.2</w:t>
                  </w:r>
                </w:p>
              </w:tc>
              <w:tc>
                <w:tcPr>
                  <w:tcW w:w="555" w:type="pct"/>
                  <w:tcBorders>
                    <w:tl2br w:val="nil"/>
                    <w:tr2bl w:val="nil"/>
                  </w:tcBorders>
                  <w:vAlign w:val="center"/>
                </w:tcPr>
                <w:p w14:paraId="6EC12877">
                  <w:pPr>
                    <w:jc w:val="center"/>
                    <w:rPr>
                      <w:rFonts w:ascii="Times New Roman" w:hAnsi="Times New Roman" w:eastAsia="宋体" w:cs="Times New Roman"/>
                      <w:bCs/>
                      <w:szCs w:val="21"/>
                    </w:rPr>
                  </w:pPr>
                  <w:r>
                    <w:rPr>
                      <w:rFonts w:hint="eastAsia" w:ascii="Times New Roman" w:hAnsi="Times New Roman" w:eastAsia="宋体" w:cs="Times New Roman"/>
                      <w:bCs/>
                      <w:szCs w:val="21"/>
                    </w:rPr>
                    <w:t>矿粉</w:t>
                  </w:r>
                </w:p>
              </w:tc>
              <w:tc>
                <w:tcPr>
                  <w:tcW w:w="465" w:type="pct"/>
                  <w:tcBorders>
                    <w:tl2br w:val="nil"/>
                    <w:tr2bl w:val="nil"/>
                  </w:tcBorders>
                  <w:vAlign w:val="center"/>
                </w:tcPr>
                <w:p w14:paraId="033A62C2">
                  <w:pPr>
                    <w:jc w:val="center"/>
                    <w:rPr>
                      <w:rFonts w:ascii="Times New Roman" w:hAnsi="Times New Roman" w:eastAsia="宋体" w:cs="Times New Roman"/>
                      <w:bCs/>
                      <w:szCs w:val="21"/>
                    </w:rPr>
                  </w:pPr>
                  <w:r>
                    <w:rPr>
                      <w:rFonts w:hint="eastAsia" w:ascii="Times New Roman" w:hAnsi="Times New Roman" w:eastAsia="宋体" w:cs="Times New Roman"/>
                      <w:bCs/>
                      <w:szCs w:val="21"/>
                    </w:rPr>
                    <w:t>t</w:t>
                  </w:r>
                  <w:r>
                    <w:rPr>
                      <w:rFonts w:ascii="Times New Roman" w:hAnsi="Times New Roman" w:eastAsia="宋体" w:cs="Times New Roman"/>
                      <w:bCs/>
                      <w:szCs w:val="21"/>
                    </w:rPr>
                    <w:t>/</w:t>
                  </w:r>
                  <w:r>
                    <w:rPr>
                      <w:rFonts w:hint="eastAsia" w:ascii="Times New Roman" w:hAnsi="Times New Roman" w:eastAsia="宋体" w:cs="Times New Roman"/>
                      <w:bCs/>
                      <w:szCs w:val="21"/>
                    </w:rPr>
                    <w:t>a</w:t>
                  </w:r>
                </w:p>
              </w:tc>
              <w:tc>
                <w:tcPr>
                  <w:tcW w:w="548" w:type="pct"/>
                  <w:gridSpan w:val="2"/>
                  <w:tcBorders>
                    <w:tl2br w:val="nil"/>
                    <w:tr2bl w:val="nil"/>
                  </w:tcBorders>
                  <w:vAlign w:val="center"/>
                </w:tcPr>
                <w:p w14:paraId="71EB53F6">
                  <w:pPr>
                    <w:jc w:val="center"/>
                    <w:rPr>
                      <w:rFonts w:ascii="Times New Roman" w:hAnsi="Times New Roman" w:eastAsia="宋体" w:cs="Times New Roman"/>
                      <w:bCs/>
                      <w:szCs w:val="21"/>
                    </w:rPr>
                  </w:pPr>
                  <w:r>
                    <w:rPr>
                      <w:rFonts w:hint="eastAsia" w:ascii="Times New Roman" w:hAnsi="Times New Roman" w:eastAsia="宋体" w:cs="Times New Roman"/>
                      <w:bCs/>
                      <w:szCs w:val="21"/>
                    </w:rPr>
                    <w:t>4500</w:t>
                  </w:r>
                </w:p>
              </w:tc>
              <w:tc>
                <w:tcPr>
                  <w:tcW w:w="739" w:type="pct"/>
                  <w:gridSpan w:val="2"/>
                  <w:tcBorders>
                    <w:tl2br w:val="nil"/>
                    <w:tr2bl w:val="nil"/>
                  </w:tcBorders>
                  <w:vAlign w:val="center"/>
                </w:tcPr>
                <w:p w14:paraId="6C00FA01">
                  <w:pPr>
                    <w:jc w:val="center"/>
                    <w:rPr>
                      <w:rFonts w:ascii="Times New Roman" w:hAnsi="Times New Roman" w:eastAsia="宋体" w:cs="Times New Roman"/>
                      <w:bCs/>
                      <w:szCs w:val="21"/>
                    </w:rPr>
                  </w:pPr>
                  <w:r>
                    <w:rPr>
                      <w:rFonts w:hint="eastAsia" w:ascii="Times New Roman" w:hAnsi="Times New Roman" w:eastAsia="宋体" w:cs="Times New Roman"/>
                      <w:bCs/>
                      <w:szCs w:val="21"/>
                    </w:rPr>
                    <w:t>矿粉罐</w:t>
                  </w:r>
                </w:p>
              </w:tc>
              <w:tc>
                <w:tcPr>
                  <w:tcW w:w="665" w:type="pct"/>
                  <w:tcBorders>
                    <w:top w:val="single" w:color="auto" w:sz="4" w:space="0"/>
                    <w:tl2br w:val="nil"/>
                    <w:tr2bl w:val="nil"/>
                  </w:tcBorders>
                  <w:vAlign w:val="center"/>
                </w:tcPr>
                <w:p w14:paraId="7C83F005">
                  <w:pPr>
                    <w:jc w:val="center"/>
                    <w:rPr>
                      <w:rFonts w:ascii="Times New Roman" w:hAnsi="Times New Roman" w:eastAsia="宋体" w:cs="Times New Roman"/>
                      <w:bCs/>
                      <w:szCs w:val="21"/>
                    </w:rPr>
                  </w:pPr>
                  <w:r>
                    <w:rPr>
                      <w:rFonts w:hint="eastAsia" w:ascii="Times New Roman" w:hAnsi="Times New Roman" w:eastAsia="宋体" w:cs="Times New Roman"/>
                      <w:bCs/>
                      <w:szCs w:val="21"/>
                    </w:rPr>
                    <w:t>140t</w:t>
                  </w:r>
                </w:p>
              </w:tc>
              <w:tc>
                <w:tcPr>
                  <w:tcW w:w="873" w:type="pct"/>
                  <w:gridSpan w:val="2"/>
                  <w:tcBorders>
                    <w:top w:val="single" w:color="auto" w:sz="4" w:space="0"/>
                    <w:tl2br w:val="nil"/>
                    <w:tr2bl w:val="nil"/>
                  </w:tcBorders>
                  <w:vAlign w:val="center"/>
                </w:tcPr>
                <w:p w14:paraId="6C9BF32A">
                  <w:pPr>
                    <w:jc w:val="center"/>
                    <w:rPr>
                      <w:rFonts w:ascii="Times New Roman" w:hAnsi="Times New Roman" w:eastAsia="宋体" w:cs="Times New Roman"/>
                      <w:bCs/>
                      <w:szCs w:val="21"/>
                    </w:rPr>
                  </w:pPr>
                  <w:r>
                    <w:rPr>
                      <w:rFonts w:hint="eastAsia" w:ascii="Times New Roman" w:hAnsi="Times New Roman" w:eastAsia="宋体" w:cs="Times New Roman"/>
                      <w:bCs/>
                      <w:szCs w:val="21"/>
                    </w:rPr>
                    <w:t>外购</w:t>
                  </w:r>
                </w:p>
              </w:tc>
              <w:tc>
                <w:tcPr>
                  <w:tcW w:w="805" w:type="pct"/>
                  <w:tcBorders>
                    <w:top w:val="single" w:color="auto" w:sz="4" w:space="0"/>
                    <w:tl2br w:val="nil"/>
                    <w:tr2bl w:val="nil"/>
                  </w:tcBorders>
                  <w:vAlign w:val="center"/>
                </w:tcPr>
                <w:p w14:paraId="35CC7C22">
                  <w:pPr>
                    <w:jc w:val="center"/>
                    <w:rPr>
                      <w:rFonts w:ascii="Times New Roman" w:hAnsi="Times New Roman" w:eastAsia="宋体" w:cs="Times New Roman"/>
                      <w:bCs/>
                      <w:szCs w:val="21"/>
                    </w:rPr>
                  </w:pPr>
                </w:p>
              </w:tc>
            </w:tr>
            <w:tr w14:paraId="7E1E6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346" w:type="pct"/>
                  <w:gridSpan w:val="2"/>
                  <w:tcBorders>
                    <w:tl2br w:val="nil"/>
                    <w:tr2bl w:val="nil"/>
                  </w:tcBorders>
                  <w:vAlign w:val="center"/>
                </w:tcPr>
                <w:p w14:paraId="51AA45F9">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1.3</w:t>
                  </w:r>
                </w:p>
              </w:tc>
              <w:tc>
                <w:tcPr>
                  <w:tcW w:w="555" w:type="pct"/>
                  <w:tcBorders>
                    <w:tl2br w:val="nil"/>
                    <w:tr2bl w:val="nil"/>
                  </w:tcBorders>
                  <w:vAlign w:val="center"/>
                </w:tcPr>
                <w:p w14:paraId="0C4B5560">
                  <w:pPr>
                    <w:jc w:val="center"/>
                    <w:rPr>
                      <w:rFonts w:ascii="Times New Roman" w:hAnsi="Times New Roman" w:eastAsia="宋体" w:cs="Times New Roman"/>
                      <w:bCs/>
                      <w:szCs w:val="21"/>
                    </w:rPr>
                  </w:pPr>
                  <w:r>
                    <w:rPr>
                      <w:rFonts w:hint="eastAsia" w:ascii="Times New Roman" w:hAnsi="Times New Roman" w:eastAsia="宋体" w:cs="Times New Roman"/>
                      <w:bCs/>
                      <w:szCs w:val="21"/>
                    </w:rPr>
                    <w:t>凹凸棒石</w:t>
                  </w:r>
                </w:p>
              </w:tc>
              <w:tc>
                <w:tcPr>
                  <w:tcW w:w="465" w:type="pct"/>
                  <w:tcBorders>
                    <w:tl2br w:val="nil"/>
                    <w:tr2bl w:val="nil"/>
                  </w:tcBorders>
                  <w:vAlign w:val="center"/>
                </w:tcPr>
                <w:p w14:paraId="411702BD">
                  <w:pPr>
                    <w:jc w:val="center"/>
                  </w:pPr>
                  <w:r>
                    <w:rPr>
                      <w:rFonts w:hint="eastAsia" w:ascii="Times New Roman" w:hAnsi="Times New Roman" w:eastAsia="宋体" w:cs="Times New Roman"/>
                      <w:bCs/>
                      <w:szCs w:val="21"/>
                    </w:rPr>
                    <w:t>t</w:t>
                  </w:r>
                  <w:r>
                    <w:rPr>
                      <w:rFonts w:ascii="Times New Roman" w:hAnsi="Times New Roman" w:eastAsia="宋体" w:cs="Times New Roman"/>
                      <w:bCs/>
                      <w:szCs w:val="21"/>
                    </w:rPr>
                    <w:t>/</w:t>
                  </w:r>
                  <w:r>
                    <w:rPr>
                      <w:rFonts w:hint="eastAsia" w:ascii="Times New Roman" w:hAnsi="Times New Roman" w:eastAsia="宋体" w:cs="Times New Roman"/>
                      <w:bCs/>
                      <w:szCs w:val="21"/>
                    </w:rPr>
                    <w:t>a</w:t>
                  </w:r>
                </w:p>
              </w:tc>
              <w:tc>
                <w:tcPr>
                  <w:tcW w:w="548" w:type="pct"/>
                  <w:gridSpan w:val="2"/>
                  <w:tcBorders>
                    <w:tl2br w:val="nil"/>
                    <w:tr2bl w:val="nil"/>
                  </w:tcBorders>
                  <w:vAlign w:val="center"/>
                </w:tcPr>
                <w:p w14:paraId="2AD0F5B6">
                  <w:pPr>
                    <w:jc w:val="center"/>
                    <w:rPr>
                      <w:rFonts w:ascii="Times New Roman" w:hAnsi="Times New Roman" w:eastAsia="宋体" w:cs="Times New Roman"/>
                      <w:bCs/>
                      <w:szCs w:val="21"/>
                    </w:rPr>
                  </w:pPr>
                  <w:r>
                    <w:rPr>
                      <w:rFonts w:hint="eastAsia" w:ascii="Times New Roman" w:hAnsi="Times New Roman" w:eastAsia="宋体" w:cs="Times New Roman"/>
                      <w:bCs/>
                      <w:szCs w:val="21"/>
                    </w:rPr>
                    <w:t>1500</w:t>
                  </w:r>
                </w:p>
              </w:tc>
              <w:tc>
                <w:tcPr>
                  <w:tcW w:w="739" w:type="pct"/>
                  <w:gridSpan w:val="2"/>
                  <w:tcBorders>
                    <w:tl2br w:val="nil"/>
                    <w:tr2bl w:val="nil"/>
                  </w:tcBorders>
                  <w:vAlign w:val="center"/>
                </w:tcPr>
                <w:p w14:paraId="2D6F13EC">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p>
              </w:tc>
              <w:tc>
                <w:tcPr>
                  <w:tcW w:w="665" w:type="pct"/>
                  <w:tcBorders>
                    <w:top w:val="single" w:color="auto" w:sz="4" w:space="0"/>
                    <w:tl2br w:val="nil"/>
                    <w:tr2bl w:val="nil"/>
                  </w:tcBorders>
                  <w:vAlign w:val="center"/>
                </w:tcPr>
                <w:p w14:paraId="195BFF2E">
                  <w:pPr>
                    <w:jc w:val="center"/>
                    <w:rPr>
                      <w:rFonts w:ascii="Times New Roman" w:hAnsi="Times New Roman" w:eastAsia="宋体" w:cs="Times New Roman"/>
                      <w:bCs/>
                      <w:szCs w:val="21"/>
                    </w:rPr>
                  </w:pPr>
                  <w:r>
                    <w:rPr>
                      <w:rFonts w:ascii="Times New Roman" w:hAnsi="Times New Roman" w:eastAsia="宋体" w:cs="Times New Roman"/>
                      <w:bCs/>
                      <w:szCs w:val="21"/>
                    </w:rPr>
                    <w:t>/</w:t>
                  </w:r>
                </w:p>
              </w:tc>
              <w:tc>
                <w:tcPr>
                  <w:tcW w:w="873" w:type="pct"/>
                  <w:gridSpan w:val="2"/>
                  <w:tcBorders>
                    <w:top w:val="single" w:color="auto" w:sz="4" w:space="0"/>
                    <w:tl2br w:val="nil"/>
                    <w:tr2bl w:val="nil"/>
                  </w:tcBorders>
                  <w:vAlign w:val="center"/>
                </w:tcPr>
                <w:p w14:paraId="79595542">
                  <w:pPr>
                    <w:jc w:val="center"/>
                    <w:rPr>
                      <w:rFonts w:ascii="Times New Roman" w:hAnsi="Times New Roman" w:eastAsia="宋体" w:cs="Times New Roman"/>
                      <w:bCs/>
                      <w:szCs w:val="21"/>
                    </w:rPr>
                  </w:pPr>
                  <w:r>
                    <w:rPr>
                      <w:rFonts w:hint="eastAsia" w:ascii="Times New Roman" w:hAnsi="Times New Roman" w:eastAsia="宋体" w:cs="Times New Roman"/>
                      <w:bCs/>
                      <w:szCs w:val="21"/>
                    </w:rPr>
                    <w:t>外购厂区北侧临泽县奋君矿业有限公司破碎成品</w:t>
                  </w:r>
                </w:p>
              </w:tc>
              <w:tc>
                <w:tcPr>
                  <w:tcW w:w="805" w:type="pct"/>
                  <w:tcBorders>
                    <w:top w:val="single" w:color="auto" w:sz="4" w:space="0"/>
                    <w:tl2br w:val="nil"/>
                    <w:tr2bl w:val="nil"/>
                  </w:tcBorders>
                  <w:vAlign w:val="center"/>
                </w:tcPr>
                <w:p w14:paraId="7328C51A">
                  <w:pPr>
                    <w:jc w:val="center"/>
                    <w:rPr>
                      <w:rFonts w:ascii="Times New Roman" w:hAnsi="Times New Roman" w:eastAsia="宋体" w:cs="Times New Roman"/>
                      <w:bCs/>
                      <w:szCs w:val="21"/>
                    </w:rPr>
                  </w:pPr>
                  <w:r>
                    <w:rPr>
                      <w:rFonts w:hint="eastAsia" w:ascii="Times New Roman" w:hAnsi="Times New Roman" w:eastAsia="宋体" w:cs="Times New Roman"/>
                      <w:bCs/>
                      <w:szCs w:val="21"/>
                    </w:rPr>
                    <w:t>用于提升沥青混凝土力学性能；直供生产线，不贮存</w:t>
                  </w:r>
                </w:p>
              </w:tc>
            </w:tr>
            <w:tr w14:paraId="0842A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346" w:type="pct"/>
                  <w:gridSpan w:val="2"/>
                  <w:tcBorders>
                    <w:tl2br w:val="nil"/>
                    <w:tr2bl w:val="nil"/>
                  </w:tcBorders>
                  <w:vAlign w:val="center"/>
                </w:tcPr>
                <w:p w14:paraId="6F7BA9EA">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1.4</w:t>
                  </w:r>
                </w:p>
              </w:tc>
              <w:tc>
                <w:tcPr>
                  <w:tcW w:w="555" w:type="pct"/>
                  <w:tcBorders>
                    <w:tl2br w:val="nil"/>
                    <w:tr2bl w:val="nil"/>
                  </w:tcBorders>
                  <w:vAlign w:val="center"/>
                </w:tcPr>
                <w:p w14:paraId="76326905">
                  <w:pPr>
                    <w:jc w:val="center"/>
                    <w:rPr>
                      <w:rFonts w:ascii="Times New Roman" w:hAnsi="Times New Roman" w:eastAsia="宋体" w:cs="Times New Roman"/>
                      <w:bCs/>
                      <w:szCs w:val="21"/>
                    </w:rPr>
                  </w:pPr>
                  <w:r>
                    <w:rPr>
                      <w:rFonts w:hint="eastAsia" w:ascii="Times New Roman" w:hAnsi="Times New Roman" w:eastAsia="宋体" w:cs="Times New Roman"/>
                      <w:bCs/>
                      <w:szCs w:val="21"/>
                    </w:rPr>
                    <w:t>沥青</w:t>
                  </w:r>
                </w:p>
              </w:tc>
              <w:tc>
                <w:tcPr>
                  <w:tcW w:w="465" w:type="pct"/>
                  <w:tcBorders>
                    <w:tl2br w:val="nil"/>
                    <w:tr2bl w:val="nil"/>
                  </w:tcBorders>
                  <w:vAlign w:val="center"/>
                </w:tcPr>
                <w:p w14:paraId="06F3DE21">
                  <w:pPr>
                    <w:jc w:val="center"/>
                    <w:rPr>
                      <w:rFonts w:ascii="Times New Roman" w:hAnsi="Times New Roman" w:eastAsia="宋体" w:cs="Times New Roman"/>
                      <w:bCs/>
                      <w:szCs w:val="21"/>
                    </w:rPr>
                  </w:pPr>
                  <w:r>
                    <w:rPr>
                      <w:rFonts w:hint="eastAsia" w:ascii="Times New Roman" w:hAnsi="Times New Roman" w:eastAsia="宋体" w:cs="Times New Roman"/>
                      <w:bCs/>
                      <w:szCs w:val="21"/>
                    </w:rPr>
                    <w:t>t</w:t>
                  </w:r>
                  <w:r>
                    <w:rPr>
                      <w:rFonts w:ascii="Times New Roman" w:hAnsi="Times New Roman" w:eastAsia="宋体" w:cs="Times New Roman"/>
                      <w:bCs/>
                      <w:szCs w:val="21"/>
                    </w:rPr>
                    <w:t>/</w:t>
                  </w:r>
                  <w:r>
                    <w:rPr>
                      <w:rFonts w:hint="eastAsia" w:ascii="Times New Roman" w:hAnsi="Times New Roman" w:eastAsia="宋体" w:cs="Times New Roman"/>
                      <w:bCs/>
                      <w:szCs w:val="21"/>
                    </w:rPr>
                    <w:t>a</w:t>
                  </w:r>
                </w:p>
              </w:tc>
              <w:tc>
                <w:tcPr>
                  <w:tcW w:w="548" w:type="pct"/>
                  <w:gridSpan w:val="2"/>
                  <w:tcBorders>
                    <w:tl2br w:val="nil"/>
                    <w:tr2bl w:val="nil"/>
                  </w:tcBorders>
                  <w:vAlign w:val="center"/>
                </w:tcPr>
                <w:p w14:paraId="549D4E76">
                  <w:pPr>
                    <w:jc w:val="center"/>
                    <w:rPr>
                      <w:rFonts w:ascii="Times New Roman" w:hAnsi="Times New Roman" w:eastAsia="宋体" w:cs="Times New Roman"/>
                      <w:bCs/>
                      <w:szCs w:val="21"/>
                    </w:rPr>
                  </w:pPr>
                  <w:r>
                    <w:rPr>
                      <w:rFonts w:hint="eastAsia" w:ascii="Times New Roman" w:hAnsi="Times New Roman" w:eastAsia="宋体" w:cs="Times New Roman"/>
                      <w:bCs/>
                      <w:szCs w:val="21"/>
                    </w:rPr>
                    <w:t>7500</w:t>
                  </w:r>
                </w:p>
              </w:tc>
              <w:tc>
                <w:tcPr>
                  <w:tcW w:w="739" w:type="pct"/>
                  <w:gridSpan w:val="2"/>
                  <w:tcBorders>
                    <w:tl2br w:val="nil"/>
                    <w:tr2bl w:val="nil"/>
                  </w:tcBorders>
                  <w:vAlign w:val="center"/>
                </w:tcPr>
                <w:p w14:paraId="31D7E0BB">
                  <w:pPr>
                    <w:jc w:val="center"/>
                    <w:rPr>
                      <w:rFonts w:ascii="Times New Roman" w:hAnsi="Times New Roman" w:eastAsia="宋体" w:cs="Times New Roman"/>
                      <w:bCs/>
                      <w:szCs w:val="21"/>
                    </w:rPr>
                  </w:pPr>
                  <w:r>
                    <w:rPr>
                      <w:rFonts w:hint="eastAsia" w:ascii="Times New Roman" w:hAnsi="Times New Roman" w:eastAsia="宋体" w:cs="Times New Roman"/>
                      <w:bCs/>
                      <w:szCs w:val="21"/>
                    </w:rPr>
                    <w:t>沥青储罐区</w:t>
                  </w:r>
                </w:p>
              </w:tc>
              <w:tc>
                <w:tcPr>
                  <w:tcW w:w="665" w:type="pct"/>
                  <w:tcBorders>
                    <w:top w:val="single" w:color="auto" w:sz="4" w:space="0"/>
                    <w:tl2br w:val="nil"/>
                    <w:tr2bl w:val="nil"/>
                  </w:tcBorders>
                  <w:vAlign w:val="center"/>
                </w:tcPr>
                <w:p w14:paraId="41D533EF">
                  <w:pPr>
                    <w:jc w:val="center"/>
                    <w:rPr>
                      <w:rFonts w:ascii="Times New Roman" w:hAnsi="Times New Roman" w:eastAsia="宋体" w:cs="Times New Roman"/>
                      <w:bCs/>
                      <w:szCs w:val="21"/>
                    </w:rPr>
                  </w:pPr>
                  <w:r>
                    <w:rPr>
                      <w:rFonts w:ascii="Times New Roman" w:hAnsi="Times New Roman" w:eastAsia="宋体" w:cs="Times New Roman"/>
                      <w:bCs/>
                      <w:szCs w:val="21"/>
                    </w:rPr>
                    <w:t>1030</w:t>
                  </w:r>
                  <w:r>
                    <w:rPr>
                      <w:rFonts w:hint="eastAsia" w:ascii="Times New Roman" w:hAnsi="Times New Roman" w:eastAsia="宋体" w:cs="Times New Roman"/>
                      <w:bCs/>
                      <w:szCs w:val="21"/>
                    </w:rPr>
                    <w:t>t</w:t>
                  </w:r>
                </w:p>
              </w:tc>
              <w:tc>
                <w:tcPr>
                  <w:tcW w:w="873" w:type="pct"/>
                  <w:gridSpan w:val="2"/>
                  <w:tcBorders>
                    <w:top w:val="single" w:color="auto" w:sz="4" w:space="0"/>
                    <w:tl2br w:val="nil"/>
                    <w:tr2bl w:val="nil"/>
                  </w:tcBorders>
                  <w:vAlign w:val="center"/>
                </w:tcPr>
                <w:p w14:paraId="2B363509">
                  <w:pPr>
                    <w:jc w:val="center"/>
                    <w:rPr>
                      <w:rFonts w:ascii="Times New Roman" w:hAnsi="Times New Roman" w:eastAsia="宋体" w:cs="Times New Roman"/>
                      <w:bCs/>
                      <w:szCs w:val="21"/>
                    </w:rPr>
                  </w:pPr>
                  <w:r>
                    <w:rPr>
                      <w:rFonts w:hint="eastAsia" w:ascii="Times New Roman" w:hAnsi="Times New Roman" w:eastAsia="宋体" w:cs="Times New Roman"/>
                      <w:bCs/>
                      <w:szCs w:val="21"/>
                    </w:rPr>
                    <w:t>外购</w:t>
                  </w:r>
                </w:p>
              </w:tc>
              <w:tc>
                <w:tcPr>
                  <w:tcW w:w="805" w:type="pct"/>
                  <w:tcBorders>
                    <w:top w:val="single" w:color="auto" w:sz="4" w:space="0"/>
                    <w:tl2br w:val="nil"/>
                    <w:tr2bl w:val="nil"/>
                  </w:tcBorders>
                  <w:vAlign w:val="center"/>
                </w:tcPr>
                <w:p w14:paraId="599D729C">
                  <w:pPr>
                    <w:jc w:val="center"/>
                    <w:rPr>
                      <w:rFonts w:ascii="Times New Roman" w:hAnsi="Times New Roman" w:eastAsia="宋体" w:cs="Times New Roman"/>
                      <w:bCs/>
                      <w:szCs w:val="21"/>
                    </w:rPr>
                  </w:pPr>
                </w:p>
              </w:tc>
            </w:tr>
            <w:tr w14:paraId="5A141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5000" w:type="pct"/>
                  <w:gridSpan w:val="12"/>
                  <w:tcBorders>
                    <w:tl2br w:val="nil"/>
                    <w:tr2bl w:val="nil"/>
                  </w:tcBorders>
                  <w:vAlign w:val="center"/>
                </w:tcPr>
                <w:p w14:paraId="00911D0D">
                  <w:pPr>
                    <w:jc w:val="center"/>
                    <w:rPr>
                      <w:rFonts w:ascii="Times New Roman" w:hAnsi="Times New Roman" w:eastAsia="宋体" w:cs="Times New Roman"/>
                      <w:b/>
                      <w:szCs w:val="21"/>
                    </w:rPr>
                  </w:pPr>
                  <w:r>
                    <w:rPr>
                      <w:rFonts w:hint="eastAsia" w:ascii="Times New Roman" w:hAnsi="Times New Roman" w:eastAsia="宋体" w:cs="Times New Roman"/>
                      <w:b/>
                      <w:szCs w:val="21"/>
                    </w:rPr>
                    <w:t>二、乳化沥青</w:t>
                  </w:r>
                </w:p>
              </w:tc>
            </w:tr>
            <w:tr w14:paraId="0124B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346" w:type="pct"/>
                  <w:gridSpan w:val="2"/>
                  <w:tcBorders>
                    <w:tl2br w:val="nil"/>
                    <w:tr2bl w:val="nil"/>
                  </w:tcBorders>
                  <w:vAlign w:val="center"/>
                </w:tcPr>
                <w:p w14:paraId="50868A2E">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2.1</w:t>
                  </w:r>
                </w:p>
              </w:tc>
              <w:tc>
                <w:tcPr>
                  <w:tcW w:w="555" w:type="pct"/>
                  <w:tcBorders>
                    <w:tl2br w:val="nil"/>
                    <w:tr2bl w:val="nil"/>
                  </w:tcBorders>
                  <w:vAlign w:val="center"/>
                </w:tcPr>
                <w:p w14:paraId="546FD443">
                  <w:pPr>
                    <w:jc w:val="center"/>
                    <w:rPr>
                      <w:rFonts w:ascii="Times New Roman" w:hAnsi="Times New Roman" w:eastAsia="宋体" w:cs="Times New Roman"/>
                      <w:bCs/>
                      <w:szCs w:val="21"/>
                    </w:rPr>
                  </w:pPr>
                  <w:r>
                    <w:rPr>
                      <w:rFonts w:hint="eastAsia" w:ascii="Times New Roman" w:hAnsi="Times New Roman" w:eastAsia="宋体" w:cs="Times New Roman"/>
                      <w:bCs/>
                      <w:szCs w:val="21"/>
                    </w:rPr>
                    <w:t>乳化剂</w:t>
                  </w:r>
                </w:p>
              </w:tc>
              <w:tc>
                <w:tcPr>
                  <w:tcW w:w="465" w:type="pct"/>
                  <w:tcBorders>
                    <w:tl2br w:val="nil"/>
                    <w:tr2bl w:val="nil"/>
                  </w:tcBorders>
                  <w:vAlign w:val="center"/>
                </w:tcPr>
                <w:p w14:paraId="612EE81A">
                  <w:pPr>
                    <w:jc w:val="center"/>
                    <w:rPr>
                      <w:rFonts w:ascii="Times New Roman" w:hAnsi="Times New Roman" w:eastAsia="宋体" w:cs="Times New Roman"/>
                      <w:bCs/>
                      <w:szCs w:val="21"/>
                    </w:rPr>
                  </w:pPr>
                  <w:r>
                    <w:rPr>
                      <w:rFonts w:hint="eastAsia" w:ascii="Times New Roman" w:hAnsi="Times New Roman" w:eastAsia="宋体" w:cs="Times New Roman"/>
                      <w:bCs/>
                      <w:szCs w:val="21"/>
                    </w:rPr>
                    <w:t>t</w:t>
                  </w:r>
                  <w:r>
                    <w:rPr>
                      <w:rFonts w:ascii="Times New Roman" w:hAnsi="Times New Roman" w:eastAsia="宋体" w:cs="Times New Roman"/>
                      <w:bCs/>
                      <w:szCs w:val="21"/>
                    </w:rPr>
                    <w:t>/</w:t>
                  </w:r>
                  <w:r>
                    <w:rPr>
                      <w:rFonts w:hint="eastAsia" w:ascii="Times New Roman" w:hAnsi="Times New Roman" w:eastAsia="宋体" w:cs="Times New Roman"/>
                      <w:bCs/>
                      <w:szCs w:val="21"/>
                    </w:rPr>
                    <w:t>a</w:t>
                  </w:r>
                </w:p>
              </w:tc>
              <w:tc>
                <w:tcPr>
                  <w:tcW w:w="548" w:type="pct"/>
                  <w:gridSpan w:val="2"/>
                  <w:tcBorders>
                    <w:tl2br w:val="nil"/>
                    <w:tr2bl w:val="nil"/>
                  </w:tcBorders>
                  <w:vAlign w:val="center"/>
                </w:tcPr>
                <w:p w14:paraId="5F8B1E83">
                  <w:pPr>
                    <w:jc w:val="center"/>
                    <w:rPr>
                      <w:rFonts w:ascii="Times New Roman" w:hAnsi="Times New Roman" w:eastAsia="宋体" w:cs="Times New Roman"/>
                      <w:bCs/>
                      <w:szCs w:val="21"/>
                    </w:rPr>
                  </w:pPr>
                  <w:r>
                    <w:rPr>
                      <w:rFonts w:hint="eastAsia" w:ascii="Times New Roman" w:hAnsi="Times New Roman" w:eastAsia="宋体" w:cs="Times New Roman"/>
                      <w:bCs/>
                      <w:szCs w:val="21"/>
                    </w:rPr>
                    <w:t>3</w:t>
                  </w:r>
                </w:p>
              </w:tc>
              <w:tc>
                <w:tcPr>
                  <w:tcW w:w="739" w:type="pct"/>
                  <w:gridSpan w:val="2"/>
                  <w:tcBorders>
                    <w:tl2br w:val="nil"/>
                    <w:tr2bl w:val="nil"/>
                  </w:tcBorders>
                  <w:vAlign w:val="center"/>
                </w:tcPr>
                <w:p w14:paraId="771E6519">
                  <w:pPr>
                    <w:jc w:val="center"/>
                    <w:rPr>
                      <w:rFonts w:ascii="Times New Roman" w:hAnsi="Times New Roman" w:eastAsia="宋体" w:cs="Times New Roman"/>
                      <w:bCs/>
                      <w:szCs w:val="21"/>
                    </w:rPr>
                  </w:pPr>
                  <w:r>
                    <w:rPr>
                      <w:rFonts w:hint="eastAsia" w:ascii="Times New Roman" w:hAnsi="Times New Roman" w:eastAsia="宋体" w:cs="Times New Roman"/>
                      <w:bCs/>
                      <w:szCs w:val="21"/>
                    </w:rPr>
                    <w:t>厂区</w:t>
                  </w:r>
                </w:p>
              </w:tc>
              <w:tc>
                <w:tcPr>
                  <w:tcW w:w="665" w:type="pct"/>
                  <w:tcBorders>
                    <w:top w:val="single" w:color="auto" w:sz="4" w:space="0"/>
                    <w:tl2br w:val="nil"/>
                    <w:tr2bl w:val="nil"/>
                  </w:tcBorders>
                  <w:vAlign w:val="center"/>
                </w:tcPr>
                <w:p w14:paraId="6419644B">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p>
              </w:tc>
              <w:tc>
                <w:tcPr>
                  <w:tcW w:w="873" w:type="pct"/>
                  <w:gridSpan w:val="2"/>
                  <w:tcBorders>
                    <w:top w:val="single" w:color="auto" w:sz="4" w:space="0"/>
                    <w:tl2br w:val="nil"/>
                    <w:tr2bl w:val="nil"/>
                  </w:tcBorders>
                  <w:vAlign w:val="center"/>
                </w:tcPr>
                <w:p w14:paraId="3D2986F5">
                  <w:pPr>
                    <w:jc w:val="center"/>
                    <w:rPr>
                      <w:rFonts w:ascii="Times New Roman" w:hAnsi="Times New Roman" w:eastAsia="宋体" w:cs="Times New Roman"/>
                      <w:bCs/>
                      <w:szCs w:val="21"/>
                    </w:rPr>
                  </w:pPr>
                  <w:r>
                    <w:rPr>
                      <w:rFonts w:hint="eastAsia" w:ascii="Times New Roman" w:hAnsi="Times New Roman" w:eastAsia="宋体" w:cs="Times New Roman"/>
                      <w:bCs/>
                      <w:szCs w:val="21"/>
                    </w:rPr>
                    <w:t>外购</w:t>
                  </w:r>
                </w:p>
              </w:tc>
              <w:tc>
                <w:tcPr>
                  <w:tcW w:w="805" w:type="pct"/>
                  <w:tcBorders>
                    <w:top w:val="single" w:color="auto" w:sz="4" w:space="0"/>
                    <w:tl2br w:val="nil"/>
                    <w:tr2bl w:val="nil"/>
                  </w:tcBorders>
                  <w:vAlign w:val="center"/>
                </w:tcPr>
                <w:p w14:paraId="7D2B4C8D">
                  <w:pPr>
                    <w:jc w:val="center"/>
                    <w:rPr>
                      <w:rFonts w:ascii="Times New Roman" w:hAnsi="Times New Roman" w:eastAsia="宋体" w:cs="Times New Roman"/>
                      <w:bCs/>
                      <w:szCs w:val="21"/>
                    </w:rPr>
                  </w:pPr>
                </w:p>
              </w:tc>
            </w:tr>
            <w:tr w14:paraId="20D43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346" w:type="pct"/>
                  <w:gridSpan w:val="2"/>
                  <w:tcBorders>
                    <w:tl2br w:val="nil"/>
                    <w:tr2bl w:val="nil"/>
                  </w:tcBorders>
                  <w:vAlign w:val="center"/>
                </w:tcPr>
                <w:p w14:paraId="79AC0E88">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2.2</w:t>
                  </w:r>
                </w:p>
              </w:tc>
              <w:tc>
                <w:tcPr>
                  <w:tcW w:w="555" w:type="pct"/>
                  <w:tcBorders>
                    <w:tl2br w:val="nil"/>
                    <w:tr2bl w:val="nil"/>
                  </w:tcBorders>
                  <w:vAlign w:val="center"/>
                </w:tcPr>
                <w:p w14:paraId="58B66ACC">
                  <w:pPr>
                    <w:jc w:val="center"/>
                    <w:rPr>
                      <w:rFonts w:ascii="Times New Roman" w:hAnsi="Times New Roman" w:eastAsia="宋体" w:cs="Times New Roman"/>
                      <w:bCs/>
                      <w:szCs w:val="21"/>
                    </w:rPr>
                  </w:pPr>
                  <w:r>
                    <w:rPr>
                      <w:rFonts w:hint="eastAsia" w:ascii="Times New Roman" w:hAnsi="Times New Roman" w:eastAsia="宋体" w:cs="Times New Roman"/>
                      <w:bCs/>
                      <w:szCs w:val="21"/>
                    </w:rPr>
                    <w:t>沥青</w:t>
                  </w:r>
                </w:p>
              </w:tc>
              <w:tc>
                <w:tcPr>
                  <w:tcW w:w="465" w:type="pct"/>
                  <w:tcBorders>
                    <w:tl2br w:val="nil"/>
                    <w:tr2bl w:val="nil"/>
                  </w:tcBorders>
                  <w:vAlign w:val="center"/>
                </w:tcPr>
                <w:p w14:paraId="692BEEFF">
                  <w:pPr>
                    <w:jc w:val="center"/>
                    <w:rPr>
                      <w:rFonts w:ascii="Times New Roman" w:hAnsi="Times New Roman" w:eastAsia="宋体" w:cs="Times New Roman"/>
                      <w:bCs/>
                      <w:szCs w:val="21"/>
                    </w:rPr>
                  </w:pPr>
                  <w:r>
                    <w:rPr>
                      <w:rFonts w:ascii="Times New Roman" w:hAnsi="Times New Roman" w:eastAsia="宋体" w:cs="Times New Roman"/>
                      <w:bCs/>
                      <w:szCs w:val="21"/>
                    </w:rPr>
                    <w:t>t/a</w:t>
                  </w:r>
                </w:p>
              </w:tc>
              <w:tc>
                <w:tcPr>
                  <w:tcW w:w="548" w:type="pct"/>
                  <w:gridSpan w:val="2"/>
                  <w:tcBorders>
                    <w:tl2br w:val="nil"/>
                    <w:tr2bl w:val="nil"/>
                  </w:tcBorders>
                  <w:vAlign w:val="center"/>
                </w:tcPr>
                <w:p w14:paraId="557C9323">
                  <w:pPr>
                    <w:jc w:val="center"/>
                    <w:rPr>
                      <w:rFonts w:ascii="Times New Roman" w:hAnsi="Times New Roman" w:eastAsia="宋体" w:cs="Times New Roman"/>
                      <w:bCs/>
                      <w:szCs w:val="21"/>
                    </w:rPr>
                  </w:pPr>
                  <w:r>
                    <w:rPr>
                      <w:rFonts w:hint="eastAsia" w:ascii="Times New Roman" w:hAnsi="Times New Roman" w:eastAsia="宋体" w:cs="Times New Roman"/>
                      <w:bCs/>
                      <w:szCs w:val="21"/>
                    </w:rPr>
                    <w:t>250</w:t>
                  </w:r>
                </w:p>
              </w:tc>
              <w:tc>
                <w:tcPr>
                  <w:tcW w:w="739" w:type="pct"/>
                  <w:gridSpan w:val="2"/>
                  <w:tcBorders>
                    <w:tl2br w:val="nil"/>
                    <w:tr2bl w:val="nil"/>
                  </w:tcBorders>
                  <w:vAlign w:val="center"/>
                </w:tcPr>
                <w:p w14:paraId="27259223">
                  <w:pPr>
                    <w:jc w:val="center"/>
                    <w:rPr>
                      <w:rFonts w:ascii="Times New Roman" w:hAnsi="Times New Roman" w:eastAsia="宋体" w:cs="Times New Roman"/>
                      <w:bCs/>
                      <w:szCs w:val="21"/>
                    </w:rPr>
                  </w:pPr>
                  <w:r>
                    <w:rPr>
                      <w:rFonts w:hint="eastAsia" w:ascii="Times New Roman" w:hAnsi="Times New Roman" w:eastAsia="宋体" w:cs="Times New Roman"/>
                      <w:bCs/>
                      <w:szCs w:val="21"/>
                    </w:rPr>
                    <w:t>沥青储罐区</w:t>
                  </w:r>
                </w:p>
              </w:tc>
              <w:tc>
                <w:tcPr>
                  <w:tcW w:w="665" w:type="pct"/>
                  <w:tcBorders>
                    <w:top w:val="single" w:color="auto" w:sz="4" w:space="0"/>
                    <w:tl2br w:val="nil"/>
                    <w:tr2bl w:val="nil"/>
                  </w:tcBorders>
                  <w:vAlign w:val="center"/>
                </w:tcPr>
                <w:p w14:paraId="67641C2F">
                  <w:pPr>
                    <w:jc w:val="center"/>
                    <w:rPr>
                      <w:rFonts w:ascii="Times New Roman" w:hAnsi="Times New Roman" w:eastAsia="宋体" w:cs="Times New Roman"/>
                      <w:bCs/>
                      <w:szCs w:val="21"/>
                    </w:rPr>
                  </w:pPr>
                  <w:r>
                    <w:rPr>
                      <w:rFonts w:hint="eastAsia" w:ascii="Times New Roman" w:hAnsi="Times New Roman" w:eastAsia="宋体" w:cs="Times New Roman"/>
                      <w:bCs/>
                      <w:szCs w:val="21"/>
                    </w:rPr>
                    <w:t>/</w:t>
                  </w:r>
                </w:p>
              </w:tc>
              <w:tc>
                <w:tcPr>
                  <w:tcW w:w="873" w:type="pct"/>
                  <w:gridSpan w:val="2"/>
                  <w:tcBorders>
                    <w:top w:val="single" w:color="auto" w:sz="4" w:space="0"/>
                    <w:tl2br w:val="nil"/>
                    <w:tr2bl w:val="nil"/>
                  </w:tcBorders>
                  <w:vAlign w:val="center"/>
                </w:tcPr>
                <w:p w14:paraId="069A1E41">
                  <w:pPr>
                    <w:jc w:val="center"/>
                    <w:rPr>
                      <w:rFonts w:ascii="Times New Roman" w:hAnsi="Times New Roman" w:eastAsia="宋体" w:cs="Times New Roman"/>
                      <w:bCs/>
                      <w:szCs w:val="21"/>
                    </w:rPr>
                  </w:pPr>
                  <w:r>
                    <w:rPr>
                      <w:rFonts w:hint="eastAsia" w:ascii="Times New Roman" w:hAnsi="Times New Roman" w:eastAsia="宋体" w:cs="Times New Roman"/>
                      <w:bCs/>
                      <w:szCs w:val="21"/>
                    </w:rPr>
                    <w:t>外购</w:t>
                  </w:r>
                </w:p>
              </w:tc>
              <w:tc>
                <w:tcPr>
                  <w:tcW w:w="805" w:type="pct"/>
                  <w:tcBorders>
                    <w:top w:val="single" w:color="auto" w:sz="4" w:space="0"/>
                    <w:tl2br w:val="nil"/>
                    <w:tr2bl w:val="nil"/>
                  </w:tcBorders>
                  <w:vAlign w:val="center"/>
                </w:tcPr>
                <w:p w14:paraId="61875BA8">
                  <w:pPr>
                    <w:jc w:val="center"/>
                    <w:rPr>
                      <w:rFonts w:ascii="Times New Roman" w:hAnsi="Times New Roman" w:eastAsia="宋体" w:cs="Times New Roman"/>
                      <w:bCs/>
                      <w:szCs w:val="21"/>
                    </w:rPr>
                  </w:pPr>
                  <w:r>
                    <w:rPr>
                      <w:rFonts w:hint="eastAsia" w:ascii="Times New Roman" w:hAnsi="Times New Roman" w:eastAsia="宋体" w:cs="Times New Roman"/>
                      <w:bCs/>
                      <w:szCs w:val="21"/>
                    </w:rPr>
                    <w:t>与沥青混凝土生产线共用</w:t>
                  </w:r>
                </w:p>
              </w:tc>
            </w:tr>
            <w:tr w14:paraId="1F000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jc w:val="center"/>
              </w:trPr>
              <w:tc>
                <w:tcPr>
                  <w:tcW w:w="5000" w:type="pct"/>
                  <w:gridSpan w:val="12"/>
                  <w:tcBorders>
                    <w:tl2br w:val="nil"/>
                    <w:tr2bl w:val="nil"/>
                  </w:tcBorders>
                  <w:vAlign w:val="center"/>
                </w:tcPr>
                <w:p w14:paraId="08542444">
                  <w:pPr>
                    <w:ind w:firstLine="482"/>
                    <w:jc w:val="center"/>
                    <w:rPr>
                      <w:rFonts w:ascii="Times New Roman" w:hAnsi="Times New Roman" w:eastAsia="宋体" w:cs="Times New Roman"/>
                      <w:b/>
                      <w:szCs w:val="21"/>
                    </w:rPr>
                  </w:pPr>
                  <w:r>
                    <w:rPr>
                      <w:rFonts w:hint="eastAsia" w:ascii="Times New Roman" w:hAnsi="Times New Roman" w:eastAsia="宋体" w:cs="Times New Roman"/>
                      <w:b/>
                      <w:szCs w:val="21"/>
                    </w:rPr>
                    <w:t>二、主要能源</w:t>
                  </w:r>
                </w:p>
              </w:tc>
            </w:tr>
            <w:tr w14:paraId="52B50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326" w:type="pct"/>
                  <w:tcBorders>
                    <w:tl2br w:val="nil"/>
                    <w:tr2bl w:val="nil"/>
                  </w:tcBorders>
                  <w:vAlign w:val="center"/>
                </w:tcPr>
                <w:p w14:paraId="5E8FFAFB">
                  <w:pPr>
                    <w:jc w:val="center"/>
                    <w:rPr>
                      <w:rFonts w:ascii="Times New Roman" w:hAnsi="Times New Roman" w:eastAsia="宋体" w:cs="Times New Roman"/>
                      <w:b/>
                      <w:szCs w:val="21"/>
                    </w:rPr>
                  </w:pPr>
                  <w:r>
                    <w:rPr>
                      <w:rFonts w:hint="eastAsia" w:ascii="Times New Roman" w:hAnsi="Times New Roman" w:eastAsia="宋体" w:cs="Times New Roman"/>
                      <w:b/>
                      <w:szCs w:val="21"/>
                    </w:rPr>
                    <w:t>序号</w:t>
                  </w:r>
                </w:p>
              </w:tc>
              <w:tc>
                <w:tcPr>
                  <w:tcW w:w="1105" w:type="pct"/>
                  <w:gridSpan w:val="4"/>
                  <w:tcBorders>
                    <w:tl2br w:val="nil"/>
                    <w:tr2bl w:val="nil"/>
                  </w:tcBorders>
                  <w:vAlign w:val="center"/>
                </w:tcPr>
                <w:p w14:paraId="549C6A97">
                  <w:pPr>
                    <w:jc w:val="center"/>
                    <w:rPr>
                      <w:rFonts w:ascii="Times New Roman" w:hAnsi="Times New Roman" w:eastAsia="宋体" w:cs="Times New Roman"/>
                      <w:b/>
                      <w:szCs w:val="21"/>
                    </w:rPr>
                  </w:pPr>
                  <w:r>
                    <w:rPr>
                      <w:rFonts w:hint="eastAsia" w:ascii="Times New Roman" w:hAnsi="Times New Roman" w:eastAsia="宋体" w:cs="Times New Roman"/>
                      <w:b/>
                      <w:szCs w:val="21"/>
                    </w:rPr>
                    <w:t>能源名称</w:t>
                  </w:r>
                </w:p>
              </w:tc>
              <w:tc>
                <w:tcPr>
                  <w:tcW w:w="1050" w:type="pct"/>
                  <w:gridSpan w:val="2"/>
                  <w:tcBorders>
                    <w:tl2br w:val="nil"/>
                    <w:tr2bl w:val="nil"/>
                  </w:tcBorders>
                  <w:vAlign w:val="center"/>
                </w:tcPr>
                <w:p w14:paraId="0FB202EB">
                  <w:pPr>
                    <w:jc w:val="center"/>
                    <w:rPr>
                      <w:rFonts w:ascii="Times New Roman" w:hAnsi="Times New Roman" w:eastAsia="宋体" w:cs="Times New Roman"/>
                      <w:b/>
                      <w:szCs w:val="21"/>
                    </w:rPr>
                  </w:pPr>
                  <w:r>
                    <w:rPr>
                      <w:rFonts w:hint="eastAsia" w:ascii="Times New Roman" w:hAnsi="Times New Roman" w:eastAsia="宋体" w:cs="Times New Roman"/>
                      <w:b/>
                      <w:szCs w:val="21"/>
                    </w:rPr>
                    <w:t>单位</w:t>
                  </w:r>
                </w:p>
              </w:tc>
              <w:tc>
                <w:tcPr>
                  <w:tcW w:w="838" w:type="pct"/>
                  <w:gridSpan w:val="2"/>
                  <w:tcBorders>
                    <w:tl2br w:val="nil"/>
                    <w:tr2bl w:val="nil"/>
                  </w:tcBorders>
                  <w:vAlign w:val="center"/>
                </w:tcPr>
                <w:p w14:paraId="3B269F9A">
                  <w:pPr>
                    <w:jc w:val="center"/>
                    <w:rPr>
                      <w:rFonts w:ascii="Times New Roman" w:hAnsi="Times New Roman" w:eastAsia="宋体" w:cs="Times New Roman"/>
                      <w:b/>
                      <w:szCs w:val="21"/>
                    </w:rPr>
                  </w:pPr>
                  <w:r>
                    <w:rPr>
                      <w:rFonts w:hint="eastAsia" w:ascii="Times New Roman" w:hAnsi="Times New Roman" w:eastAsia="宋体" w:cs="Times New Roman"/>
                      <w:b/>
                      <w:szCs w:val="21"/>
                    </w:rPr>
                    <w:t>年用量</w:t>
                  </w:r>
                </w:p>
              </w:tc>
              <w:tc>
                <w:tcPr>
                  <w:tcW w:w="673" w:type="pct"/>
                  <w:tcBorders>
                    <w:tl2br w:val="nil"/>
                    <w:tr2bl w:val="nil"/>
                  </w:tcBorders>
                  <w:vAlign w:val="center"/>
                </w:tcPr>
                <w:p w14:paraId="53C5B38E">
                  <w:pPr>
                    <w:jc w:val="center"/>
                    <w:rPr>
                      <w:rFonts w:ascii="Times New Roman" w:hAnsi="Times New Roman" w:eastAsia="宋体" w:cs="Times New Roman"/>
                      <w:b/>
                      <w:szCs w:val="21"/>
                    </w:rPr>
                  </w:pPr>
                  <w:r>
                    <w:rPr>
                      <w:rFonts w:hint="eastAsia" w:ascii="Times New Roman" w:hAnsi="Times New Roman" w:eastAsia="宋体" w:cs="Times New Roman"/>
                      <w:b/>
                      <w:szCs w:val="21"/>
                    </w:rPr>
                    <w:t>最大贮存量</w:t>
                  </w:r>
                </w:p>
              </w:tc>
              <w:tc>
                <w:tcPr>
                  <w:tcW w:w="1005" w:type="pct"/>
                  <w:gridSpan w:val="2"/>
                  <w:tcBorders>
                    <w:tl2br w:val="nil"/>
                    <w:tr2bl w:val="nil"/>
                  </w:tcBorders>
                  <w:vAlign w:val="center"/>
                </w:tcPr>
                <w:p w14:paraId="62863BE8">
                  <w:pPr>
                    <w:jc w:val="center"/>
                    <w:rPr>
                      <w:rFonts w:ascii="Times New Roman" w:hAnsi="Times New Roman" w:eastAsia="宋体" w:cs="Times New Roman"/>
                      <w:b/>
                      <w:szCs w:val="21"/>
                    </w:rPr>
                  </w:pPr>
                  <w:r>
                    <w:rPr>
                      <w:rFonts w:hint="eastAsia" w:ascii="Times New Roman" w:hAnsi="Times New Roman" w:eastAsia="宋体" w:cs="Times New Roman"/>
                      <w:b/>
                      <w:szCs w:val="21"/>
                    </w:rPr>
                    <w:t>备注</w:t>
                  </w:r>
                </w:p>
              </w:tc>
            </w:tr>
            <w:tr w14:paraId="15C48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326" w:type="pct"/>
                  <w:tcBorders>
                    <w:tl2br w:val="nil"/>
                    <w:tr2bl w:val="nil"/>
                  </w:tcBorders>
                  <w:vAlign w:val="center"/>
                </w:tcPr>
                <w:p w14:paraId="06D94F08">
                  <w:pPr>
                    <w:jc w:val="center"/>
                    <w:rPr>
                      <w:rFonts w:ascii="Times New Roman" w:hAnsi="Times New Roman" w:eastAsia="宋体" w:cs="Times New Roman"/>
                      <w:b/>
                      <w:szCs w:val="21"/>
                    </w:rPr>
                  </w:pPr>
                  <w:r>
                    <w:rPr>
                      <w:rFonts w:hint="eastAsia" w:ascii="Times New Roman" w:hAnsi="Times New Roman" w:eastAsia="宋体" w:cs="Times New Roman"/>
                      <w:b/>
                      <w:szCs w:val="21"/>
                    </w:rPr>
                    <w:t>6.1</w:t>
                  </w:r>
                </w:p>
              </w:tc>
              <w:tc>
                <w:tcPr>
                  <w:tcW w:w="1105" w:type="pct"/>
                  <w:gridSpan w:val="4"/>
                  <w:tcBorders>
                    <w:tl2br w:val="nil"/>
                    <w:tr2bl w:val="nil"/>
                  </w:tcBorders>
                  <w:vAlign w:val="center"/>
                </w:tcPr>
                <w:p w14:paraId="59B9A272">
                  <w:pPr>
                    <w:jc w:val="center"/>
                    <w:rPr>
                      <w:rFonts w:ascii="Times New Roman" w:hAnsi="Times New Roman" w:eastAsia="宋体" w:cs="Times New Roman"/>
                      <w:bCs/>
                      <w:szCs w:val="21"/>
                    </w:rPr>
                  </w:pPr>
                  <w:r>
                    <w:rPr>
                      <w:rFonts w:hint="eastAsia" w:ascii="Times New Roman" w:hAnsi="Times New Roman" w:eastAsia="宋体" w:cs="Times New Roman"/>
                      <w:bCs/>
                      <w:szCs w:val="21"/>
                    </w:rPr>
                    <w:t>新鲜水</w:t>
                  </w:r>
                </w:p>
              </w:tc>
              <w:tc>
                <w:tcPr>
                  <w:tcW w:w="1050" w:type="pct"/>
                  <w:gridSpan w:val="2"/>
                  <w:tcBorders>
                    <w:tl2br w:val="nil"/>
                    <w:tr2bl w:val="nil"/>
                  </w:tcBorders>
                  <w:vAlign w:val="center"/>
                </w:tcPr>
                <w:p w14:paraId="4199E6A0">
                  <w:pPr>
                    <w:jc w:val="center"/>
                    <w:rPr>
                      <w:rFonts w:ascii="Times New Roman" w:hAnsi="Times New Roman" w:eastAsia="宋体" w:cs="Times New Roman"/>
                      <w:bCs/>
                      <w:szCs w:val="21"/>
                    </w:rPr>
                  </w:pPr>
                  <w:r>
                    <w:rPr>
                      <w:rFonts w:hint="eastAsia" w:ascii="Times New Roman" w:hAnsi="Times New Roman" w:eastAsia="宋体" w:cs="Times New Roman"/>
                      <w:bCs/>
                      <w:szCs w:val="21"/>
                    </w:rPr>
                    <w:t>m³/a</w:t>
                  </w:r>
                </w:p>
              </w:tc>
              <w:tc>
                <w:tcPr>
                  <w:tcW w:w="838" w:type="pct"/>
                  <w:gridSpan w:val="2"/>
                  <w:tcBorders>
                    <w:tl2br w:val="nil"/>
                    <w:tr2bl w:val="nil"/>
                  </w:tcBorders>
                  <w:vAlign w:val="center"/>
                </w:tcPr>
                <w:p w14:paraId="48316197">
                  <w:pPr>
                    <w:jc w:val="center"/>
                    <w:rPr>
                      <w:rFonts w:ascii="Times New Roman" w:hAnsi="Times New Roman" w:eastAsia="宋体" w:cs="Times New Roman"/>
                      <w:bCs/>
                      <w:szCs w:val="21"/>
                      <w:highlight w:val="yellow"/>
                    </w:rPr>
                  </w:pPr>
                  <w:r>
                    <w:rPr>
                      <w:rFonts w:ascii="Times New Roman" w:hAnsi="Times New Roman" w:eastAsia="宋体" w:cs="Times New Roman"/>
                      <w:bCs/>
                      <w:szCs w:val="21"/>
                    </w:rPr>
                    <w:t>3761.48</w:t>
                  </w:r>
                </w:p>
              </w:tc>
              <w:tc>
                <w:tcPr>
                  <w:tcW w:w="673" w:type="pct"/>
                  <w:tcBorders>
                    <w:tl2br w:val="nil"/>
                    <w:tr2bl w:val="nil"/>
                  </w:tcBorders>
                  <w:vAlign w:val="center"/>
                </w:tcPr>
                <w:p w14:paraId="2979B30D">
                  <w:pPr>
                    <w:jc w:val="center"/>
                    <w:rPr>
                      <w:rFonts w:ascii="Times New Roman" w:hAnsi="Times New Roman" w:eastAsia="宋体" w:cs="Times New Roman"/>
                      <w:bCs/>
                      <w:szCs w:val="21"/>
                      <w:highlight w:val="yellow"/>
                    </w:rPr>
                  </w:pPr>
                  <w:r>
                    <w:rPr>
                      <w:rFonts w:ascii="Times New Roman" w:hAnsi="Times New Roman" w:eastAsia="宋体" w:cs="Times New Roman"/>
                      <w:bCs/>
                      <w:color w:val="auto"/>
                      <w:szCs w:val="21"/>
                      <w:highlight w:val="none"/>
                    </w:rPr>
                    <w:t>/</w:t>
                  </w:r>
                </w:p>
              </w:tc>
              <w:tc>
                <w:tcPr>
                  <w:tcW w:w="1005" w:type="pct"/>
                  <w:gridSpan w:val="2"/>
                  <w:tcBorders>
                    <w:tl2br w:val="nil"/>
                    <w:tr2bl w:val="nil"/>
                  </w:tcBorders>
                  <w:vAlign w:val="center"/>
                </w:tcPr>
                <w:p w14:paraId="3CD6C15B">
                  <w:pPr>
                    <w:jc w:val="center"/>
                    <w:rPr>
                      <w:rFonts w:ascii="Times New Roman" w:hAnsi="Times New Roman" w:eastAsia="宋体" w:cs="Times New Roman"/>
                      <w:bCs/>
                      <w:szCs w:val="21"/>
                      <w:highlight w:val="yellow"/>
                    </w:rPr>
                  </w:pPr>
                </w:p>
              </w:tc>
            </w:tr>
            <w:tr w14:paraId="50893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326" w:type="pct"/>
                  <w:tcBorders>
                    <w:tl2br w:val="nil"/>
                    <w:tr2bl w:val="nil"/>
                  </w:tcBorders>
                  <w:vAlign w:val="center"/>
                </w:tcPr>
                <w:p w14:paraId="304B7582">
                  <w:pPr>
                    <w:jc w:val="center"/>
                    <w:rPr>
                      <w:rFonts w:ascii="Times New Roman" w:hAnsi="Times New Roman" w:eastAsia="宋体" w:cs="Times New Roman"/>
                      <w:b/>
                      <w:szCs w:val="21"/>
                    </w:rPr>
                  </w:pPr>
                  <w:r>
                    <w:rPr>
                      <w:rFonts w:hint="eastAsia" w:ascii="Times New Roman" w:hAnsi="Times New Roman" w:eastAsia="宋体" w:cs="Times New Roman"/>
                      <w:b/>
                      <w:szCs w:val="21"/>
                    </w:rPr>
                    <w:t>6.2</w:t>
                  </w:r>
                </w:p>
              </w:tc>
              <w:tc>
                <w:tcPr>
                  <w:tcW w:w="1105" w:type="pct"/>
                  <w:gridSpan w:val="4"/>
                  <w:tcBorders>
                    <w:tl2br w:val="nil"/>
                    <w:tr2bl w:val="nil"/>
                  </w:tcBorders>
                  <w:vAlign w:val="center"/>
                </w:tcPr>
                <w:p w14:paraId="59E7BC24">
                  <w:pPr>
                    <w:jc w:val="center"/>
                    <w:rPr>
                      <w:rFonts w:ascii="Times New Roman" w:hAnsi="Times New Roman" w:eastAsia="宋体" w:cs="Times New Roman"/>
                      <w:bCs/>
                      <w:szCs w:val="21"/>
                    </w:rPr>
                  </w:pPr>
                  <w:r>
                    <w:rPr>
                      <w:rFonts w:hint="eastAsia" w:ascii="Times New Roman" w:hAnsi="Times New Roman" w:eastAsia="宋体" w:cs="Times New Roman"/>
                      <w:bCs/>
                      <w:szCs w:val="21"/>
                    </w:rPr>
                    <w:t>用电量</w:t>
                  </w:r>
                </w:p>
              </w:tc>
              <w:tc>
                <w:tcPr>
                  <w:tcW w:w="1050" w:type="pct"/>
                  <w:gridSpan w:val="2"/>
                  <w:tcBorders>
                    <w:tl2br w:val="nil"/>
                    <w:tr2bl w:val="nil"/>
                  </w:tcBorders>
                  <w:vAlign w:val="center"/>
                </w:tcPr>
                <w:p w14:paraId="2A298899">
                  <w:pPr>
                    <w:jc w:val="center"/>
                    <w:rPr>
                      <w:rFonts w:ascii="Times New Roman" w:hAnsi="Times New Roman" w:eastAsia="宋体" w:cs="Times New Roman"/>
                      <w:bCs/>
                      <w:szCs w:val="21"/>
                    </w:rPr>
                  </w:pPr>
                  <w:r>
                    <w:rPr>
                      <w:rFonts w:hint="eastAsia" w:ascii="Times New Roman" w:hAnsi="Times New Roman" w:eastAsia="宋体" w:cs="Times New Roman"/>
                      <w:bCs/>
                      <w:szCs w:val="21"/>
                    </w:rPr>
                    <w:t>万 Kwh/a</w:t>
                  </w:r>
                </w:p>
              </w:tc>
              <w:tc>
                <w:tcPr>
                  <w:tcW w:w="838" w:type="pct"/>
                  <w:gridSpan w:val="2"/>
                  <w:tcBorders>
                    <w:tl2br w:val="nil"/>
                    <w:tr2bl w:val="nil"/>
                  </w:tcBorders>
                  <w:vAlign w:val="center"/>
                </w:tcPr>
                <w:p w14:paraId="166A0F0E">
                  <w:pPr>
                    <w:jc w:val="center"/>
                    <w:rPr>
                      <w:rFonts w:ascii="Times New Roman" w:hAnsi="Times New Roman" w:eastAsia="宋体" w:cs="Times New Roman"/>
                      <w:bCs/>
                      <w:szCs w:val="21"/>
                    </w:rPr>
                  </w:pPr>
                  <w:r>
                    <w:rPr>
                      <w:rFonts w:hint="eastAsia" w:ascii="Times New Roman" w:hAnsi="Times New Roman" w:eastAsia="宋体" w:cs="Times New Roman"/>
                      <w:bCs/>
                      <w:szCs w:val="21"/>
                    </w:rPr>
                    <w:t>100</w:t>
                  </w:r>
                </w:p>
              </w:tc>
              <w:tc>
                <w:tcPr>
                  <w:tcW w:w="673" w:type="pct"/>
                  <w:tcBorders>
                    <w:tl2br w:val="nil"/>
                    <w:tr2bl w:val="nil"/>
                  </w:tcBorders>
                  <w:vAlign w:val="center"/>
                </w:tcPr>
                <w:p w14:paraId="7DD04BC6">
                  <w:pPr>
                    <w:jc w:val="center"/>
                    <w:rPr>
                      <w:rFonts w:ascii="Times New Roman" w:hAnsi="Times New Roman" w:eastAsia="宋体" w:cs="Times New Roman"/>
                      <w:bCs/>
                      <w:szCs w:val="21"/>
                    </w:rPr>
                  </w:pPr>
                  <w:r>
                    <w:rPr>
                      <w:rFonts w:ascii="Times New Roman" w:hAnsi="Times New Roman" w:eastAsia="宋体" w:cs="Times New Roman"/>
                      <w:bCs/>
                      <w:szCs w:val="21"/>
                    </w:rPr>
                    <w:t>/</w:t>
                  </w:r>
                </w:p>
              </w:tc>
              <w:tc>
                <w:tcPr>
                  <w:tcW w:w="1005" w:type="pct"/>
                  <w:gridSpan w:val="2"/>
                  <w:tcBorders>
                    <w:tl2br w:val="nil"/>
                    <w:tr2bl w:val="nil"/>
                  </w:tcBorders>
                  <w:vAlign w:val="center"/>
                </w:tcPr>
                <w:p w14:paraId="3AF7D3E8">
                  <w:pPr>
                    <w:jc w:val="center"/>
                    <w:rPr>
                      <w:rFonts w:ascii="Times New Roman" w:hAnsi="Times New Roman" w:eastAsia="宋体" w:cs="Times New Roman"/>
                      <w:bCs/>
                      <w:szCs w:val="21"/>
                    </w:rPr>
                  </w:pPr>
                </w:p>
              </w:tc>
            </w:tr>
            <w:tr w14:paraId="78F4C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326" w:type="pct"/>
                  <w:tcBorders>
                    <w:tl2br w:val="nil"/>
                    <w:tr2bl w:val="nil"/>
                  </w:tcBorders>
                  <w:vAlign w:val="center"/>
                </w:tcPr>
                <w:p w14:paraId="3A30EA56">
                  <w:pPr>
                    <w:jc w:val="center"/>
                    <w:rPr>
                      <w:rFonts w:ascii="Times New Roman" w:hAnsi="Times New Roman" w:eastAsia="宋体" w:cs="Times New Roman"/>
                      <w:b/>
                      <w:szCs w:val="21"/>
                    </w:rPr>
                  </w:pPr>
                  <w:r>
                    <w:rPr>
                      <w:rFonts w:hint="eastAsia" w:ascii="Times New Roman" w:hAnsi="Times New Roman" w:eastAsia="宋体" w:cs="Times New Roman"/>
                      <w:b/>
                      <w:szCs w:val="21"/>
                    </w:rPr>
                    <w:t>6.3</w:t>
                  </w:r>
                </w:p>
              </w:tc>
              <w:tc>
                <w:tcPr>
                  <w:tcW w:w="1105" w:type="pct"/>
                  <w:gridSpan w:val="4"/>
                  <w:tcBorders>
                    <w:tl2br w:val="nil"/>
                    <w:tr2bl w:val="nil"/>
                  </w:tcBorders>
                  <w:vAlign w:val="center"/>
                </w:tcPr>
                <w:p w14:paraId="019AAE4D">
                  <w:pPr>
                    <w:jc w:val="center"/>
                    <w:rPr>
                      <w:rFonts w:ascii="Times New Roman" w:hAnsi="Times New Roman" w:eastAsia="宋体" w:cs="Times New Roman"/>
                      <w:bCs/>
                      <w:szCs w:val="21"/>
                    </w:rPr>
                  </w:pPr>
                  <w:r>
                    <w:rPr>
                      <w:rFonts w:hint="eastAsia" w:ascii="Times New Roman" w:hAnsi="Times New Roman" w:eastAsia="宋体" w:cs="Times New Roman"/>
                      <w:bCs/>
                      <w:szCs w:val="21"/>
                    </w:rPr>
                    <w:t>柴油</w:t>
                  </w:r>
                </w:p>
              </w:tc>
              <w:tc>
                <w:tcPr>
                  <w:tcW w:w="1050" w:type="pct"/>
                  <w:gridSpan w:val="2"/>
                  <w:tcBorders>
                    <w:tl2br w:val="nil"/>
                    <w:tr2bl w:val="nil"/>
                  </w:tcBorders>
                  <w:vAlign w:val="center"/>
                </w:tcPr>
                <w:p w14:paraId="261D7746">
                  <w:pPr>
                    <w:jc w:val="center"/>
                    <w:rPr>
                      <w:rFonts w:ascii="Times New Roman" w:hAnsi="Times New Roman" w:eastAsia="宋体" w:cs="Times New Roman"/>
                      <w:bCs/>
                      <w:szCs w:val="21"/>
                    </w:rPr>
                  </w:pPr>
                  <w:r>
                    <w:rPr>
                      <w:rFonts w:hint="eastAsia" w:ascii="Times New Roman" w:hAnsi="Times New Roman" w:eastAsia="宋体" w:cs="Times New Roman"/>
                      <w:bCs/>
                      <w:szCs w:val="21"/>
                    </w:rPr>
                    <w:t>t/a</w:t>
                  </w:r>
                </w:p>
              </w:tc>
              <w:tc>
                <w:tcPr>
                  <w:tcW w:w="838" w:type="pct"/>
                  <w:gridSpan w:val="2"/>
                  <w:tcBorders>
                    <w:tl2br w:val="nil"/>
                    <w:tr2bl w:val="nil"/>
                  </w:tcBorders>
                  <w:vAlign w:val="center"/>
                </w:tcPr>
                <w:p w14:paraId="53756DDB">
                  <w:pPr>
                    <w:jc w:val="center"/>
                    <w:rPr>
                      <w:rFonts w:ascii="Times New Roman" w:hAnsi="Times New Roman" w:eastAsia="宋体" w:cs="Times New Roman"/>
                      <w:bCs/>
                      <w:szCs w:val="21"/>
                    </w:rPr>
                  </w:pPr>
                  <w:r>
                    <w:rPr>
                      <w:rFonts w:hint="eastAsia" w:ascii="Times New Roman" w:hAnsi="Times New Roman" w:eastAsia="宋体" w:cs="Times New Roman"/>
                      <w:bCs/>
                      <w:szCs w:val="21"/>
                    </w:rPr>
                    <w:t>180</w:t>
                  </w:r>
                </w:p>
              </w:tc>
              <w:tc>
                <w:tcPr>
                  <w:tcW w:w="673" w:type="pct"/>
                  <w:tcBorders>
                    <w:tl2br w:val="nil"/>
                    <w:tr2bl w:val="nil"/>
                  </w:tcBorders>
                  <w:vAlign w:val="center"/>
                </w:tcPr>
                <w:p w14:paraId="5B043D17">
                  <w:pPr>
                    <w:jc w:val="center"/>
                    <w:rPr>
                      <w:rFonts w:ascii="Times New Roman" w:hAnsi="Times New Roman" w:eastAsia="宋体" w:cs="Times New Roman"/>
                      <w:bCs/>
                      <w:szCs w:val="21"/>
                    </w:rPr>
                  </w:pPr>
                  <w:r>
                    <w:rPr>
                      <w:rFonts w:hint="eastAsia" w:ascii="Times New Roman" w:hAnsi="Times New Roman" w:eastAsia="宋体" w:cs="Times New Roman"/>
                      <w:bCs/>
                      <w:szCs w:val="21"/>
                    </w:rPr>
                    <w:t>65</w:t>
                  </w:r>
                </w:p>
              </w:tc>
              <w:tc>
                <w:tcPr>
                  <w:tcW w:w="1005" w:type="pct"/>
                  <w:gridSpan w:val="2"/>
                  <w:tcBorders>
                    <w:tl2br w:val="nil"/>
                    <w:tr2bl w:val="nil"/>
                  </w:tcBorders>
                  <w:vAlign w:val="center"/>
                </w:tcPr>
                <w:p w14:paraId="4CA88B4C">
                  <w:pPr>
                    <w:jc w:val="center"/>
                    <w:rPr>
                      <w:rFonts w:ascii="Times New Roman" w:hAnsi="Times New Roman" w:eastAsia="宋体" w:cs="Times New Roman"/>
                      <w:bCs/>
                      <w:szCs w:val="21"/>
                    </w:rPr>
                  </w:pPr>
                  <w:r>
                    <w:rPr>
                      <w:rFonts w:hint="eastAsia" w:ascii="Times New Roman" w:hAnsi="Times New Roman" w:eastAsia="宋体" w:cs="Times New Roman"/>
                      <w:bCs/>
                      <w:szCs w:val="21"/>
                    </w:rPr>
                    <w:t>柴油储罐</w:t>
                  </w:r>
                </w:p>
              </w:tc>
            </w:tr>
            <w:tr w14:paraId="264D7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326" w:type="pct"/>
                  <w:tcBorders>
                    <w:tl2br w:val="nil"/>
                    <w:tr2bl w:val="nil"/>
                  </w:tcBorders>
                  <w:vAlign w:val="center"/>
                </w:tcPr>
                <w:p w14:paraId="621080E0">
                  <w:pPr>
                    <w:jc w:val="center"/>
                    <w:rPr>
                      <w:rFonts w:ascii="Times New Roman" w:hAnsi="Times New Roman" w:eastAsia="宋体" w:cs="Times New Roman"/>
                      <w:b/>
                      <w:szCs w:val="21"/>
                    </w:rPr>
                  </w:pPr>
                  <w:r>
                    <w:rPr>
                      <w:rFonts w:hint="eastAsia" w:ascii="Times New Roman" w:hAnsi="Times New Roman" w:eastAsia="宋体" w:cs="Times New Roman"/>
                      <w:b/>
                      <w:szCs w:val="21"/>
                    </w:rPr>
                    <w:t>6.4</w:t>
                  </w:r>
                </w:p>
              </w:tc>
              <w:tc>
                <w:tcPr>
                  <w:tcW w:w="1105" w:type="pct"/>
                  <w:gridSpan w:val="4"/>
                  <w:tcBorders>
                    <w:tl2br w:val="nil"/>
                    <w:tr2bl w:val="nil"/>
                  </w:tcBorders>
                  <w:vAlign w:val="center"/>
                </w:tcPr>
                <w:p w14:paraId="2E2D0165">
                  <w:pPr>
                    <w:jc w:val="center"/>
                    <w:rPr>
                      <w:rFonts w:ascii="Times New Roman" w:hAnsi="Times New Roman" w:eastAsia="宋体" w:cs="Times New Roman"/>
                      <w:bCs/>
                      <w:szCs w:val="21"/>
                    </w:rPr>
                  </w:pPr>
                  <w:r>
                    <w:rPr>
                      <w:rFonts w:hint="eastAsia" w:ascii="Times New Roman" w:hAnsi="Times New Roman" w:eastAsia="宋体" w:cs="Times New Roman"/>
                      <w:bCs/>
                      <w:szCs w:val="21"/>
                    </w:rPr>
                    <w:t>导热油</w:t>
                  </w:r>
                </w:p>
              </w:tc>
              <w:tc>
                <w:tcPr>
                  <w:tcW w:w="1050" w:type="pct"/>
                  <w:gridSpan w:val="2"/>
                  <w:tcBorders>
                    <w:tl2br w:val="nil"/>
                    <w:tr2bl w:val="nil"/>
                  </w:tcBorders>
                  <w:vAlign w:val="center"/>
                </w:tcPr>
                <w:p w14:paraId="0F9B4860">
                  <w:pPr>
                    <w:jc w:val="center"/>
                  </w:pPr>
                  <w:r>
                    <w:rPr>
                      <w:rFonts w:hint="eastAsia" w:ascii="Times New Roman" w:hAnsi="Times New Roman" w:eastAsia="宋体" w:cs="Times New Roman"/>
                      <w:bCs/>
                      <w:szCs w:val="21"/>
                    </w:rPr>
                    <w:t>t/a</w:t>
                  </w:r>
                </w:p>
              </w:tc>
              <w:tc>
                <w:tcPr>
                  <w:tcW w:w="838" w:type="pct"/>
                  <w:gridSpan w:val="2"/>
                  <w:tcBorders>
                    <w:tl2br w:val="nil"/>
                    <w:tr2bl w:val="nil"/>
                  </w:tcBorders>
                  <w:vAlign w:val="center"/>
                </w:tcPr>
                <w:p w14:paraId="533445B1">
                  <w:pPr>
                    <w:jc w:val="center"/>
                    <w:rPr>
                      <w:rFonts w:ascii="Times New Roman" w:hAnsi="Times New Roman" w:eastAsia="宋体" w:cs="Times New Roman"/>
                      <w:bCs/>
                      <w:szCs w:val="21"/>
                    </w:rPr>
                  </w:pPr>
                  <w:r>
                    <w:rPr>
                      <w:rFonts w:hint="eastAsia" w:ascii="Times New Roman" w:hAnsi="Times New Roman" w:eastAsia="宋体" w:cs="Times New Roman"/>
                      <w:bCs/>
                      <w:szCs w:val="21"/>
                    </w:rPr>
                    <w:t>8</w:t>
                  </w:r>
                </w:p>
              </w:tc>
              <w:tc>
                <w:tcPr>
                  <w:tcW w:w="673" w:type="pct"/>
                  <w:tcBorders>
                    <w:tl2br w:val="nil"/>
                    <w:tr2bl w:val="nil"/>
                  </w:tcBorders>
                  <w:vAlign w:val="center"/>
                </w:tcPr>
                <w:p w14:paraId="176287B2">
                  <w:pPr>
                    <w:jc w:val="center"/>
                    <w:rPr>
                      <w:rFonts w:ascii="Times New Roman" w:hAnsi="Times New Roman" w:eastAsia="宋体" w:cs="Times New Roman"/>
                      <w:bCs/>
                      <w:szCs w:val="21"/>
                    </w:rPr>
                  </w:pPr>
                  <w:r>
                    <w:rPr>
                      <w:rFonts w:hint="eastAsia" w:ascii="Times New Roman" w:hAnsi="Times New Roman" w:eastAsia="宋体" w:cs="Times New Roman"/>
                      <w:bCs/>
                      <w:szCs w:val="21"/>
                    </w:rPr>
                    <w:t>8</w:t>
                  </w:r>
                </w:p>
              </w:tc>
              <w:tc>
                <w:tcPr>
                  <w:tcW w:w="1005" w:type="pct"/>
                  <w:gridSpan w:val="2"/>
                  <w:tcBorders>
                    <w:tl2br w:val="nil"/>
                    <w:tr2bl w:val="nil"/>
                  </w:tcBorders>
                  <w:vAlign w:val="center"/>
                </w:tcPr>
                <w:p w14:paraId="39FC7CD3">
                  <w:pPr>
                    <w:jc w:val="center"/>
                    <w:rPr>
                      <w:rFonts w:ascii="Times New Roman" w:hAnsi="Times New Roman" w:eastAsia="宋体" w:cs="Times New Roman"/>
                      <w:bCs/>
                      <w:szCs w:val="21"/>
                    </w:rPr>
                  </w:pPr>
                  <w:r>
                    <w:rPr>
                      <w:rFonts w:hint="eastAsia" w:ascii="Times New Roman" w:hAnsi="Times New Roman" w:eastAsia="宋体" w:cs="Times New Roman"/>
                      <w:bCs/>
                      <w:szCs w:val="21"/>
                    </w:rPr>
                    <w:t>循环利用</w:t>
                  </w:r>
                </w:p>
              </w:tc>
            </w:tr>
          </w:tbl>
          <w:p w14:paraId="04E3DE57">
            <w:pPr>
              <w:spacing w:line="500" w:lineRule="exact"/>
              <w:ind w:firstLine="482" w:firstLineChars="200"/>
              <w:rPr>
                <w:rFonts w:ascii="Times New Roman" w:hAnsi="Times New Roman" w:eastAsia="仿宋" w:cs="Times New Roman"/>
                <w:kern w:val="0"/>
                <w:sz w:val="24"/>
              </w:rPr>
            </w:pPr>
            <w:r>
              <w:rPr>
                <w:rFonts w:ascii="Times New Roman" w:hAnsi="Times New Roman" w:eastAsia="仿宋" w:cs="Times New Roman"/>
                <w:b/>
                <w:bCs/>
                <w:kern w:val="0"/>
                <w:sz w:val="24"/>
              </w:rPr>
              <w:t>原辅料</w:t>
            </w:r>
            <w:r>
              <w:rPr>
                <w:rFonts w:hint="eastAsia" w:ascii="Times New Roman" w:hAnsi="Times New Roman" w:eastAsia="仿宋" w:cs="Times New Roman"/>
                <w:b/>
                <w:bCs/>
                <w:kern w:val="0"/>
                <w:sz w:val="24"/>
              </w:rPr>
              <w:t>、成品</w:t>
            </w:r>
            <w:r>
              <w:rPr>
                <w:rFonts w:ascii="Times New Roman" w:hAnsi="Times New Roman" w:eastAsia="仿宋" w:cs="Times New Roman"/>
                <w:b/>
                <w:bCs/>
                <w:kern w:val="0"/>
                <w:sz w:val="24"/>
              </w:rPr>
              <w:t>理化性质</w:t>
            </w:r>
          </w:p>
          <w:p w14:paraId="34D56328">
            <w:pPr>
              <w:spacing w:line="500" w:lineRule="exact"/>
              <w:ind w:firstLine="480" w:firstLineChars="200"/>
              <w:rPr>
                <w:rFonts w:ascii="Times New Roman" w:hAnsi="Times New Roman" w:eastAsia="仿宋" w:cs="Times New Roman"/>
                <w:kern w:val="0"/>
                <w:sz w:val="24"/>
              </w:rPr>
            </w:pPr>
            <w:r>
              <w:rPr>
                <w:rFonts w:hint="eastAsia" w:ascii="Times New Roman" w:hAnsi="Times New Roman" w:eastAsia="仿宋" w:cs="Times New Roman"/>
                <w:kern w:val="0"/>
                <w:sz w:val="24"/>
              </w:rPr>
              <w:t>乳化沥青：常温下为棕褐色至黑褐色液体。是黏稠沥青经热融和机械作用以微滴状态分散于含有乳化剂一稳定剂的水中，形成水包油(O/W)型的沥青乳液。乳化沥青是将通常高温使用的道路沥青，经过机械搅拌和化学稳定的方法（乳化），扩散到水中而液化成常温下粘度很低、流动性很好的一种道路建筑材料。可与潮湿集料拌和，破乳后水分蒸发，沥青膜包裹集料并凝结固化。</w:t>
            </w:r>
          </w:p>
          <w:p w14:paraId="42B98EC9">
            <w:pPr>
              <w:spacing w:line="500" w:lineRule="exact"/>
              <w:ind w:firstLine="480" w:firstLineChars="200"/>
              <w:rPr>
                <w:rFonts w:hint="eastAsia" w:ascii="Times New Roman" w:hAnsi="Times New Roman" w:eastAsia="仿宋" w:cs="Times New Roman"/>
                <w:color w:val="1331F5"/>
                <w:kern w:val="0"/>
                <w:sz w:val="24"/>
                <w:lang w:val="en-US" w:eastAsia="zh-CN"/>
              </w:rPr>
            </w:pPr>
            <w:r>
              <w:rPr>
                <w:rFonts w:hint="eastAsia" w:ascii="Times New Roman" w:hAnsi="Times New Roman" w:eastAsia="仿宋" w:cs="Times New Roman"/>
                <w:color w:val="1331F5"/>
                <w:kern w:val="0"/>
                <w:sz w:val="24"/>
                <w:lang w:val="en-US" w:eastAsia="zh-CN"/>
              </w:rPr>
              <w:t>乳化剂：乳化沥青乳化剂为阳离子型表面活性剂，外观呈淡黄色至棕色黏稠液体，易溶于水，1%水溶液pH值约为6～8，主要成分为有机胺类化合物，活性物含量≥40%。常温条件下化学性质稳定，闪点＞100℃，不属于易燃液体，正常储存和使用条件下无爆炸危险。该乳化剂具有一定的生物降解性，毒性较低。其主要作用是降低沥青与水相之间的界面张力，促进沥青在水相中的分散，使沥青以微细液滴形式均匀分散于水中，形成稳定的乳状分散体系，并提高乳化沥青的储存稳定性。</w:t>
            </w:r>
          </w:p>
          <w:p w14:paraId="7949CE2B">
            <w:pPr>
              <w:spacing w:line="500" w:lineRule="exact"/>
              <w:ind w:firstLine="480" w:firstLineChars="200"/>
              <w:rPr>
                <w:rFonts w:ascii="Times New Roman" w:hAnsi="Times New Roman" w:eastAsia="仿宋" w:cs="Times New Roman"/>
                <w:kern w:val="0"/>
                <w:sz w:val="24"/>
              </w:rPr>
            </w:pPr>
            <w:r>
              <w:rPr>
                <w:rFonts w:ascii="Times New Roman" w:hAnsi="Times New Roman" w:eastAsia="仿宋" w:cs="Times New Roman"/>
                <w:kern w:val="0"/>
                <w:sz w:val="24"/>
              </w:rPr>
              <w:t>沥青：普通沥青（含油量一般在3.8%~4.2%和5.8%~6.2%），密度一般在1.15~1.25左右，作为原料</w:t>
            </w:r>
            <w:r>
              <w:rPr>
                <w:rFonts w:hint="eastAsia" w:ascii="Times New Roman" w:hAnsi="Times New Roman" w:eastAsia="仿宋" w:cs="Times New Roman"/>
                <w:kern w:val="0"/>
                <w:sz w:val="24"/>
              </w:rPr>
              <w:t>，</w:t>
            </w:r>
            <w:r>
              <w:rPr>
                <w:rFonts w:ascii="Times New Roman" w:hAnsi="Times New Roman" w:eastAsia="仿宋" w:cs="Times New Roman"/>
                <w:kern w:val="0"/>
                <w:sz w:val="24"/>
              </w:rPr>
              <w:t>运输采用密封罐车运输，处于半固态状态，同时在厂区内采用沥青罐储存。主要成分是沥青质和树脂。沥青质不溶于低沸点的烷烃，颜色为棕至黑色；树脂溶于低沸点的烷烃，颜色为深色半固体或固体物质。沥青有光泽，</w:t>
            </w:r>
            <w:r>
              <w:rPr>
                <w:rFonts w:hint="eastAsia" w:ascii="Times New Roman" w:hAnsi="Times New Roman" w:eastAsia="仿宋" w:cs="Times New Roman"/>
                <w:kern w:val="0"/>
                <w:sz w:val="24"/>
              </w:rPr>
              <w:t>黏结性</w:t>
            </w:r>
            <w:r>
              <w:rPr>
                <w:rFonts w:ascii="Times New Roman" w:hAnsi="Times New Roman" w:eastAsia="仿宋" w:cs="Times New Roman"/>
                <w:kern w:val="0"/>
                <w:sz w:val="24"/>
              </w:rPr>
              <w:t>、抗水性和防腐性良好。</w:t>
            </w:r>
            <w:r>
              <w:rPr>
                <w:rFonts w:ascii="Times New Roman" w:hAnsi="Times New Roman" w:eastAsia="仿宋" w:cs="Times New Roman"/>
                <w:sz w:val="24"/>
              </w:rPr>
              <w:t>根据《沥青挥发性有机化合物的释放及其对沥青性能的影响》（武汉理工大学硕士学位论文，余嫚），沥青在常温常压服役过程中会产生挥发性有机化合物，高温加热作用会促进VOCs的释放。</w:t>
            </w:r>
          </w:p>
          <w:p w14:paraId="1F774341">
            <w:pPr>
              <w:spacing w:line="500" w:lineRule="exact"/>
              <w:ind w:firstLine="480" w:firstLineChars="200"/>
              <w:rPr>
                <w:rFonts w:ascii="Times New Roman" w:hAnsi="Times New Roman" w:eastAsia="仿宋" w:cs="Times New Roman"/>
                <w:kern w:val="0"/>
                <w:sz w:val="24"/>
              </w:rPr>
            </w:pPr>
            <w:r>
              <w:rPr>
                <w:rFonts w:ascii="Times New Roman" w:hAnsi="Times New Roman" w:eastAsia="仿宋" w:cs="Times New Roman"/>
                <w:kern w:val="0"/>
                <w:sz w:val="24"/>
              </w:rPr>
              <w:t>柴油：轻质柴油为轻质石油产品，复杂烃类（碳原子数约10~22）混合物，含硫约为0.001%。主要由原油蒸馏、催化裂化、热裂化、加氢裂化、石油焦化等过程生产的柴油馏分调配而成；也可由页岩油加工和煤液化制取。分为轻质柴油（沸点范围约180~370℃）和重柴油（沸点范围约350~410℃）两大类。广泛用于大型车辆、铁路机车、船舰。沸点范围和黏度介于煤油与润滑油之间的液态石油馏分。易燃易挥发，不溶于水，易溶于醇和其他有机溶剂。是组分复杂的混合物，沸点范围在180℃~370℃和350℃~410℃两类。由原油、页岩油等经直馏或裂化等过程制得。根据原油性质的不同，有石蜡基柴油、环烷基柴油、环烷芳烃基柴油等。根据密度的不同，对石油及其加工产品，习惯上对沸点或沸点范围低的称为轻，相反</w:t>
            </w:r>
            <w:r>
              <w:rPr>
                <w:rFonts w:hint="eastAsia" w:ascii="Times New Roman" w:hAnsi="Times New Roman" w:eastAsia="仿宋" w:cs="Times New Roman"/>
                <w:kern w:val="0"/>
                <w:sz w:val="24"/>
              </w:rPr>
              <w:t>称为</w:t>
            </w:r>
            <w:r>
              <w:rPr>
                <w:rFonts w:ascii="Times New Roman" w:hAnsi="Times New Roman" w:eastAsia="仿宋" w:cs="Times New Roman"/>
                <w:kern w:val="0"/>
                <w:sz w:val="24"/>
              </w:rPr>
              <w:t>重。一般分为轻质柴油和重柴油。石蜡基柴油也用作裂解制乙烯、丙烯的原料，还可作吸收油等。</w:t>
            </w:r>
          </w:p>
          <w:p w14:paraId="3D5BE35D">
            <w:pPr>
              <w:spacing w:line="500" w:lineRule="exact"/>
              <w:ind w:firstLine="480" w:firstLineChars="200"/>
              <w:rPr>
                <w:rFonts w:ascii="Times New Roman" w:hAnsi="Times New Roman" w:eastAsia="仿宋" w:cs="Times New Roman"/>
                <w:kern w:val="0"/>
                <w:sz w:val="24"/>
              </w:rPr>
            </w:pPr>
            <w:r>
              <w:rPr>
                <w:rFonts w:ascii="Times New Roman" w:hAnsi="Times New Roman" w:eastAsia="仿宋" w:cs="Times New Roman"/>
                <w:kern w:val="0"/>
                <w:sz w:val="24"/>
              </w:rPr>
              <w:t>本项目购买检验合格的成品轻质柴油，根据《普通柴油》（GB 19147-2016），轻质柴油技术要求见下表。</w:t>
            </w:r>
          </w:p>
          <w:p w14:paraId="092E3CF5">
            <w:pPr>
              <w:spacing w:line="400" w:lineRule="exact"/>
              <w:jc w:val="center"/>
              <w:rPr>
                <w:rFonts w:ascii="Times New Roman" w:hAnsi="Times New Roman" w:eastAsia="仿宋" w:cs="Times New Roman"/>
                <w:b/>
                <w:bCs/>
                <w:kern w:val="0"/>
                <w:sz w:val="24"/>
              </w:rPr>
            </w:pPr>
            <w:r>
              <w:rPr>
                <w:rFonts w:ascii="Times New Roman" w:hAnsi="Times New Roman" w:eastAsia="仿宋" w:cs="Times New Roman"/>
                <w:b/>
                <w:bCs/>
                <w:kern w:val="0"/>
                <w:sz w:val="24"/>
              </w:rPr>
              <w:t xml:space="preserve">  表2-</w:t>
            </w:r>
            <w:r>
              <w:rPr>
                <w:rFonts w:hint="eastAsia" w:ascii="Times New Roman" w:hAnsi="Times New Roman" w:eastAsia="仿宋" w:cs="Times New Roman"/>
                <w:b/>
                <w:bCs/>
                <w:kern w:val="0"/>
                <w:sz w:val="24"/>
              </w:rPr>
              <w:t>6</w:t>
            </w:r>
            <w:r>
              <w:rPr>
                <w:rFonts w:ascii="Times New Roman" w:hAnsi="Times New Roman" w:eastAsia="仿宋" w:cs="Times New Roman"/>
                <w:b/>
                <w:bCs/>
                <w:kern w:val="0"/>
                <w:sz w:val="24"/>
              </w:rPr>
              <w:t xml:space="preserve"> 轻质柴油技术要求</w:t>
            </w:r>
          </w:p>
          <w:tbl>
            <w:tblPr>
              <w:tblStyle w:val="28"/>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194"/>
              <w:gridCol w:w="2676"/>
            </w:tblGrid>
            <w:tr w14:paraId="48D62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76" w:hRule="atLeast"/>
                <w:jc w:val="center"/>
              </w:trPr>
              <w:tc>
                <w:tcPr>
                  <w:tcW w:w="3300" w:type="pct"/>
                  <w:tcBorders>
                    <w:tl2br w:val="nil"/>
                    <w:tr2bl w:val="nil"/>
                  </w:tcBorders>
                  <w:vAlign w:val="center"/>
                </w:tcPr>
                <w:p w14:paraId="4DE53222">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项目</w:t>
                  </w:r>
                </w:p>
              </w:tc>
              <w:tc>
                <w:tcPr>
                  <w:tcW w:w="1700" w:type="pct"/>
                  <w:tcBorders>
                    <w:tl2br w:val="nil"/>
                    <w:tr2bl w:val="nil"/>
                  </w:tcBorders>
                  <w:vAlign w:val="center"/>
                </w:tcPr>
                <w:p w14:paraId="6CC125DB">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标准值</w:t>
                  </w:r>
                </w:p>
              </w:tc>
            </w:tr>
            <w:tr w14:paraId="1846F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0" w:hRule="atLeast"/>
                <w:jc w:val="center"/>
              </w:trPr>
              <w:tc>
                <w:tcPr>
                  <w:tcW w:w="3300" w:type="pct"/>
                  <w:tcBorders>
                    <w:tl2br w:val="nil"/>
                    <w:tr2bl w:val="nil"/>
                  </w:tcBorders>
                  <w:vAlign w:val="center"/>
                </w:tcPr>
                <w:p w14:paraId="5A4E3851">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色度/号</w:t>
                  </w:r>
                </w:p>
              </w:tc>
              <w:tc>
                <w:tcPr>
                  <w:tcW w:w="1700" w:type="pct"/>
                  <w:tcBorders>
                    <w:tl2br w:val="nil"/>
                    <w:tr2bl w:val="nil"/>
                  </w:tcBorders>
                  <w:vAlign w:val="center"/>
                </w:tcPr>
                <w:p w14:paraId="05D35A97">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≤3.5</w:t>
                  </w:r>
                </w:p>
              </w:tc>
            </w:tr>
            <w:tr w14:paraId="6A470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0" w:hRule="atLeast"/>
                <w:jc w:val="center"/>
              </w:trPr>
              <w:tc>
                <w:tcPr>
                  <w:tcW w:w="3300" w:type="pct"/>
                  <w:tcBorders>
                    <w:tl2br w:val="nil"/>
                    <w:tr2bl w:val="nil"/>
                  </w:tcBorders>
                  <w:vAlign w:val="center"/>
                </w:tcPr>
                <w:p w14:paraId="75F91180">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氧化安定性（以总不溶物计）/（mg/100mL）</w:t>
                  </w:r>
                </w:p>
              </w:tc>
              <w:tc>
                <w:tcPr>
                  <w:tcW w:w="1700" w:type="pct"/>
                  <w:tcBorders>
                    <w:tl2br w:val="nil"/>
                    <w:tr2bl w:val="nil"/>
                  </w:tcBorders>
                  <w:vAlign w:val="center"/>
                </w:tcPr>
                <w:p w14:paraId="6F214452">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≤2.5</w:t>
                  </w:r>
                </w:p>
              </w:tc>
            </w:tr>
            <w:tr w14:paraId="5481D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0" w:hRule="atLeast"/>
                <w:jc w:val="center"/>
              </w:trPr>
              <w:tc>
                <w:tcPr>
                  <w:tcW w:w="3300" w:type="pct"/>
                  <w:tcBorders>
                    <w:tl2br w:val="nil"/>
                    <w:tr2bl w:val="nil"/>
                  </w:tcBorders>
                  <w:vAlign w:val="center"/>
                </w:tcPr>
                <w:p w14:paraId="41374343">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硫含量/（mg/kg）</w:t>
                  </w:r>
                </w:p>
              </w:tc>
              <w:tc>
                <w:tcPr>
                  <w:tcW w:w="1700" w:type="pct"/>
                  <w:tcBorders>
                    <w:tl2br w:val="nil"/>
                    <w:tr2bl w:val="nil"/>
                  </w:tcBorders>
                  <w:vAlign w:val="center"/>
                </w:tcPr>
                <w:p w14:paraId="001C309E">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≤10</w:t>
                  </w:r>
                </w:p>
              </w:tc>
            </w:tr>
            <w:tr w14:paraId="3B816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0" w:hRule="atLeast"/>
                <w:jc w:val="center"/>
              </w:trPr>
              <w:tc>
                <w:tcPr>
                  <w:tcW w:w="3300" w:type="pct"/>
                  <w:tcBorders>
                    <w:tl2br w:val="nil"/>
                    <w:tr2bl w:val="nil"/>
                  </w:tcBorders>
                  <w:vAlign w:val="center"/>
                </w:tcPr>
                <w:p w14:paraId="1439A769">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酸度（以KOH计）/（mg/100mL）</w:t>
                  </w:r>
                </w:p>
              </w:tc>
              <w:tc>
                <w:tcPr>
                  <w:tcW w:w="1700" w:type="pct"/>
                  <w:tcBorders>
                    <w:tl2br w:val="nil"/>
                    <w:tr2bl w:val="nil"/>
                  </w:tcBorders>
                  <w:vAlign w:val="center"/>
                </w:tcPr>
                <w:p w14:paraId="02D8354C">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≤7</w:t>
                  </w:r>
                </w:p>
              </w:tc>
            </w:tr>
            <w:tr w14:paraId="2BF5F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0" w:hRule="atLeast"/>
                <w:jc w:val="center"/>
              </w:trPr>
              <w:tc>
                <w:tcPr>
                  <w:tcW w:w="3300" w:type="pct"/>
                  <w:tcBorders>
                    <w:tl2br w:val="nil"/>
                    <w:tr2bl w:val="nil"/>
                  </w:tcBorders>
                  <w:vAlign w:val="center"/>
                </w:tcPr>
                <w:p w14:paraId="6EB517CA">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10%蒸余物残炭（质量分数）/%</w:t>
                  </w:r>
                </w:p>
              </w:tc>
              <w:tc>
                <w:tcPr>
                  <w:tcW w:w="1700" w:type="pct"/>
                  <w:tcBorders>
                    <w:tl2br w:val="nil"/>
                    <w:tr2bl w:val="nil"/>
                  </w:tcBorders>
                  <w:vAlign w:val="center"/>
                </w:tcPr>
                <w:p w14:paraId="345E97E5">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≤0.3</w:t>
                  </w:r>
                </w:p>
              </w:tc>
            </w:tr>
            <w:tr w14:paraId="645C7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0" w:hRule="atLeast"/>
                <w:jc w:val="center"/>
              </w:trPr>
              <w:tc>
                <w:tcPr>
                  <w:tcW w:w="3300" w:type="pct"/>
                  <w:tcBorders>
                    <w:tl2br w:val="nil"/>
                    <w:tr2bl w:val="nil"/>
                  </w:tcBorders>
                  <w:vAlign w:val="center"/>
                </w:tcPr>
                <w:p w14:paraId="16B44534">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灰分（质量分数）/%</w:t>
                  </w:r>
                </w:p>
              </w:tc>
              <w:tc>
                <w:tcPr>
                  <w:tcW w:w="1700" w:type="pct"/>
                  <w:tcBorders>
                    <w:tl2br w:val="nil"/>
                    <w:tr2bl w:val="nil"/>
                  </w:tcBorders>
                  <w:vAlign w:val="center"/>
                </w:tcPr>
                <w:p w14:paraId="1CCFA0E7">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≤0.01</w:t>
                  </w:r>
                </w:p>
              </w:tc>
            </w:tr>
            <w:tr w14:paraId="223C0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0" w:hRule="atLeast"/>
                <w:jc w:val="center"/>
              </w:trPr>
              <w:tc>
                <w:tcPr>
                  <w:tcW w:w="3300" w:type="pct"/>
                  <w:tcBorders>
                    <w:tl2br w:val="nil"/>
                    <w:tr2bl w:val="nil"/>
                  </w:tcBorders>
                  <w:vAlign w:val="center"/>
                </w:tcPr>
                <w:p w14:paraId="4B234E18">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水分（体积分数）/%</w:t>
                  </w:r>
                </w:p>
              </w:tc>
              <w:tc>
                <w:tcPr>
                  <w:tcW w:w="1700" w:type="pct"/>
                  <w:tcBorders>
                    <w:tl2br w:val="nil"/>
                    <w:tr2bl w:val="nil"/>
                  </w:tcBorders>
                  <w:vAlign w:val="center"/>
                </w:tcPr>
                <w:p w14:paraId="2477C7E3">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痕迹</w:t>
                  </w:r>
                </w:p>
              </w:tc>
            </w:tr>
            <w:tr w14:paraId="1D890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0" w:hRule="atLeast"/>
                <w:jc w:val="center"/>
              </w:trPr>
              <w:tc>
                <w:tcPr>
                  <w:tcW w:w="3300" w:type="pct"/>
                  <w:tcBorders>
                    <w:tl2br w:val="nil"/>
                    <w:tr2bl w:val="nil"/>
                  </w:tcBorders>
                  <w:vAlign w:val="center"/>
                </w:tcPr>
                <w:p w14:paraId="7429DF22">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脂肪酸甲酯（体积分数）/%</w:t>
                  </w:r>
                </w:p>
              </w:tc>
              <w:tc>
                <w:tcPr>
                  <w:tcW w:w="1700" w:type="pct"/>
                  <w:tcBorders>
                    <w:tl2br w:val="nil"/>
                    <w:tr2bl w:val="nil"/>
                  </w:tcBorders>
                  <w:vAlign w:val="center"/>
                </w:tcPr>
                <w:p w14:paraId="05620C92">
                  <w:pPr>
                    <w:adjustRightInd w:val="0"/>
                    <w:snapToGrid w:val="0"/>
                    <w:jc w:val="center"/>
                    <w:rPr>
                      <w:rFonts w:ascii="Times New Roman" w:hAnsi="Times New Roman" w:eastAsia="仿宋" w:cs="Times New Roman"/>
                      <w:kern w:val="0"/>
                      <w:szCs w:val="21"/>
                    </w:rPr>
                  </w:pPr>
                  <w:r>
                    <w:rPr>
                      <w:rFonts w:ascii="Times New Roman" w:hAnsi="Times New Roman" w:eastAsia="仿宋" w:cs="Times New Roman"/>
                      <w:kern w:val="0"/>
                      <w:szCs w:val="21"/>
                    </w:rPr>
                    <w:t>≤1.0</w:t>
                  </w:r>
                </w:p>
              </w:tc>
            </w:tr>
          </w:tbl>
          <w:p w14:paraId="2C262B1B">
            <w:pPr>
              <w:spacing w:line="360" w:lineRule="auto"/>
              <w:ind w:firstLine="480" w:firstLineChars="200"/>
              <w:rPr>
                <w:rFonts w:ascii="Times New Roman" w:hAnsi="Times New Roman" w:eastAsia="仿宋" w:cs="Times New Roman"/>
                <w:kern w:val="0"/>
                <w:sz w:val="24"/>
              </w:rPr>
            </w:pPr>
            <w:r>
              <w:rPr>
                <w:rFonts w:ascii="Times New Roman" w:hAnsi="Times New Roman" w:eastAsia="仿宋" w:cs="Times New Roman"/>
                <w:kern w:val="0"/>
                <w:sz w:val="24"/>
              </w:rPr>
              <w:t>导热油：为导热油</w:t>
            </w:r>
            <w:r>
              <w:rPr>
                <w:rFonts w:hint="eastAsia" w:ascii="Times New Roman" w:hAnsi="Times New Roman" w:eastAsia="仿宋" w:cs="Times New Roman"/>
                <w:kern w:val="0"/>
                <w:sz w:val="24"/>
              </w:rPr>
              <w:t>系统</w:t>
            </w:r>
            <w:r>
              <w:rPr>
                <w:rFonts w:ascii="Times New Roman" w:hAnsi="Times New Roman" w:eastAsia="仿宋" w:cs="Times New Roman"/>
                <w:kern w:val="0"/>
                <w:sz w:val="24"/>
              </w:rPr>
              <w:t>使用，是用于间接传递热量的一类稳定性较好的专用油品，化学性质较稳定，热稳定性好，使用寿命较长，导热性能、流动性能及可泵性能较好。导热油经过加热用于加热沥青储罐，不进入产品。一次加入，循环使用。</w:t>
            </w:r>
          </w:p>
          <w:p w14:paraId="4F5076B6">
            <w:pPr>
              <w:spacing w:line="360" w:lineRule="auto"/>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2.5.1</w:t>
            </w:r>
            <w:r>
              <w:rPr>
                <w:rFonts w:hint="eastAsia" w:ascii="Times New Roman" w:hAnsi="Times New Roman" w:eastAsia="宋体" w:cs="Times New Roman"/>
                <w:b/>
                <w:bCs/>
                <w:color w:val="000000" w:themeColor="text1"/>
                <w:sz w:val="24"/>
                <w14:textFill>
                  <w14:solidFill>
                    <w14:schemeClr w14:val="tx1"/>
                  </w14:solidFill>
                </w14:textFill>
              </w:rPr>
              <w:t>物料平衡</w:t>
            </w:r>
          </w:p>
          <w:p w14:paraId="5CE6FE08">
            <w:pPr>
              <w:spacing w:line="360" w:lineRule="auto"/>
              <w:jc w:val="center"/>
              <w:rPr>
                <w:rFonts w:ascii="Times New Roman" w:hAnsi="Times New Roman" w:eastAsia="宋体" w:cs="Times New Roman"/>
                <w:b/>
                <w:bCs/>
                <w:snapToGrid w:val="0"/>
                <w:kern w:val="0"/>
                <w:sz w:val="24"/>
              </w:rPr>
            </w:pPr>
            <w:r>
              <w:rPr>
                <w:rFonts w:ascii="Times New Roman" w:hAnsi="Times New Roman" w:eastAsia="宋体" w:cs="Times New Roman"/>
                <w:b/>
                <w:bCs/>
                <w:snapToGrid w:val="0"/>
                <w:kern w:val="0"/>
                <w:sz w:val="24"/>
              </w:rPr>
              <w:t>表2-</w:t>
            </w:r>
            <w:r>
              <w:rPr>
                <w:rFonts w:hint="eastAsia" w:ascii="Times New Roman" w:hAnsi="Times New Roman" w:eastAsia="宋体" w:cs="Times New Roman"/>
                <w:b/>
                <w:bCs/>
                <w:snapToGrid w:val="0"/>
                <w:kern w:val="0"/>
                <w:sz w:val="24"/>
              </w:rPr>
              <w:t>7</w:t>
            </w:r>
            <w:r>
              <w:rPr>
                <w:rFonts w:ascii="Times New Roman" w:hAnsi="Times New Roman" w:eastAsia="宋体" w:cs="Times New Roman"/>
                <w:b/>
                <w:bCs/>
                <w:snapToGrid w:val="0"/>
                <w:kern w:val="0"/>
                <w:sz w:val="24"/>
              </w:rPr>
              <w:t xml:space="preserve"> 物料平衡表</w:t>
            </w:r>
          </w:p>
          <w:tbl>
            <w:tblPr>
              <w:tblStyle w:val="28"/>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518"/>
              <w:gridCol w:w="1909"/>
              <w:gridCol w:w="2828"/>
              <w:gridCol w:w="1631"/>
            </w:tblGrid>
            <w:tr w14:paraId="1BA156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2" w:type="pct"/>
                  <w:tcBorders>
                    <w:top w:val="single" w:color="000000" w:sz="4" w:space="0"/>
                    <w:left w:val="single" w:color="auto" w:sz="0" w:space="0"/>
                  </w:tcBorders>
                  <w:vAlign w:val="center"/>
                </w:tcPr>
                <w:p w14:paraId="24AC518C">
                  <w:pPr>
                    <w:jc w:val="center"/>
                    <w:rPr>
                      <w:rFonts w:ascii="Times New Roman" w:hAnsi="Times New Roman" w:eastAsia="宋体" w:cs="宋体-PUA"/>
                      <w:b/>
                      <w:szCs w:val="21"/>
                      <w:shd w:val="clear" w:color="auto" w:fill="FFFFFF"/>
                    </w:rPr>
                  </w:pPr>
                  <w:r>
                    <w:rPr>
                      <w:rFonts w:ascii="Times New Roman" w:hAnsi="Times New Roman" w:eastAsia="宋体" w:cs="宋体-PUA"/>
                      <w:b/>
                      <w:szCs w:val="21"/>
                      <w:shd w:val="clear" w:color="auto" w:fill="FFFFFF"/>
                    </w:rPr>
                    <w:t>原料</w:t>
                  </w:r>
                </w:p>
              </w:tc>
              <w:tc>
                <w:tcPr>
                  <w:tcW w:w="1210" w:type="pct"/>
                  <w:tcBorders>
                    <w:top w:val="single" w:color="000000" w:sz="4" w:space="0"/>
                  </w:tcBorders>
                  <w:vAlign w:val="center"/>
                </w:tcPr>
                <w:p w14:paraId="01C13D22">
                  <w:pPr>
                    <w:jc w:val="center"/>
                    <w:rPr>
                      <w:rFonts w:ascii="Times New Roman" w:hAnsi="Times New Roman" w:eastAsia="宋体" w:cs="宋体-PUA"/>
                      <w:b/>
                      <w:szCs w:val="21"/>
                      <w:shd w:val="clear" w:color="auto" w:fill="FFFFFF"/>
                    </w:rPr>
                  </w:pPr>
                  <w:r>
                    <w:rPr>
                      <w:rFonts w:ascii="Times New Roman" w:hAnsi="Times New Roman" w:eastAsia="宋体" w:cs="宋体-PUA"/>
                      <w:b/>
                      <w:szCs w:val="21"/>
                      <w:shd w:val="clear" w:color="auto" w:fill="FFFFFF"/>
                    </w:rPr>
                    <w:t>进料量（t/a）</w:t>
                  </w:r>
                </w:p>
              </w:tc>
              <w:tc>
                <w:tcPr>
                  <w:tcW w:w="1793" w:type="pct"/>
                  <w:tcBorders>
                    <w:top w:val="single" w:color="000000" w:sz="4" w:space="0"/>
                  </w:tcBorders>
                  <w:vAlign w:val="center"/>
                </w:tcPr>
                <w:p w14:paraId="6D52E996">
                  <w:pPr>
                    <w:jc w:val="center"/>
                    <w:rPr>
                      <w:rFonts w:ascii="Times New Roman" w:hAnsi="Times New Roman" w:eastAsia="宋体" w:cs="宋体-PUA"/>
                      <w:b/>
                      <w:szCs w:val="21"/>
                      <w:shd w:val="clear" w:color="auto" w:fill="FFFFFF"/>
                    </w:rPr>
                  </w:pPr>
                  <w:r>
                    <w:rPr>
                      <w:rFonts w:ascii="Times New Roman" w:hAnsi="Times New Roman" w:eastAsia="宋体" w:cs="宋体-PUA"/>
                      <w:b/>
                      <w:szCs w:val="21"/>
                      <w:shd w:val="clear" w:color="auto" w:fill="FFFFFF"/>
                    </w:rPr>
                    <w:t>产生物名称</w:t>
                  </w:r>
                </w:p>
              </w:tc>
              <w:tc>
                <w:tcPr>
                  <w:tcW w:w="1034" w:type="pct"/>
                  <w:tcBorders>
                    <w:top w:val="single" w:color="000000" w:sz="4" w:space="0"/>
                    <w:right w:val="single" w:color="000000" w:sz="4" w:space="0"/>
                  </w:tcBorders>
                  <w:vAlign w:val="center"/>
                </w:tcPr>
                <w:p w14:paraId="20D80E17">
                  <w:pPr>
                    <w:jc w:val="center"/>
                    <w:rPr>
                      <w:rFonts w:ascii="Times New Roman" w:hAnsi="Times New Roman" w:eastAsia="宋体" w:cs="宋体-PUA"/>
                      <w:b/>
                      <w:szCs w:val="21"/>
                      <w:shd w:val="clear" w:color="auto" w:fill="FFFFFF"/>
                    </w:rPr>
                  </w:pPr>
                  <w:r>
                    <w:rPr>
                      <w:rFonts w:ascii="Times New Roman" w:hAnsi="Times New Roman" w:eastAsia="宋体" w:cs="宋体-PUA"/>
                      <w:b/>
                      <w:szCs w:val="21"/>
                      <w:shd w:val="clear" w:color="auto" w:fill="FFFFFF"/>
                    </w:rPr>
                    <w:t>产生量（t/a）</w:t>
                  </w:r>
                </w:p>
              </w:tc>
            </w:tr>
            <w:tr w14:paraId="0DA5EC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000" w:type="pct"/>
                  <w:gridSpan w:val="4"/>
                  <w:tcBorders>
                    <w:top w:val="single" w:color="000000" w:sz="4" w:space="0"/>
                    <w:left w:val="single" w:color="auto" w:sz="0" w:space="0"/>
                    <w:right w:val="single" w:color="000000" w:sz="4" w:space="0"/>
                  </w:tcBorders>
                  <w:vAlign w:val="center"/>
                </w:tcPr>
                <w:p w14:paraId="0405EBCC">
                  <w:pPr>
                    <w:jc w:val="center"/>
                    <w:rPr>
                      <w:rFonts w:hint="default" w:ascii="Times New Roman" w:hAnsi="Times New Roman" w:eastAsia="宋体" w:cs="宋体-PUA"/>
                      <w:b/>
                      <w:szCs w:val="21"/>
                      <w:shd w:val="clear" w:color="auto" w:fill="FFFFFF"/>
                      <w:lang w:val="en-US" w:eastAsia="zh-CN"/>
                    </w:rPr>
                  </w:pPr>
                  <w:r>
                    <w:rPr>
                      <w:rFonts w:hint="eastAsia" w:ascii="Times New Roman" w:hAnsi="Times New Roman" w:eastAsia="宋体" w:cs="宋体-PUA"/>
                      <w:b/>
                      <w:color w:val="1331F5"/>
                      <w:szCs w:val="21"/>
                      <w:shd w:val="clear" w:color="auto" w:fill="FFFFFF"/>
                      <w:lang w:val="en-US" w:eastAsia="zh-CN"/>
                    </w:rPr>
                    <w:t>一、耐候性沥青混凝土</w:t>
                  </w:r>
                </w:p>
              </w:tc>
            </w:tr>
            <w:tr w14:paraId="6924DB8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2" w:type="pct"/>
                  <w:tcBorders>
                    <w:left w:val="single" w:color="000000" w:sz="4" w:space="0"/>
                  </w:tcBorders>
                  <w:vAlign w:val="center"/>
                </w:tcPr>
                <w:p w14:paraId="178BFD7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石料</w:t>
                  </w:r>
                </w:p>
              </w:tc>
              <w:tc>
                <w:tcPr>
                  <w:tcW w:w="1210" w:type="pct"/>
                  <w:vAlign w:val="center"/>
                </w:tcPr>
                <w:p w14:paraId="7088B0C0">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161260</w:t>
                  </w:r>
                </w:p>
              </w:tc>
              <w:tc>
                <w:tcPr>
                  <w:tcW w:w="1793" w:type="pct"/>
                  <w:vAlign w:val="center"/>
                </w:tcPr>
                <w:p w14:paraId="46F197C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沥青混凝土</w:t>
                  </w:r>
                </w:p>
              </w:tc>
              <w:tc>
                <w:tcPr>
                  <w:tcW w:w="1034" w:type="pct"/>
                  <w:tcBorders>
                    <w:right w:val="single" w:color="000000" w:sz="4" w:space="0"/>
                  </w:tcBorders>
                  <w:vAlign w:val="center"/>
                </w:tcPr>
                <w:p w14:paraId="3D57B76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150000</w:t>
                  </w:r>
                </w:p>
              </w:tc>
            </w:tr>
            <w:tr w14:paraId="27400E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2" w:type="pct"/>
                  <w:tcBorders>
                    <w:left w:val="single" w:color="000000" w:sz="4" w:space="0"/>
                  </w:tcBorders>
                </w:tcPr>
                <w:p w14:paraId="460627A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矿粉</w:t>
                  </w:r>
                </w:p>
              </w:tc>
              <w:tc>
                <w:tcPr>
                  <w:tcW w:w="1210" w:type="pct"/>
                </w:tcPr>
                <w:p w14:paraId="752BFD31">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4500</w:t>
                  </w:r>
                </w:p>
              </w:tc>
              <w:tc>
                <w:tcPr>
                  <w:tcW w:w="1793" w:type="pct"/>
                  <w:vAlign w:val="center"/>
                </w:tcPr>
                <w:p w14:paraId="339D449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不合格石料</w:t>
                  </w:r>
                </w:p>
              </w:tc>
              <w:tc>
                <w:tcPr>
                  <w:tcW w:w="1034" w:type="pct"/>
                  <w:tcBorders>
                    <w:right w:val="single" w:color="000000" w:sz="4" w:space="0"/>
                  </w:tcBorders>
                  <w:vAlign w:val="center"/>
                </w:tcPr>
                <w:p w14:paraId="335D8EE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24716.981</w:t>
                  </w:r>
                </w:p>
              </w:tc>
            </w:tr>
            <w:tr w14:paraId="546B14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2" w:type="pct"/>
                  <w:tcBorders>
                    <w:left w:val="single" w:color="000000" w:sz="4" w:space="0"/>
                  </w:tcBorders>
                </w:tcPr>
                <w:p w14:paraId="5F70BC3E">
                  <w:pPr>
                    <w:jc w:val="center"/>
                    <w:rPr>
                      <w:rFonts w:ascii="Times New Roman" w:hAnsi="Times New Roman" w:eastAsia="宋体" w:cs="宋体-PUA"/>
                      <w:bCs/>
                      <w:szCs w:val="21"/>
                      <w:shd w:val="clear" w:color="auto" w:fill="FFFFFF"/>
                    </w:rPr>
                  </w:pPr>
                  <w:r>
                    <w:rPr>
                      <w:rFonts w:ascii="Times New Roman" w:hAnsi="Times New Roman" w:eastAsia="宋体" w:cs="宋体-PUA"/>
                      <w:bCs/>
                      <w:szCs w:val="21"/>
                      <w:shd w:val="clear" w:color="auto" w:fill="FFFFFF"/>
                    </w:rPr>
                    <w:t>沥青</w:t>
                  </w:r>
                </w:p>
              </w:tc>
              <w:tc>
                <w:tcPr>
                  <w:tcW w:w="1210" w:type="pct"/>
                </w:tcPr>
                <w:p w14:paraId="02F2796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7500</w:t>
                  </w:r>
                </w:p>
              </w:tc>
              <w:tc>
                <w:tcPr>
                  <w:tcW w:w="1793" w:type="pct"/>
                  <w:vAlign w:val="center"/>
                </w:tcPr>
                <w:p w14:paraId="2B2941CF">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除尘灰</w:t>
                  </w:r>
                </w:p>
              </w:tc>
              <w:tc>
                <w:tcPr>
                  <w:tcW w:w="1034" w:type="pct"/>
                  <w:tcBorders>
                    <w:right w:val="single" w:color="000000" w:sz="4" w:space="0"/>
                  </w:tcBorders>
                  <w:vAlign w:val="center"/>
                </w:tcPr>
                <w:p w14:paraId="68CE7BA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40.689</w:t>
                  </w:r>
                </w:p>
              </w:tc>
            </w:tr>
            <w:tr w14:paraId="0131C0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2" w:type="pct"/>
                  <w:tcBorders>
                    <w:left w:val="single" w:color="000000" w:sz="4" w:space="0"/>
                  </w:tcBorders>
                </w:tcPr>
                <w:p w14:paraId="2B0FB99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凹凸棒石</w:t>
                  </w:r>
                </w:p>
              </w:tc>
              <w:tc>
                <w:tcPr>
                  <w:tcW w:w="1210" w:type="pct"/>
                </w:tcPr>
                <w:p w14:paraId="154EE338">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1500</w:t>
                  </w:r>
                </w:p>
              </w:tc>
              <w:tc>
                <w:tcPr>
                  <w:tcW w:w="1793" w:type="pct"/>
                  <w:vAlign w:val="center"/>
                </w:tcPr>
                <w:p w14:paraId="0E6F924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无组织排放粉尘</w:t>
                  </w:r>
                </w:p>
              </w:tc>
              <w:tc>
                <w:tcPr>
                  <w:tcW w:w="1034" w:type="pct"/>
                  <w:tcBorders>
                    <w:right w:val="single" w:color="000000" w:sz="4" w:space="0"/>
                  </w:tcBorders>
                  <w:vAlign w:val="center"/>
                </w:tcPr>
                <w:p w14:paraId="694B1A02">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2.33</w:t>
                  </w:r>
                </w:p>
              </w:tc>
            </w:tr>
            <w:tr w14:paraId="429FC2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98" w:hRule="atLeast"/>
                <w:jc w:val="center"/>
              </w:trPr>
              <w:tc>
                <w:tcPr>
                  <w:tcW w:w="962" w:type="pct"/>
                  <w:tcBorders>
                    <w:left w:val="single" w:color="000000" w:sz="4" w:space="0"/>
                  </w:tcBorders>
                  <w:vAlign w:val="center"/>
                </w:tcPr>
                <w:p w14:paraId="6CBB7F07">
                  <w:pPr>
                    <w:jc w:val="center"/>
                    <w:rPr>
                      <w:rFonts w:ascii="Times New Roman" w:hAnsi="Times New Roman" w:eastAsia="宋体" w:cs="宋体-PUA"/>
                      <w:bCs/>
                      <w:szCs w:val="21"/>
                      <w:shd w:val="clear" w:color="auto" w:fill="FFFFFF"/>
                    </w:rPr>
                  </w:pPr>
                  <w:r>
                    <w:rPr>
                      <w:rFonts w:ascii="Times New Roman" w:hAnsi="Times New Roman" w:eastAsia="宋体" w:cs="宋体-PUA"/>
                      <w:bCs/>
                      <w:szCs w:val="21"/>
                      <w:shd w:val="clear" w:color="auto" w:fill="FFFFFF"/>
                    </w:rPr>
                    <w:t>滴漏沥青及</w:t>
                  </w:r>
                  <w:r>
                    <w:rPr>
                      <w:rFonts w:hint="eastAsia" w:ascii="Times New Roman" w:hAnsi="Times New Roman" w:eastAsia="宋体" w:cs="宋体-PUA"/>
                      <w:bCs/>
                      <w:szCs w:val="21"/>
                      <w:shd w:val="clear" w:color="auto" w:fill="FFFFFF"/>
                    </w:rPr>
                    <w:t>拌合</w:t>
                  </w:r>
                  <w:r>
                    <w:rPr>
                      <w:rFonts w:ascii="Times New Roman" w:hAnsi="Times New Roman" w:eastAsia="宋体" w:cs="宋体-PUA"/>
                      <w:bCs/>
                      <w:szCs w:val="21"/>
                      <w:shd w:val="clear" w:color="auto" w:fill="FFFFFF"/>
                    </w:rPr>
                    <w:t>残渣</w:t>
                  </w:r>
                </w:p>
              </w:tc>
              <w:tc>
                <w:tcPr>
                  <w:tcW w:w="1210" w:type="pct"/>
                  <w:vAlign w:val="center"/>
                </w:tcPr>
                <w:p w14:paraId="7005191E">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1.5</w:t>
                  </w:r>
                </w:p>
              </w:tc>
              <w:tc>
                <w:tcPr>
                  <w:tcW w:w="1793" w:type="pct"/>
                  <w:vAlign w:val="center"/>
                </w:tcPr>
                <w:p w14:paraId="0EA176BB">
                  <w:pPr>
                    <w:jc w:val="center"/>
                    <w:rPr>
                      <w:rFonts w:ascii="Times New Roman" w:hAnsi="Times New Roman" w:eastAsia="宋体" w:cs="宋体-PUA"/>
                      <w:bCs/>
                      <w:szCs w:val="21"/>
                      <w:shd w:val="clear" w:color="auto" w:fill="FFFFFF"/>
                    </w:rPr>
                  </w:pPr>
                  <w:r>
                    <w:rPr>
                      <w:rFonts w:ascii="Times New Roman" w:hAnsi="Times New Roman" w:eastAsia="宋体" w:cs="宋体-PUA"/>
                      <w:bCs/>
                      <w:szCs w:val="21"/>
                      <w:shd w:val="clear" w:color="auto" w:fill="FFFFFF"/>
                    </w:rPr>
                    <w:t>滴漏沥青及</w:t>
                  </w:r>
                  <w:r>
                    <w:rPr>
                      <w:rFonts w:hint="eastAsia" w:ascii="Times New Roman" w:hAnsi="Times New Roman" w:eastAsia="宋体" w:cs="宋体-PUA"/>
                      <w:bCs/>
                      <w:szCs w:val="21"/>
                      <w:shd w:val="clear" w:color="auto" w:fill="FFFFFF"/>
                    </w:rPr>
                    <w:t>拌合</w:t>
                  </w:r>
                  <w:r>
                    <w:rPr>
                      <w:rFonts w:ascii="Times New Roman" w:hAnsi="Times New Roman" w:eastAsia="宋体" w:cs="宋体-PUA"/>
                      <w:bCs/>
                      <w:szCs w:val="21"/>
                      <w:shd w:val="clear" w:color="auto" w:fill="FFFFFF"/>
                    </w:rPr>
                    <w:t>残渣</w:t>
                  </w:r>
                  <w:r>
                    <w:rPr>
                      <w:rFonts w:hint="eastAsia" w:ascii="Times New Roman" w:hAnsi="Times New Roman" w:eastAsia="宋体" w:cs="宋体-PUA"/>
                      <w:bCs/>
                      <w:szCs w:val="21"/>
                      <w:shd w:val="clear" w:color="auto" w:fill="FFFFFF"/>
                    </w:rPr>
                    <w:t>（回用）</w:t>
                  </w:r>
                </w:p>
              </w:tc>
              <w:tc>
                <w:tcPr>
                  <w:tcW w:w="1034" w:type="pct"/>
                  <w:tcBorders>
                    <w:right w:val="single" w:color="000000" w:sz="4" w:space="0"/>
                  </w:tcBorders>
                  <w:vAlign w:val="center"/>
                </w:tcPr>
                <w:p w14:paraId="6354ADE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1.5</w:t>
                  </w:r>
                </w:p>
              </w:tc>
            </w:tr>
            <w:tr w14:paraId="396E51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2" w:type="pct"/>
                  <w:tcBorders>
                    <w:left w:val="single" w:color="000000" w:sz="4" w:space="0"/>
                  </w:tcBorders>
                  <w:vAlign w:val="center"/>
                </w:tcPr>
                <w:p w14:paraId="17D872CF">
                  <w:pPr>
                    <w:jc w:val="center"/>
                    <w:rPr>
                      <w:rFonts w:hint="eastAsia" w:ascii="Times New Roman" w:hAnsi="Times New Roman" w:eastAsia="宋体" w:cs="宋体-PUA"/>
                      <w:b/>
                      <w:bCs w:val="0"/>
                      <w:szCs w:val="21"/>
                      <w:shd w:val="clear" w:color="auto" w:fill="FFFFFF"/>
                      <w:lang w:val="en-US" w:eastAsia="zh-CN"/>
                    </w:rPr>
                  </w:pPr>
                  <w:r>
                    <w:rPr>
                      <w:rFonts w:hint="eastAsia" w:ascii="Times New Roman" w:hAnsi="Times New Roman" w:eastAsia="宋体" w:cs="宋体-PUA"/>
                      <w:b/>
                      <w:bCs w:val="0"/>
                      <w:szCs w:val="21"/>
                      <w:shd w:val="clear" w:color="auto" w:fill="FFFFFF"/>
                      <w:lang w:val="en-US" w:eastAsia="zh-CN"/>
                    </w:rPr>
                    <w:t>总计</w:t>
                  </w:r>
                </w:p>
              </w:tc>
              <w:tc>
                <w:tcPr>
                  <w:tcW w:w="1210" w:type="pct"/>
                  <w:vAlign w:val="center"/>
                </w:tcPr>
                <w:p w14:paraId="6FB24726">
                  <w:pPr>
                    <w:jc w:val="center"/>
                    <w:rPr>
                      <w:rFonts w:hint="default" w:ascii="Times New Roman" w:hAnsi="Times New Roman" w:eastAsia="宋体" w:cs="宋体-PUA"/>
                      <w:b/>
                      <w:bCs w:val="0"/>
                      <w:szCs w:val="21"/>
                      <w:shd w:val="clear" w:color="auto" w:fill="FFFFFF"/>
                      <w:lang w:val="en-US" w:eastAsia="zh-CN"/>
                    </w:rPr>
                  </w:pPr>
                  <w:r>
                    <w:rPr>
                      <w:rFonts w:hint="eastAsia" w:ascii="Times New Roman" w:hAnsi="Times New Roman" w:eastAsia="宋体" w:cs="宋体-PUA"/>
                      <w:b/>
                      <w:bCs w:val="0"/>
                      <w:szCs w:val="21"/>
                      <w:shd w:val="clear" w:color="auto" w:fill="FFFFFF"/>
                      <w:lang w:val="en-US" w:eastAsia="zh-CN"/>
                    </w:rPr>
                    <w:t>174761.5</w:t>
                  </w:r>
                </w:p>
              </w:tc>
              <w:tc>
                <w:tcPr>
                  <w:tcW w:w="1793" w:type="pct"/>
                  <w:vAlign w:val="center"/>
                </w:tcPr>
                <w:p w14:paraId="56FCC673">
                  <w:pPr>
                    <w:jc w:val="center"/>
                    <w:rPr>
                      <w:rFonts w:hint="eastAsia" w:ascii="Times New Roman" w:hAnsi="Times New Roman" w:eastAsia="宋体" w:cs="宋体-PUA"/>
                      <w:b/>
                      <w:bCs w:val="0"/>
                      <w:szCs w:val="21"/>
                      <w:shd w:val="clear" w:color="auto" w:fill="FFFFFF"/>
                      <w:lang w:val="en-US" w:eastAsia="zh-CN"/>
                    </w:rPr>
                  </w:pPr>
                  <w:r>
                    <w:rPr>
                      <w:rFonts w:hint="eastAsia" w:ascii="Times New Roman" w:hAnsi="Times New Roman" w:eastAsia="宋体" w:cs="宋体-PUA"/>
                      <w:b/>
                      <w:bCs w:val="0"/>
                      <w:szCs w:val="21"/>
                      <w:shd w:val="clear" w:color="auto" w:fill="FFFFFF"/>
                      <w:lang w:val="en-US" w:eastAsia="zh-CN"/>
                    </w:rPr>
                    <w:t>总计</w:t>
                  </w:r>
                </w:p>
              </w:tc>
              <w:tc>
                <w:tcPr>
                  <w:tcW w:w="1034" w:type="pct"/>
                  <w:tcBorders>
                    <w:right w:val="single" w:color="000000" w:sz="4" w:space="0"/>
                  </w:tcBorders>
                  <w:vAlign w:val="center"/>
                </w:tcPr>
                <w:p w14:paraId="129986E2">
                  <w:pPr>
                    <w:jc w:val="center"/>
                    <w:rPr>
                      <w:rFonts w:hint="eastAsia" w:ascii="Times New Roman" w:hAnsi="Times New Roman" w:eastAsia="宋体" w:cs="宋体-PUA"/>
                      <w:b/>
                      <w:bCs w:val="0"/>
                      <w:szCs w:val="21"/>
                      <w:shd w:val="clear" w:color="auto" w:fill="FFFFFF"/>
                    </w:rPr>
                  </w:pPr>
                  <w:r>
                    <w:rPr>
                      <w:rFonts w:hint="eastAsia" w:ascii="Times New Roman" w:hAnsi="Times New Roman" w:eastAsia="宋体" w:cs="宋体-PUA"/>
                      <w:b/>
                      <w:bCs w:val="0"/>
                      <w:szCs w:val="21"/>
                      <w:shd w:val="clear" w:color="auto" w:fill="FFFFFF"/>
                      <w:lang w:val="en-US" w:eastAsia="zh-CN"/>
                    </w:rPr>
                    <w:t>174761.5</w:t>
                  </w:r>
                </w:p>
              </w:tc>
            </w:tr>
            <w:tr w14:paraId="65E10B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000" w:type="pct"/>
                  <w:gridSpan w:val="4"/>
                  <w:tcBorders>
                    <w:left w:val="single" w:color="000000" w:sz="4" w:space="0"/>
                    <w:right w:val="single" w:color="000000" w:sz="4" w:space="0"/>
                  </w:tcBorders>
                  <w:vAlign w:val="center"/>
                </w:tcPr>
                <w:p w14:paraId="1E544AC0">
                  <w:pPr>
                    <w:jc w:val="center"/>
                    <w:rPr>
                      <w:rFonts w:hint="default" w:ascii="Times New Roman" w:hAnsi="Times New Roman" w:eastAsia="宋体" w:cs="宋体-PUA"/>
                      <w:bCs/>
                      <w:szCs w:val="21"/>
                      <w:shd w:val="clear" w:color="auto" w:fill="FFFFFF"/>
                      <w:lang w:val="en-US" w:eastAsia="zh-CN"/>
                    </w:rPr>
                  </w:pPr>
                  <w:r>
                    <w:rPr>
                      <w:rFonts w:hint="eastAsia" w:ascii="Times New Roman" w:hAnsi="Times New Roman" w:eastAsia="宋体" w:cs="宋体-PUA"/>
                      <w:b/>
                      <w:bCs w:val="0"/>
                      <w:color w:val="1331F5"/>
                      <w:szCs w:val="21"/>
                      <w:shd w:val="clear" w:color="auto" w:fill="FFFFFF"/>
                      <w:lang w:val="en-US" w:eastAsia="zh-CN"/>
                    </w:rPr>
                    <w:t>二、乳化沥青</w:t>
                  </w:r>
                </w:p>
              </w:tc>
            </w:tr>
            <w:tr w14:paraId="2BFC2F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2" w:type="pct"/>
                  <w:tcBorders>
                    <w:left w:val="single" w:color="000000" w:sz="4" w:space="0"/>
                  </w:tcBorders>
                  <w:vAlign w:val="center"/>
                </w:tcPr>
                <w:p w14:paraId="05E30A85">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乳化剂</w:t>
                  </w:r>
                </w:p>
              </w:tc>
              <w:tc>
                <w:tcPr>
                  <w:tcW w:w="1210" w:type="pct"/>
                  <w:vAlign w:val="center"/>
                </w:tcPr>
                <w:p w14:paraId="7217357A">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w:t>
                  </w:r>
                </w:p>
              </w:tc>
              <w:tc>
                <w:tcPr>
                  <w:tcW w:w="1793" w:type="pct"/>
                  <w:vAlign w:val="center"/>
                </w:tcPr>
                <w:p w14:paraId="7F6B8D1E">
                  <w:pPr>
                    <w:jc w:val="center"/>
                    <w:rPr>
                      <w:rFonts w:hint="default" w:ascii="Times New Roman" w:hAnsi="Times New Roman" w:eastAsia="宋体" w:cs="宋体-PUA"/>
                      <w:bCs/>
                      <w:szCs w:val="21"/>
                      <w:shd w:val="clear" w:color="auto" w:fill="FFFFFF"/>
                      <w:lang w:val="en-US" w:eastAsia="zh-CN"/>
                    </w:rPr>
                  </w:pPr>
                  <w:r>
                    <w:rPr>
                      <w:rFonts w:hint="eastAsia" w:ascii="Times New Roman" w:hAnsi="Times New Roman" w:eastAsia="宋体" w:cs="宋体-PUA"/>
                      <w:bCs/>
                      <w:szCs w:val="21"/>
                      <w:shd w:val="clear" w:color="auto" w:fill="FFFFFF"/>
                      <w:lang w:val="en-US" w:eastAsia="zh-CN"/>
                    </w:rPr>
                    <w:t>乳化沥青</w:t>
                  </w:r>
                </w:p>
              </w:tc>
              <w:tc>
                <w:tcPr>
                  <w:tcW w:w="1034" w:type="pct"/>
                  <w:tcBorders>
                    <w:right w:val="single" w:color="000000" w:sz="4" w:space="0"/>
                  </w:tcBorders>
                  <w:vAlign w:val="center"/>
                </w:tcPr>
                <w:p w14:paraId="5C11A538">
                  <w:pPr>
                    <w:jc w:val="center"/>
                    <w:rPr>
                      <w:rFonts w:hint="default" w:ascii="Times New Roman" w:hAnsi="Times New Roman" w:eastAsia="宋体" w:cs="宋体-PUA"/>
                      <w:bCs/>
                      <w:szCs w:val="21"/>
                      <w:shd w:val="clear" w:color="auto" w:fill="FFFFFF"/>
                      <w:lang w:val="en-US" w:eastAsia="zh-CN"/>
                    </w:rPr>
                  </w:pPr>
                  <w:r>
                    <w:rPr>
                      <w:rFonts w:hint="eastAsia" w:ascii="Times New Roman" w:hAnsi="Times New Roman" w:eastAsia="宋体" w:cs="宋体-PUA"/>
                      <w:bCs/>
                      <w:szCs w:val="21"/>
                      <w:shd w:val="clear" w:color="auto" w:fill="FFFFFF"/>
                      <w:lang w:val="en-US" w:eastAsia="zh-CN"/>
                    </w:rPr>
                    <w:t>500</w:t>
                  </w:r>
                </w:p>
              </w:tc>
            </w:tr>
            <w:tr w14:paraId="0C9E3E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2" w:type="pct"/>
                  <w:tcBorders>
                    <w:left w:val="single" w:color="000000" w:sz="4" w:space="0"/>
                  </w:tcBorders>
                  <w:vAlign w:val="center"/>
                </w:tcPr>
                <w:p w14:paraId="04C1EEB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沥青</w:t>
                  </w:r>
                </w:p>
              </w:tc>
              <w:tc>
                <w:tcPr>
                  <w:tcW w:w="1210" w:type="pct"/>
                  <w:vAlign w:val="center"/>
                </w:tcPr>
                <w:p w14:paraId="1EEF9AE7">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250</w:t>
                  </w:r>
                </w:p>
              </w:tc>
              <w:tc>
                <w:tcPr>
                  <w:tcW w:w="1793" w:type="pct"/>
                  <w:vAlign w:val="center"/>
                </w:tcPr>
                <w:p w14:paraId="69166123">
                  <w:pPr>
                    <w:jc w:val="center"/>
                    <w:rPr>
                      <w:rFonts w:ascii="Times New Roman" w:hAnsi="Times New Roman" w:eastAsia="宋体" w:cs="宋体-PUA"/>
                      <w:bCs/>
                      <w:szCs w:val="21"/>
                      <w:shd w:val="clear" w:color="auto" w:fill="FFFFFF"/>
                    </w:rPr>
                  </w:pPr>
                </w:p>
              </w:tc>
              <w:tc>
                <w:tcPr>
                  <w:tcW w:w="1034" w:type="pct"/>
                  <w:tcBorders>
                    <w:right w:val="single" w:color="000000" w:sz="4" w:space="0"/>
                  </w:tcBorders>
                  <w:vAlign w:val="center"/>
                </w:tcPr>
                <w:p w14:paraId="1A997806">
                  <w:pPr>
                    <w:jc w:val="center"/>
                    <w:rPr>
                      <w:rFonts w:ascii="Times New Roman" w:hAnsi="Times New Roman" w:eastAsia="宋体" w:cs="宋体-PUA"/>
                      <w:bCs/>
                      <w:szCs w:val="21"/>
                      <w:shd w:val="clear" w:color="auto" w:fill="FFFFFF"/>
                    </w:rPr>
                  </w:pPr>
                </w:p>
              </w:tc>
            </w:tr>
            <w:tr w14:paraId="1E5F0A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2" w:type="pct"/>
                  <w:tcBorders>
                    <w:left w:val="single" w:color="000000" w:sz="4" w:space="0"/>
                  </w:tcBorders>
                </w:tcPr>
                <w:p w14:paraId="2DDAD513">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水</w:t>
                  </w:r>
                </w:p>
              </w:tc>
              <w:tc>
                <w:tcPr>
                  <w:tcW w:w="1210" w:type="pct"/>
                </w:tcPr>
                <w:p w14:paraId="3F2CF4A6">
                  <w:pPr>
                    <w:jc w:val="center"/>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247</w:t>
                  </w:r>
                </w:p>
              </w:tc>
              <w:tc>
                <w:tcPr>
                  <w:tcW w:w="1793" w:type="pct"/>
                  <w:vAlign w:val="center"/>
                </w:tcPr>
                <w:p w14:paraId="3AB2475E">
                  <w:pPr>
                    <w:jc w:val="center"/>
                    <w:rPr>
                      <w:rFonts w:ascii="Times New Roman" w:hAnsi="Times New Roman" w:eastAsia="宋体" w:cs="宋体-PUA"/>
                      <w:bCs/>
                      <w:szCs w:val="21"/>
                      <w:shd w:val="clear" w:color="auto" w:fill="FFFFFF"/>
                    </w:rPr>
                  </w:pPr>
                </w:p>
              </w:tc>
              <w:tc>
                <w:tcPr>
                  <w:tcW w:w="1034" w:type="pct"/>
                  <w:tcBorders>
                    <w:right w:val="single" w:color="000000" w:sz="4" w:space="0"/>
                  </w:tcBorders>
                  <w:vAlign w:val="center"/>
                </w:tcPr>
                <w:p w14:paraId="6468AA6D">
                  <w:pPr>
                    <w:jc w:val="center"/>
                    <w:rPr>
                      <w:rFonts w:ascii="Times New Roman" w:hAnsi="Times New Roman" w:eastAsia="宋体" w:cs="宋体-PUA"/>
                      <w:bCs/>
                      <w:szCs w:val="21"/>
                      <w:shd w:val="clear" w:color="auto" w:fill="FFFFFF"/>
                    </w:rPr>
                  </w:pPr>
                </w:p>
              </w:tc>
            </w:tr>
            <w:tr w14:paraId="63725D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2" w:type="pct"/>
                  <w:tcBorders>
                    <w:left w:val="single" w:color="000000" w:sz="4" w:space="0"/>
                    <w:bottom w:val="single" w:color="000000" w:sz="4" w:space="0"/>
                  </w:tcBorders>
                </w:tcPr>
                <w:p w14:paraId="1F334F28">
                  <w:pPr>
                    <w:jc w:val="center"/>
                    <w:rPr>
                      <w:rFonts w:ascii="Times New Roman" w:hAnsi="Times New Roman" w:eastAsia="宋体" w:cs="宋体-PUA"/>
                      <w:b/>
                      <w:szCs w:val="21"/>
                      <w:shd w:val="clear" w:color="auto" w:fill="FFFFFF"/>
                    </w:rPr>
                  </w:pPr>
                  <w:r>
                    <w:rPr>
                      <w:rFonts w:ascii="Times New Roman" w:hAnsi="Times New Roman" w:eastAsia="宋体" w:cs="宋体-PUA"/>
                      <w:b/>
                      <w:szCs w:val="21"/>
                      <w:shd w:val="clear" w:color="auto" w:fill="FFFFFF"/>
                    </w:rPr>
                    <w:t>总计</w:t>
                  </w:r>
                </w:p>
              </w:tc>
              <w:tc>
                <w:tcPr>
                  <w:tcW w:w="1210" w:type="pct"/>
                  <w:tcBorders>
                    <w:bottom w:val="single" w:color="000000" w:sz="4" w:space="0"/>
                  </w:tcBorders>
                </w:tcPr>
                <w:p w14:paraId="0E707439">
                  <w:pPr>
                    <w:jc w:val="center"/>
                    <w:rPr>
                      <w:rFonts w:hint="default" w:ascii="Times New Roman" w:hAnsi="Times New Roman" w:eastAsia="宋体" w:cs="宋体-PUA"/>
                      <w:b/>
                      <w:szCs w:val="21"/>
                      <w:shd w:val="clear" w:color="auto" w:fill="FFFFFF"/>
                      <w:lang w:val="en-US" w:eastAsia="zh-CN"/>
                    </w:rPr>
                  </w:pPr>
                  <w:r>
                    <w:rPr>
                      <w:rFonts w:hint="eastAsia" w:ascii="Times New Roman" w:hAnsi="Times New Roman" w:eastAsia="宋体" w:cs="宋体-PUA"/>
                      <w:b/>
                      <w:szCs w:val="21"/>
                      <w:shd w:val="clear" w:color="auto" w:fill="FFFFFF"/>
                      <w:lang w:val="en-US" w:eastAsia="zh-CN"/>
                    </w:rPr>
                    <w:t>500</w:t>
                  </w:r>
                </w:p>
              </w:tc>
              <w:tc>
                <w:tcPr>
                  <w:tcW w:w="1793" w:type="pct"/>
                  <w:tcBorders>
                    <w:bottom w:val="single" w:color="000000" w:sz="4" w:space="0"/>
                  </w:tcBorders>
                  <w:vAlign w:val="center"/>
                </w:tcPr>
                <w:p w14:paraId="0B275526">
                  <w:pPr>
                    <w:jc w:val="center"/>
                    <w:rPr>
                      <w:rFonts w:ascii="Times New Roman" w:hAnsi="Times New Roman" w:eastAsia="宋体" w:cs="宋体-PUA"/>
                      <w:b/>
                      <w:szCs w:val="21"/>
                      <w:shd w:val="clear" w:color="auto" w:fill="FFFFFF"/>
                    </w:rPr>
                  </w:pPr>
                  <w:r>
                    <w:rPr>
                      <w:rFonts w:ascii="Times New Roman" w:hAnsi="Times New Roman" w:eastAsia="宋体" w:cs="宋体-PUA"/>
                      <w:b/>
                      <w:szCs w:val="21"/>
                      <w:shd w:val="clear" w:color="auto" w:fill="FFFFFF"/>
                    </w:rPr>
                    <w:t>总计</w:t>
                  </w:r>
                </w:p>
              </w:tc>
              <w:tc>
                <w:tcPr>
                  <w:tcW w:w="1034" w:type="pct"/>
                  <w:tcBorders>
                    <w:bottom w:val="single" w:color="000000" w:sz="4" w:space="0"/>
                    <w:right w:val="single" w:color="000000" w:sz="4" w:space="0"/>
                  </w:tcBorders>
                  <w:vAlign w:val="center"/>
                </w:tcPr>
                <w:p w14:paraId="7EFA4D3F">
                  <w:pPr>
                    <w:jc w:val="center"/>
                    <w:rPr>
                      <w:rFonts w:hint="default" w:ascii="Times New Roman" w:hAnsi="Times New Roman" w:eastAsia="宋体" w:cs="宋体-PUA"/>
                      <w:b/>
                      <w:szCs w:val="21"/>
                      <w:shd w:val="clear" w:color="auto" w:fill="FFFFFF"/>
                      <w:lang w:val="en-US" w:eastAsia="zh-CN"/>
                    </w:rPr>
                  </w:pPr>
                  <w:r>
                    <w:rPr>
                      <w:rFonts w:hint="eastAsia" w:ascii="Times New Roman" w:hAnsi="Times New Roman" w:eastAsia="宋体" w:cs="宋体-PUA"/>
                      <w:b/>
                      <w:szCs w:val="21"/>
                      <w:shd w:val="clear" w:color="auto" w:fill="FFFFFF"/>
                      <w:lang w:val="en-US" w:eastAsia="zh-CN"/>
                    </w:rPr>
                    <w:t>500</w:t>
                  </w:r>
                </w:p>
              </w:tc>
            </w:tr>
          </w:tbl>
          <w:p w14:paraId="35855B50">
            <w:pPr>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2.6平面布置</w:t>
            </w:r>
          </w:p>
          <w:p w14:paraId="580CDDBC">
            <w:pPr>
              <w:spacing w:line="360" w:lineRule="auto"/>
              <w:ind w:firstLine="480" w:firstLineChars="200"/>
              <w:rPr>
                <w:rFonts w:ascii="Times New Roman" w:hAnsi="Times New Roman" w:eastAsia="宋体" w:cs="Times New Roman"/>
                <w:color w:val="FF0000"/>
                <w:sz w:val="24"/>
              </w:rPr>
            </w:pPr>
            <w:r>
              <w:rPr>
                <w:rFonts w:hint="eastAsia" w:ascii="Times New Roman" w:hAnsi="Times New Roman" w:eastAsia="宋体" w:cs="Times New Roman"/>
                <w:sz w:val="24"/>
              </w:rPr>
              <w:t>本项目耐候性沥青混凝土拌合楼位于厂区东侧，原料堆棚位于厂区南侧，轻质柴油、沥青储罐区位于耐候性沥青混凝土拌合楼西侧，综合办公区、车棚位于厂区北侧，一般工业固体废物暂存间、危险废物贮存点位于耐候性沥青混凝土拌合楼东侧，沥青乳化系统及设备位于原料堆棚北侧。</w:t>
            </w:r>
          </w:p>
          <w:p w14:paraId="00A34EB1">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本项目平面布置图见附图。项目平面布置功能分区合理、布局紧凑，各个建筑物的布置均满足工艺需要。项目所在地道路系统完善，有利于原料及产品的运输。因此，本项目平面布置合理。</w:t>
            </w:r>
          </w:p>
          <w:p w14:paraId="140E842A">
            <w:pPr>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2.7劳动定员和工作制度</w:t>
            </w:r>
          </w:p>
          <w:p w14:paraId="0BF10B04">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本项目劳动定员为5人，一班制，每班工作8小时，项目生产周期为每年5月至10月，冬季不生产，共计180d。</w:t>
            </w:r>
          </w:p>
          <w:p w14:paraId="39404992">
            <w:pPr>
              <w:wordWrap w:val="0"/>
              <w:topLinePunct/>
              <w:spacing w:line="360" w:lineRule="auto"/>
              <w:rPr>
                <w:rFonts w:hint="eastAsia" w:ascii="Times New Roman" w:hAnsi="宋体" w:eastAsia="宋体" w:cs="Times New Roman"/>
                <w:b/>
                <w:sz w:val="24"/>
                <w:lang w:val="zh-CN"/>
              </w:rPr>
            </w:pPr>
            <w:r>
              <w:rPr>
                <w:rFonts w:hint="eastAsia" w:ascii="Times New Roman" w:hAnsi="宋体" w:eastAsia="宋体" w:cs="Times New Roman"/>
                <w:b/>
                <w:sz w:val="24"/>
                <w:lang w:val="zh-CN"/>
              </w:rPr>
              <w:t>3公用工程</w:t>
            </w:r>
          </w:p>
          <w:p w14:paraId="72532F34">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（1）给排水</w:t>
            </w:r>
          </w:p>
          <w:p w14:paraId="7C46D938">
            <w:pPr>
              <w:wordWrap w:val="0"/>
              <w:topLinePunct/>
              <w:spacing w:line="360" w:lineRule="auto"/>
              <w:ind w:firstLine="480" w:firstLineChars="200"/>
              <w:rPr>
                <w:rFonts w:hint="eastAsia" w:ascii="Times New Roman" w:hAnsi="宋体" w:eastAsia="宋体" w:cs="Times New Roman"/>
                <w:bCs/>
                <w:color w:val="FF0000"/>
                <w:sz w:val="24"/>
              </w:rPr>
            </w:pPr>
            <w:r>
              <w:rPr>
                <w:rFonts w:hint="eastAsia" w:ascii="Times New Roman" w:hAnsi="宋体" w:eastAsia="宋体" w:cs="Times New Roman"/>
                <w:bCs/>
                <w:sz w:val="24"/>
                <w:lang w:val="zh-CN"/>
              </w:rPr>
              <w:t>本项目给水由临泽工业园区(产业功能区)-凹凸棒石新材料产业园（初级加工区）供给，供水水量可满足企业用水需求。本项目用水主要包括</w:t>
            </w:r>
            <w:r>
              <w:rPr>
                <w:rFonts w:hint="eastAsia" w:ascii="Times New Roman" w:hAnsi="宋体" w:eastAsia="宋体" w:cs="Times New Roman"/>
                <w:bCs/>
                <w:sz w:val="24"/>
              </w:rPr>
              <w:t>职工生活用水、食堂用水、乳化沥青生产线配料用水、冷料仓上料喷淋降尘用水、车辆冲洗用水、运输道路抑尘用水、移动式雾炮抑尘用水、洗涤塔用水、绿化用水。</w:t>
            </w:r>
          </w:p>
          <w:p w14:paraId="450838F2">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①生活用水</w:t>
            </w:r>
          </w:p>
          <w:p w14:paraId="677D82A3">
            <w:pPr>
              <w:wordWrap w:val="0"/>
              <w:topLinePunct/>
              <w:spacing w:line="360" w:lineRule="auto"/>
              <w:ind w:firstLine="480" w:firstLineChars="200"/>
              <w:rPr>
                <w:rFonts w:hint="eastAsia" w:ascii="Times New Roman" w:hAnsi="宋体" w:eastAsia="宋体" w:cs="Times New Roman"/>
                <w:bCs/>
                <w:sz w:val="24"/>
                <w:lang w:val="zh-CN"/>
              </w:rPr>
            </w:pPr>
            <w:r>
              <w:rPr>
                <w:rFonts w:hint="eastAsia" w:ascii="Times New Roman" w:hAnsi="宋体" w:eastAsia="宋体" w:cs="Times New Roman"/>
                <w:bCs/>
                <w:sz w:val="24"/>
                <w:lang w:val="zh-CN"/>
              </w:rPr>
              <w:t>本项目</w:t>
            </w:r>
            <w:r>
              <w:rPr>
                <w:rFonts w:hint="eastAsia" w:ascii="Times New Roman" w:hAnsi="宋体" w:eastAsia="宋体" w:cs="Times New Roman"/>
                <w:bCs/>
                <w:sz w:val="24"/>
              </w:rPr>
              <w:t>劳动定员5</w:t>
            </w:r>
            <w:r>
              <w:rPr>
                <w:rFonts w:hint="eastAsia" w:ascii="Times New Roman" w:hAnsi="宋体" w:eastAsia="宋体" w:cs="Times New Roman"/>
                <w:bCs/>
                <w:sz w:val="24"/>
                <w:lang w:val="zh-CN"/>
              </w:rPr>
              <w:t>人，</w:t>
            </w:r>
            <w:r>
              <w:rPr>
                <w:rFonts w:hint="eastAsia" w:ascii="Times New Roman" w:hAnsi="宋体" w:eastAsia="宋体" w:cs="Times New Roman"/>
                <w:bCs/>
                <w:sz w:val="24"/>
              </w:rPr>
              <w:t>厂区提供住宿及食堂</w:t>
            </w:r>
            <w:r>
              <w:rPr>
                <w:rFonts w:hint="eastAsia" w:ascii="Times New Roman" w:hAnsi="宋体" w:eastAsia="宋体" w:cs="Times New Roman"/>
                <w:bCs/>
                <w:sz w:val="24"/>
                <w:lang w:val="zh-CN"/>
              </w:rPr>
              <w:t>。参照《</w:t>
            </w:r>
            <w:r>
              <w:rPr>
                <w:rFonts w:hint="eastAsia" w:ascii="Times New Roman" w:hAnsi="宋体" w:eastAsia="宋体" w:cs="Times New Roman"/>
                <w:bCs/>
                <w:sz w:val="24"/>
              </w:rPr>
              <w:t>甘肃</w:t>
            </w:r>
            <w:r>
              <w:rPr>
                <w:rFonts w:hint="eastAsia" w:ascii="Times New Roman" w:hAnsi="宋体" w:eastAsia="宋体" w:cs="Times New Roman"/>
                <w:bCs/>
                <w:sz w:val="24"/>
                <w:lang w:val="zh-CN"/>
              </w:rPr>
              <w:t>省行业用水定额（</w:t>
            </w:r>
            <w:r>
              <w:rPr>
                <w:rFonts w:hint="eastAsia" w:ascii="Times New Roman" w:hAnsi="宋体" w:eastAsia="宋体" w:cs="Times New Roman"/>
                <w:bCs/>
                <w:sz w:val="24"/>
              </w:rPr>
              <w:t>2023版</w:t>
            </w:r>
            <w:r>
              <w:rPr>
                <w:rFonts w:hint="eastAsia" w:ascii="Times New Roman" w:hAnsi="宋体" w:eastAsia="宋体" w:cs="Times New Roman"/>
                <w:bCs/>
                <w:sz w:val="24"/>
                <w:lang w:val="zh-CN"/>
              </w:rPr>
              <w:t>）》用水系数，</w:t>
            </w:r>
            <w:r>
              <w:rPr>
                <w:rFonts w:hint="eastAsia" w:ascii="Times New Roman" w:hAnsi="宋体" w:eastAsia="宋体" w:cs="Times New Roman"/>
                <w:bCs/>
                <w:sz w:val="24"/>
              </w:rPr>
              <w:t>职工生活</w:t>
            </w:r>
            <w:r>
              <w:rPr>
                <w:rFonts w:hint="eastAsia" w:ascii="Times New Roman" w:hAnsi="宋体" w:eastAsia="宋体" w:cs="Times New Roman"/>
                <w:bCs/>
                <w:sz w:val="24"/>
                <w:lang w:val="zh-CN"/>
              </w:rPr>
              <w:t>用水定额取80L/（人·d），则</w:t>
            </w:r>
            <w:r>
              <w:rPr>
                <w:rFonts w:hint="eastAsia" w:ascii="Times New Roman" w:hAnsi="宋体" w:eastAsia="宋体" w:cs="Times New Roman"/>
                <w:bCs/>
                <w:sz w:val="24"/>
              </w:rPr>
              <w:t>职工</w:t>
            </w:r>
            <w:r>
              <w:rPr>
                <w:rFonts w:hint="eastAsia" w:ascii="Times New Roman" w:hAnsi="宋体" w:eastAsia="宋体" w:cs="Times New Roman"/>
                <w:bCs/>
                <w:sz w:val="24"/>
                <w:lang w:val="zh-CN"/>
              </w:rPr>
              <w:t>生活用水量为</w:t>
            </w:r>
            <w:r>
              <w:rPr>
                <w:rFonts w:hint="eastAsia" w:ascii="Times New Roman" w:hAnsi="宋体" w:eastAsia="宋体" w:cs="Times New Roman"/>
                <w:bCs/>
                <w:sz w:val="24"/>
              </w:rPr>
              <w:t>0.4</w:t>
            </w:r>
            <w:r>
              <w:rPr>
                <w:rFonts w:hint="eastAsia" w:ascii="Times New Roman" w:hAnsi="宋体" w:eastAsia="宋体" w:cs="Times New Roman"/>
                <w:bCs/>
                <w:sz w:val="24"/>
                <w:lang w:val="zh-CN"/>
              </w:rPr>
              <w:t>m</w:t>
            </w:r>
            <w:r>
              <w:rPr>
                <w:rFonts w:hint="eastAsia" w:ascii="Times New Roman" w:hAnsi="宋体" w:eastAsia="宋体" w:cs="Times New Roman"/>
                <w:bCs/>
                <w:sz w:val="24"/>
                <w:vertAlign w:val="superscript"/>
                <w:lang w:val="zh-CN"/>
              </w:rPr>
              <w:t>3</w:t>
            </w:r>
            <w:r>
              <w:rPr>
                <w:rFonts w:hint="eastAsia" w:ascii="Times New Roman" w:hAnsi="宋体" w:eastAsia="宋体" w:cs="Times New Roman"/>
                <w:bCs/>
                <w:sz w:val="24"/>
                <w:lang w:val="zh-CN"/>
              </w:rPr>
              <w:t>/d（</w:t>
            </w:r>
            <w:r>
              <w:rPr>
                <w:rFonts w:hint="eastAsia" w:ascii="Times New Roman" w:hAnsi="宋体" w:eastAsia="宋体" w:cs="Times New Roman"/>
                <w:bCs/>
                <w:sz w:val="24"/>
              </w:rPr>
              <w:t>72</w:t>
            </w:r>
            <w:r>
              <w:rPr>
                <w:rFonts w:hint="eastAsia" w:ascii="Times New Roman" w:hAnsi="宋体" w:eastAsia="宋体" w:cs="Times New Roman"/>
                <w:bCs/>
                <w:sz w:val="24"/>
                <w:lang w:val="zh-CN"/>
              </w:rPr>
              <w:t>m</w:t>
            </w:r>
            <w:r>
              <w:rPr>
                <w:rFonts w:hint="eastAsia" w:ascii="Times New Roman" w:hAnsi="宋体" w:eastAsia="宋体" w:cs="Times New Roman"/>
                <w:bCs/>
                <w:sz w:val="24"/>
                <w:vertAlign w:val="superscript"/>
                <w:lang w:val="zh-CN"/>
              </w:rPr>
              <w:t>3</w:t>
            </w:r>
            <w:r>
              <w:rPr>
                <w:rFonts w:hint="eastAsia" w:ascii="Times New Roman" w:hAnsi="宋体" w:eastAsia="宋体" w:cs="Times New Roman"/>
                <w:bCs/>
                <w:sz w:val="24"/>
                <w:lang w:val="zh-CN"/>
              </w:rPr>
              <w:t>/a）。</w:t>
            </w:r>
            <w:r>
              <w:rPr>
                <w:rFonts w:hint="eastAsia" w:ascii="Times New Roman" w:hAnsi="宋体" w:eastAsia="宋体" w:cs="Times New Roman"/>
                <w:bCs/>
                <w:sz w:val="24"/>
              </w:rPr>
              <w:t>职工</w:t>
            </w:r>
            <w:r>
              <w:rPr>
                <w:rFonts w:hint="eastAsia" w:ascii="Times New Roman" w:hAnsi="宋体" w:eastAsia="宋体" w:cs="Times New Roman"/>
                <w:bCs/>
                <w:sz w:val="24"/>
                <w:lang w:val="zh-CN"/>
              </w:rPr>
              <w:t>生活污水</w:t>
            </w:r>
            <w:r>
              <w:rPr>
                <w:rFonts w:hint="eastAsia" w:ascii="Times New Roman" w:hAnsi="宋体" w:eastAsia="宋体" w:cs="Times New Roman"/>
                <w:bCs/>
                <w:sz w:val="24"/>
              </w:rPr>
              <w:t>产生量</w:t>
            </w:r>
            <w:r>
              <w:rPr>
                <w:rFonts w:hint="eastAsia" w:ascii="Times New Roman" w:hAnsi="宋体" w:eastAsia="宋体" w:cs="Times New Roman"/>
                <w:bCs/>
                <w:sz w:val="24"/>
                <w:lang w:val="zh-CN"/>
              </w:rPr>
              <w:t>按照80%计，则</w:t>
            </w:r>
            <w:r>
              <w:rPr>
                <w:rFonts w:hint="eastAsia" w:ascii="Times New Roman" w:hAnsi="宋体" w:eastAsia="宋体" w:cs="Times New Roman"/>
                <w:bCs/>
                <w:sz w:val="24"/>
              </w:rPr>
              <w:t>职工</w:t>
            </w:r>
            <w:r>
              <w:rPr>
                <w:rFonts w:hint="eastAsia" w:ascii="Times New Roman" w:hAnsi="宋体" w:eastAsia="宋体" w:cs="Times New Roman"/>
                <w:bCs/>
                <w:sz w:val="24"/>
                <w:lang w:val="zh-CN"/>
              </w:rPr>
              <w:t>生活污水</w:t>
            </w:r>
            <w:r>
              <w:rPr>
                <w:rFonts w:hint="eastAsia" w:ascii="Times New Roman" w:hAnsi="宋体" w:eastAsia="宋体" w:cs="Times New Roman"/>
                <w:bCs/>
                <w:sz w:val="24"/>
              </w:rPr>
              <w:t>产生量为0.32</w:t>
            </w:r>
            <w:r>
              <w:rPr>
                <w:rFonts w:hint="eastAsia" w:ascii="Times New Roman" w:hAnsi="宋体" w:eastAsia="宋体" w:cs="Times New Roman"/>
                <w:bCs/>
                <w:sz w:val="24"/>
                <w:lang w:val="zh-CN"/>
              </w:rPr>
              <w:t>m</w:t>
            </w:r>
            <w:r>
              <w:rPr>
                <w:rFonts w:hint="eastAsia" w:ascii="Times New Roman" w:hAnsi="宋体" w:eastAsia="宋体" w:cs="Times New Roman"/>
                <w:bCs/>
                <w:sz w:val="24"/>
                <w:vertAlign w:val="superscript"/>
                <w:lang w:val="zh-CN"/>
              </w:rPr>
              <w:t>3</w:t>
            </w:r>
            <w:r>
              <w:rPr>
                <w:rFonts w:hint="eastAsia" w:ascii="Times New Roman" w:hAnsi="宋体" w:eastAsia="宋体" w:cs="Times New Roman"/>
                <w:bCs/>
                <w:sz w:val="24"/>
                <w:lang w:val="zh-CN"/>
              </w:rPr>
              <w:t>/d（</w:t>
            </w:r>
            <w:r>
              <w:rPr>
                <w:rFonts w:hint="eastAsia" w:ascii="Times New Roman" w:hAnsi="宋体" w:eastAsia="宋体" w:cs="Times New Roman"/>
                <w:bCs/>
                <w:sz w:val="24"/>
              </w:rPr>
              <w:t>57.6</w:t>
            </w:r>
            <w:r>
              <w:rPr>
                <w:rFonts w:hint="eastAsia" w:ascii="Times New Roman" w:hAnsi="宋体" w:eastAsia="宋体" w:cs="Times New Roman"/>
                <w:bCs/>
                <w:sz w:val="24"/>
                <w:lang w:val="zh-CN"/>
              </w:rPr>
              <w:t>m</w:t>
            </w:r>
            <w:r>
              <w:rPr>
                <w:rFonts w:hint="eastAsia" w:ascii="Times New Roman" w:hAnsi="宋体" w:eastAsia="宋体" w:cs="Times New Roman"/>
                <w:bCs/>
                <w:sz w:val="24"/>
                <w:vertAlign w:val="superscript"/>
                <w:lang w:val="zh-CN"/>
              </w:rPr>
              <w:t>3</w:t>
            </w:r>
            <w:r>
              <w:rPr>
                <w:rFonts w:hint="eastAsia" w:ascii="Times New Roman" w:hAnsi="宋体" w:eastAsia="宋体" w:cs="Times New Roman"/>
                <w:bCs/>
                <w:sz w:val="24"/>
                <w:lang w:val="zh-CN"/>
              </w:rPr>
              <w:t>/a）。</w:t>
            </w:r>
          </w:p>
          <w:p w14:paraId="5509A88A">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②食堂用水</w:t>
            </w:r>
          </w:p>
          <w:p w14:paraId="6E93A39A">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根据《建筑给水排水设计标准》（GB50015-2019），食堂用水按15</w:t>
            </w:r>
            <w:r>
              <w:rPr>
                <w:rFonts w:ascii="Times New Roman" w:hAnsi="宋体" w:eastAsia="宋体" w:cs="Times New Roman"/>
                <w:bCs/>
                <w:sz w:val="24"/>
              </w:rPr>
              <w:t>L/</w:t>
            </w:r>
            <w:r>
              <w:rPr>
                <w:rFonts w:hint="eastAsia" w:ascii="Times New Roman" w:hAnsi="宋体" w:eastAsia="宋体" w:cs="Times New Roman"/>
                <w:bCs/>
                <w:sz w:val="24"/>
              </w:rPr>
              <w:t>人</w:t>
            </w:r>
            <w:r>
              <w:rPr>
                <w:rFonts w:hint="eastAsia" w:ascii="Times New Roman" w:hAnsi="宋体" w:eastAsia="宋体" w:cs="Times New Roman"/>
                <w:bCs/>
                <w:sz w:val="24"/>
                <w:lang w:val="zh-CN"/>
              </w:rPr>
              <w:t>·d</w:t>
            </w:r>
            <w:r>
              <w:rPr>
                <w:rFonts w:hint="eastAsia" w:ascii="Times New Roman" w:hAnsi="宋体" w:eastAsia="宋体" w:cs="Times New Roman"/>
                <w:bCs/>
                <w:sz w:val="24"/>
              </w:rPr>
              <w:t>计，则食堂用水量为0.075m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/d（13.5m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a）；食堂废水产污系数以0.8计，则食堂废水产生量为0.06m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/d（10.8m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/a）。</w:t>
            </w:r>
          </w:p>
          <w:p w14:paraId="30F8333F">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③乳化沥青生产线配料用水</w:t>
            </w:r>
          </w:p>
          <w:p w14:paraId="3CD2CBBB">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根据建设单位提供的乳化沥青（50%沥青含量，透层/粘层）配比数据，每生产1吨乳化沥青需加入新鲜水494kg。本项目年产乳化沥青500t，则配料新鲜水用量为247m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，此部分水全部进入产品。</w:t>
            </w:r>
          </w:p>
          <w:p w14:paraId="7DDEA896">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Times New Roman" w:eastAsia="宋体" w:cs="Times New Roman"/>
                <w:sz w:val="24"/>
              </w:rPr>
              <w:t>④</w:t>
            </w:r>
            <w:r>
              <w:rPr>
                <w:rFonts w:hint="eastAsia" w:ascii="Times New Roman" w:hAnsi="宋体" w:eastAsia="宋体" w:cs="Times New Roman"/>
                <w:bCs/>
                <w:sz w:val="24"/>
              </w:rPr>
              <w:t>冷料仓上料喷淋降尘用水</w:t>
            </w:r>
          </w:p>
          <w:p w14:paraId="61F672A8">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本项目共设置6个冷料仓，在冷料仓上方设置喷淋装置进行喷淋降尘（冷料仓三面围挡，喷淋在顶部），每仓上方设置喷淋嘴3个（呈扇形喷射喷嘴），单嘴流量40</w:t>
            </w:r>
            <w:r>
              <w:rPr>
                <w:rFonts w:ascii="Times New Roman" w:hAnsi="宋体" w:eastAsia="宋体" w:cs="Times New Roman"/>
                <w:bCs/>
                <w:sz w:val="24"/>
              </w:rPr>
              <w:t>L/</w:t>
            </w:r>
            <w:r>
              <w:rPr>
                <w:rFonts w:hint="eastAsia" w:ascii="Times New Roman" w:hAnsi="宋体" w:eastAsia="宋体" w:cs="Times New Roman"/>
                <w:bCs/>
                <w:sz w:val="24"/>
              </w:rPr>
              <w:t>h，按照每日上料累计运行约5h计，则冷料仓上料喷淋降尘用水量为648m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w:t>
            </w:r>
            <w:r>
              <w:rPr>
                <w:rFonts w:ascii="Times New Roman" w:hAnsi="宋体" w:eastAsia="宋体" w:cs="Times New Roman"/>
                <w:bCs/>
                <w:sz w:val="24"/>
              </w:rPr>
              <w:t>a(3.6m</w:t>
            </w:r>
            <w:r>
              <w:rPr>
                <w:rFonts w:ascii="Times New Roman" w:hAnsi="宋体" w:eastAsia="宋体" w:cs="Times New Roman"/>
                <w:bCs/>
                <w:sz w:val="24"/>
                <w:vertAlign w:val="superscript"/>
              </w:rPr>
              <w:t>3</w:t>
            </w:r>
            <w:r>
              <w:rPr>
                <w:rFonts w:ascii="Times New Roman" w:hAnsi="宋体" w:eastAsia="宋体" w:cs="Times New Roman"/>
                <w:bCs/>
                <w:sz w:val="24"/>
              </w:rPr>
              <w:t>/</w:t>
            </w:r>
            <w:r>
              <w:rPr>
                <w:rFonts w:hint="eastAsia" w:ascii="Times New Roman" w:hAnsi="宋体" w:eastAsia="宋体" w:cs="Times New Roman"/>
                <w:bCs/>
                <w:sz w:val="24"/>
              </w:rPr>
              <w:t>d</w:t>
            </w:r>
            <w:r>
              <w:rPr>
                <w:rFonts w:ascii="Times New Roman" w:hAnsi="宋体" w:eastAsia="宋体" w:cs="Times New Roman"/>
                <w:bCs/>
                <w:sz w:val="24"/>
              </w:rPr>
              <w:t>)</w:t>
            </w:r>
            <w:r>
              <w:rPr>
                <w:rFonts w:hint="eastAsia" w:ascii="Times New Roman" w:hAnsi="宋体" w:eastAsia="宋体" w:cs="Times New Roman"/>
                <w:bCs/>
                <w:sz w:val="24"/>
              </w:rPr>
              <w:t>。此部分水，部分蒸发，部分随物料带走，全部损耗。</w:t>
            </w:r>
          </w:p>
          <w:p w14:paraId="46999416">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⑤</w:t>
            </w:r>
            <w:r>
              <w:rPr>
                <w:rFonts w:ascii="Times New Roman" w:hAnsi="宋体" w:eastAsia="宋体" w:cs="Times New Roman"/>
                <w:bCs/>
                <w:sz w:val="24"/>
              </w:rPr>
              <w:t>车辆冲洗用水</w:t>
            </w:r>
          </w:p>
          <w:p w14:paraId="0CD2EFE7">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本项目在厂区车辆进出口（为同一个）设置车辆冲洗平台，仅需冲洗车轮减少扬尘，根据《建筑给水排水设计标准》（GB50015-2019）表3.2.7，载重车辆冲洗水量取20</w:t>
            </w:r>
            <w:r>
              <w:rPr>
                <w:rFonts w:ascii="Times New Roman" w:hAnsi="宋体" w:eastAsia="宋体" w:cs="Times New Roman"/>
                <w:bCs/>
                <w:sz w:val="24"/>
              </w:rPr>
              <w:t>L</w:t>
            </w:r>
            <w:r>
              <w:rPr>
                <w:rFonts w:hint="eastAsia" w:ascii="Times New Roman" w:hAnsi="宋体" w:eastAsia="宋体" w:cs="Times New Roman"/>
                <w:bCs/>
                <w:sz w:val="24"/>
              </w:rPr>
              <w:t>/（辆</w:t>
            </w:r>
            <w:r>
              <w:rPr>
                <w:rFonts w:hint="eastAsia" w:ascii="Times New Roman" w:hAnsi="宋体" w:eastAsia="宋体" w:cs="Times New Roman"/>
                <w:bCs/>
                <w:sz w:val="24"/>
                <w:lang w:val="zh-CN"/>
              </w:rPr>
              <w:t>·</w:t>
            </w:r>
            <w:r>
              <w:rPr>
                <w:rFonts w:hint="eastAsia" w:ascii="Times New Roman" w:hAnsi="宋体" w:eastAsia="宋体" w:cs="Times New Roman"/>
                <w:bCs/>
                <w:sz w:val="24"/>
              </w:rPr>
              <w:t>次），本项目年运输车次为9308车次（包含原辅料及成品），则车辆冲洗年总循环用水量为186.16m</w:t>
            </w:r>
            <w:r>
              <w:rPr>
                <w:rFonts w:hint="eastAsia" w:ascii="Times New Roman" w:hAnsi="宋体" w:eastAsia="宋体" w:cs="Times New Roman"/>
                <w:bCs/>
                <w:sz w:val="24"/>
                <w:vertAlign w:val="superscript"/>
              </w:rPr>
              <w:t>3</w:t>
            </w:r>
            <w:r>
              <w:rPr>
                <w:rFonts w:ascii="Times New Roman" w:hAnsi="宋体" w:eastAsia="宋体" w:cs="Times New Roman"/>
                <w:bCs/>
                <w:sz w:val="24"/>
              </w:rPr>
              <w:t>/</w:t>
            </w:r>
            <w:r>
              <w:rPr>
                <w:rFonts w:hint="eastAsia" w:ascii="Times New Roman" w:hAnsi="宋体" w:eastAsia="宋体" w:cs="Times New Roman"/>
                <w:bCs/>
                <w:sz w:val="24"/>
              </w:rPr>
              <w:t>a，车辆冲洗平台配套设置1座2m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沉淀池，车辆冲洗废水排入沉淀池沉淀处理后，取上清液回用，循环过程中，因蒸发及沉淀泥沙带走，每日损耗量约为循环水量的20%，该部分损耗需以新鲜水补充，约为0.207m</w:t>
            </w:r>
            <w:r>
              <w:rPr>
                <w:rFonts w:hint="eastAsia" w:ascii="Times New Roman" w:hAnsi="宋体" w:eastAsia="宋体" w:cs="Times New Roman"/>
                <w:bCs/>
                <w:sz w:val="24"/>
                <w:vertAlign w:val="superscript"/>
              </w:rPr>
              <w:t>3</w:t>
            </w:r>
            <w:r>
              <w:rPr>
                <w:rFonts w:ascii="Times New Roman" w:hAnsi="宋体" w:eastAsia="宋体" w:cs="Times New Roman"/>
                <w:bCs/>
                <w:sz w:val="24"/>
              </w:rPr>
              <w:t>/d</w:t>
            </w:r>
            <w:r>
              <w:rPr>
                <w:rFonts w:hint="eastAsia" w:ascii="Times New Roman" w:hAnsi="宋体" w:eastAsia="宋体" w:cs="Times New Roman"/>
                <w:bCs/>
                <w:sz w:val="24"/>
              </w:rPr>
              <w:t>，37.23m</w:t>
            </w:r>
            <w:r>
              <w:rPr>
                <w:rFonts w:hint="eastAsia" w:ascii="Times New Roman" w:hAnsi="宋体" w:eastAsia="宋体" w:cs="Times New Roman"/>
                <w:bCs/>
                <w:sz w:val="24"/>
                <w:vertAlign w:val="superscript"/>
              </w:rPr>
              <w:t>3</w:t>
            </w:r>
            <w:r>
              <w:rPr>
                <w:rFonts w:ascii="Times New Roman" w:hAnsi="宋体" w:eastAsia="宋体" w:cs="Times New Roman"/>
                <w:bCs/>
                <w:sz w:val="24"/>
              </w:rPr>
              <w:t>/</w:t>
            </w:r>
            <w:r>
              <w:rPr>
                <w:rFonts w:hint="eastAsia" w:ascii="Times New Roman" w:hAnsi="宋体" w:eastAsia="宋体" w:cs="Times New Roman"/>
                <w:bCs/>
                <w:sz w:val="24"/>
              </w:rPr>
              <w:t>a。</w:t>
            </w:r>
          </w:p>
          <w:p w14:paraId="134A3794">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⑥运输道路抑尘用水</w:t>
            </w:r>
          </w:p>
          <w:p w14:paraId="2142E742">
            <w:pPr>
              <w:wordWrap w:val="0"/>
              <w:topLinePunct/>
              <w:spacing w:line="360" w:lineRule="auto"/>
              <w:ind w:firstLine="480" w:firstLineChars="200"/>
              <w:rPr>
                <w:rFonts w:hint="eastAsia" w:ascii="Times New Roman" w:hAnsi="宋体" w:eastAsia="宋体" w:cs="Times New Roman"/>
                <w:bCs/>
                <w:sz w:val="24"/>
                <w:lang w:val="zh-CN"/>
              </w:rPr>
            </w:pPr>
            <w:r>
              <w:rPr>
                <w:rFonts w:ascii="Times New Roman" w:hAnsi="宋体" w:eastAsia="宋体" w:cs="Times New Roman"/>
                <w:bCs/>
                <w:sz w:val="24"/>
                <w:lang w:val="zh-CN"/>
              </w:rPr>
              <w:t>为减少</w:t>
            </w:r>
            <w:r>
              <w:rPr>
                <w:rFonts w:hint="eastAsia" w:ascii="Times New Roman" w:hAnsi="宋体" w:eastAsia="宋体" w:cs="Times New Roman"/>
                <w:bCs/>
                <w:sz w:val="24"/>
              </w:rPr>
              <w:t>道路</w:t>
            </w:r>
            <w:r>
              <w:rPr>
                <w:rFonts w:ascii="Times New Roman" w:hAnsi="宋体" w:eastAsia="宋体" w:cs="Times New Roman"/>
                <w:bCs/>
                <w:sz w:val="24"/>
                <w:lang w:val="zh-CN"/>
              </w:rPr>
              <w:t>运输过程中产生的无组织扬尘，</w:t>
            </w:r>
            <w:r>
              <w:rPr>
                <w:rFonts w:hint="eastAsia" w:ascii="Times New Roman" w:hAnsi="宋体" w:eastAsia="宋体" w:cs="Times New Roman"/>
                <w:bCs/>
                <w:sz w:val="24"/>
              </w:rPr>
              <w:t>本项目采用洒水车对厂内</w:t>
            </w:r>
            <w:r>
              <w:rPr>
                <w:rFonts w:ascii="Times New Roman" w:hAnsi="宋体" w:eastAsia="宋体" w:cs="Times New Roman"/>
                <w:bCs/>
                <w:sz w:val="24"/>
                <w:lang w:val="zh-CN"/>
              </w:rPr>
              <w:t>运输道路</w:t>
            </w:r>
            <w:r>
              <w:rPr>
                <w:rFonts w:hint="eastAsia" w:ascii="Times New Roman" w:hAnsi="宋体" w:eastAsia="宋体" w:cs="Times New Roman"/>
                <w:bCs/>
                <w:sz w:val="24"/>
                <w:lang w:val="zh-CN"/>
              </w:rPr>
              <w:t>（</w:t>
            </w:r>
            <w:r>
              <w:rPr>
                <w:rFonts w:hint="eastAsia" w:ascii="Times New Roman" w:hAnsi="宋体" w:eastAsia="宋体" w:cs="Times New Roman"/>
                <w:bCs/>
                <w:sz w:val="24"/>
              </w:rPr>
              <w:t>全部混凝土硬化</w:t>
            </w:r>
            <w:r>
              <w:rPr>
                <w:rFonts w:hint="eastAsia" w:ascii="Times New Roman" w:hAnsi="宋体" w:eastAsia="宋体" w:cs="Times New Roman"/>
                <w:bCs/>
                <w:sz w:val="24"/>
                <w:lang w:val="zh-CN"/>
              </w:rPr>
              <w:t>）</w:t>
            </w:r>
            <w:r>
              <w:rPr>
                <w:rFonts w:hint="eastAsia" w:ascii="Times New Roman" w:hAnsi="宋体" w:eastAsia="宋体" w:cs="Times New Roman"/>
                <w:bCs/>
                <w:sz w:val="24"/>
              </w:rPr>
              <w:t>进行</w:t>
            </w:r>
            <w:r>
              <w:rPr>
                <w:rFonts w:ascii="Times New Roman" w:hAnsi="宋体" w:eastAsia="宋体" w:cs="Times New Roman"/>
                <w:bCs/>
                <w:sz w:val="24"/>
                <w:lang w:val="zh-CN"/>
              </w:rPr>
              <w:t>洒水降尘</w:t>
            </w:r>
            <w:r>
              <w:rPr>
                <w:rFonts w:hint="eastAsia" w:ascii="Times New Roman" w:hAnsi="宋体" w:eastAsia="宋体" w:cs="Times New Roman"/>
                <w:bCs/>
                <w:sz w:val="24"/>
                <w:lang w:val="zh-CN"/>
              </w:rPr>
              <w:t>，</w:t>
            </w:r>
            <w:r>
              <w:rPr>
                <w:rFonts w:hint="eastAsia" w:ascii="Times New Roman" w:hAnsi="宋体" w:eastAsia="宋体" w:cs="Times New Roman"/>
                <w:bCs/>
                <w:sz w:val="24"/>
              </w:rPr>
              <w:t>厂内</w:t>
            </w:r>
            <w:r>
              <w:rPr>
                <w:rFonts w:ascii="Times New Roman" w:hAnsi="宋体" w:eastAsia="宋体" w:cs="Times New Roman"/>
                <w:bCs/>
                <w:sz w:val="24"/>
                <w:lang w:val="zh-CN"/>
              </w:rPr>
              <w:t>运输道路长度约</w:t>
            </w:r>
            <w:r>
              <w:rPr>
                <w:rFonts w:hint="eastAsia" w:ascii="Times New Roman" w:hAnsi="宋体" w:eastAsia="宋体" w:cs="Times New Roman"/>
                <w:bCs/>
                <w:sz w:val="24"/>
              </w:rPr>
              <w:t>1km</w:t>
            </w:r>
            <w:r>
              <w:rPr>
                <w:rFonts w:hint="eastAsia" w:ascii="Times New Roman" w:hAnsi="宋体" w:eastAsia="宋体" w:cs="Times New Roman"/>
                <w:bCs/>
                <w:sz w:val="24"/>
                <w:lang w:val="zh-CN"/>
              </w:rPr>
              <w:t>，</w:t>
            </w:r>
            <w:r>
              <w:rPr>
                <w:rFonts w:ascii="Times New Roman" w:hAnsi="宋体" w:eastAsia="宋体" w:cs="Times New Roman"/>
                <w:bCs/>
                <w:sz w:val="24"/>
                <w:lang w:val="zh-CN"/>
              </w:rPr>
              <w:t>宽</w:t>
            </w:r>
            <w:r>
              <w:rPr>
                <w:rFonts w:hint="eastAsia" w:ascii="Times New Roman" w:hAnsi="宋体" w:eastAsia="宋体" w:cs="Times New Roman"/>
                <w:bCs/>
                <w:sz w:val="24"/>
              </w:rPr>
              <w:t>6m</w:t>
            </w:r>
            <w:r>
              <w:rPr>
                <w:rFonts w:hint="eastAsia" w:ascii="Times New Roman" w:hAnsi="宋体" w:eastAsia="宋体" w:cs="Times New Roman"/>
                <w:bCs/>
                <w:sz w:val="24"/>
                <w:lang w:val="zh-CN"/>
              </w:rPr>
              <w:t>，</w:t>
            </w:r>
            <w:r>
              <w:rPr>
                <w:rFonts w:hint="eastAsia" w:ascii="Times New Roman" w:hAnsi="宋体" w:eastAsia="宋体" w:cs="Times New Roman"/>
                <w:bCs/>
                <w:sz w:val="24"/>
              </w:rPr>
              <w:t>道路</w:t>
            </w:r>
            <w:r>
              <w:rPr>
                <w:rFonts w:ascii="Times New Roman" w:hAnsi="宋体" w:eastAsia="宋体" w:cs="Times New Roman"/>
                <w:bCs/>
                <w:sz w:val="24"/>
                <w:lang w:val="zh-CN"/>
              </w:rPr>
              <w:t>面积</w:t>
            </w:r>
            <w:r>
              <w:rPr>
                <w:rFonts w:hint="eastAsia" w:ascii="Times New Roman" w:hAnsi="宋体" w:eastAsia="宋体" w:cs="Times New Roman"/>
                <w:bCs/>
                <w:sz w:val="24"/>
              </w:rPr>
              <w:t>按6000</w:t>
            </w:r>
            <w:r>
              <w:rPr>
                <w:rFonts w:ascii="Times New Roman" w:hAnsi="宋体" w:eastAsia="宋体" w:cs="Times New Roman"/>
                <w:bCs/>
                <w:sz w:val="24"/>
              </w:rPr>
              <w:t>m</w:t>
            </w:r>
            <w:r>
              <w:rPr>
                <w:rFonts w:ascii="Times New Roman" w:hAnsi="宋体" w:eastAsia="宋体" w:cs="Times New Roman"/>
                <w:bCs/>
                <w:sz w:val="24"/>
                <w:vertAlign w:val="superscript"/>
              </w:rPr>
              <w:t>2</w:t>
            </w:r>
            <w:r>
              <w:rPr>
                <w:rFonts w:ascii="Times New Roman" w:hAnsi="宋体" w:eastAsia="宋体" w:cs="Times New Roman"/>
                <w:bCs/>
                <w:sz w:val="24"/>
              </w:rPr>
              <w:t>计</w:t>
            </w:r>
            <w:r>
              <w:rPr>
                <w:rFonts w:hint="eastAsia" w:ascii="Times New Roman" w:hAnsi="宋体" w:eastAsia="宋体" w:cs="Times New Roman"/>
                <w:bCs/>
                <w:sz w:val="24"/>
              </w:rPr>
              <w:t>（含原料堆棚区域），参照《建筑给水排水设计标准》（GB 50015-2019）中关于浇洒道路和场地的用水定额，结合本项目实际情况，道路</w:t>
            </w:r>
            <w:r>
              <w:rPr>
                <w:rFonts w:ascii="Times New Roman" w:hAnsi="宋体" w:eastAsia="宋体" w:cs="Times New Roman"/>
                <w:bCs/>
                <w:sz w:val="24"/>
                <w:lang w:val="zh-CN"/>
              </w:rPr>
              <w:t>洒水量按1.0</w:t>
            </w:r>
            <w:r>
              <w:rPr>
                <w:rFonts w:ascii="Times New Roman" w:hAnsi="宋体" w:eastAsia="宋体" w:cs="Times New Roman"/>
                <w:bCs/>
                <w:sz w:val="24"/>
              </w:rPr>
              <w:t>L</w:t>
            </w:r>
            <w:r>
              <w:rPr>
                <w:rFonts w:ascii="Times New Roman" w:hAnsi="宋体" w:eastAsia="宋体" w:cs="Times New Roman"/>
                <w:bCs/>
                <w:sz w:val="24"/>
                <w:lang w:val="zh-CN"/>
              </w:rPr>
              <w:t>/</w:t>
            </w:r>
            <w:r>
              <w:rPr>
                <w:rFonts w:hint="eastAsia" w:ascii="Times New Roman" w:hAnsi="宋体" w:eastAsia="宋体" w:cs="Times New Roman"/>
                <w:bCs/>
                <w:sz w:val="24"/>
              </w:rPr>
              <w:t>m</w:t>
            </w:r>
            <w:r>
              <w:rPr>
                <w:rFonts w:hint="eastAsia" w:ascii="Times New Roman" w:hAnsi="宋体" w:eastAsia="宋体" w:cs="Times New Roman"/>
                <w:bCs/>
                <w:sz w:val="24"/>
                <w:vertAlign w:val="superscript"/>
              </w:rPr>
              <w:t>2</w:t>
            </w:r>
            <w:r>
              <w:rPr>
                <w:rFonts w:ascii="Times New Roman" w:hAnsi="宋体" w:eastAsia="宋体" w:cs="Times New Roman"/>
                <w:bCs/>
                <w:sz w:val="24"/>
                <w:lang w:val="zh-CN"/>
              </w:rPr>
              <w:t>(路面)·d计，则运输道路抑尘用水</w:t>
            </w:r>
            <w:r>
              <w:rPr>
                <w:rFonts w:hint="eastAsia" w:ascii="Times New Roman" w:hAnsi="宋体" w:eastAsia="宋体" w:cs="Times New Roman"/>
                <w:bCs/>
                <w:sz w:val="24"/>
              </w:rPr>
              <w:t>量</w:t>
            </w:r>
            <w:r>
              <w:rPr>
                <w:rFonts w:ascii="Times New Roman" w:hAnsi="宋体" w:eastAsia="宋体" w:cs="Times New Roman"/>
                <w:bCs/>
                <w:sz w:val="24"/>
                <w:lang w:val="zh-CN"/>
              </w:rPr>
              <w:t>为</w:t>
            </w:r>
            <w:r>
              <w:rPr>
                <w:rFonts w:hint="eastAsia" w:ascii="Times New Roman" w:hAnsi="宋体" w:eastAsia="宋体" w:cs="Times New Roman"/>
                <w:bCs/>
                <w:sz w:val="24"/>
              </w:rPr>
              <w:t>6m</w:t>
            </w:r>
            <w:r>
              <w:rPr>
                <w:rFonts w:hint="eastAsia" w:ascii="Times New Roman" w:hAnsi="宋体" w:eastAsia="宋体" w:cs="Times New Roman"/>
                <w:bCs/>
                <w:sz w:val="24"/>
                <w:vertAlign w:val="superscript"/>
              </w:rPr>
              <w:t>3</w:t>
            </w:r>
            <w:r>
              <w:rPr>
                <w:rFonts w:ascii="Times New Roman" w:hAnsi="宋体" w:eastAsia="宋体" w:cs="Times New Roman"/>
                <w:bCs/>
                <w:sz w:val="24"/>
              </w:rPr>
              <w:t>/d</w:t>
            </w:r>
            <w:r>
              <w:rPr>
                <w:rFonts w:hint="eastAsia" w:ascii="Times New Roman" w:hAnsi="宋体" w:eastAsia="宋体" w:cs="Times New Roman"/>
                <w:bCs/>
                <w:sz w:val="24"/>
              </w:rPr>
              <w:t>，1080m</w:t>
            </w:r>
            <w:r>
              <w:rPr>
                <w:rFonts w:hint="eastAsia" w:ascii="Times New Roman" w:hAnsi="宋体" w:eastAsia="宋体" w:cs="Times New Roman"/>
                <w:bCs/>
                <w:sz w:val="24"/>
                <w:vertAlign w:val="superscript"/>
              </w:rPr>
              <w:t>3</w:t>
            </w:r>
            <w:r>
              <w:rPr>
                <w:rFonts w:ascii="Times New Roman" w:hAnsi="宋体" w:eastAsia="宋体" w:cs="Times New Roman"/>
                <w:bCs/>
                <w:sz w:val="24"/>
              </w:rPr>
              <w:t>/</w:t>
            </w:r>
            <w:r>
              <w:rPr>
                <w:rFonts w:hint="eastAsia" w:ascii="Times New Roman" w:hAnsi="宋体" w:eastAsia="宋体" w:cs="Times New Roman"/>
                <w:bCs/>
                <w:sz w:val="24"/>
              </w:rPr>
              <w:t>a</w:t>
            </w:r>
            <w:r>
              <w:rPr>
                <w:rFonts w:ascii="Times New Roman" w:hAnsi="宋体" w:eastAsia="宋体" w:cs="Times New Roman"/>
                <w:bCs/>
                <w:sz w:val="24"/>
                <w:lang w:val="zh-CN"/>
              </w:rPr>
              <w:t>。这部分水全部蒸发</w:t>
            </w:r>
            <w:r>
              <w:rPr>
                <w:rFonts w:hint="eastAsia" w:ascii="Times New Roman" w:hAnsi="宋体" w:eastAsia="宋体" w:cs="Times New Roman"/>
                <w:bCs/>
                <w:sz w:val="24"/>
              </w:rPr>
              <w:t>损耗</w:t>
            </w:r>
            <w:r>
              <w:rPr>
                <w:rFonts w:ascii="Times New Roman" w:hAnsi="宋体" w:eastAsia="宋体" w:cs="Times New Roman"/>
                <w:bCs/>
                <w:sz w:val="24"/>
                <w:lang w:val="zh-CN"/>
              </w:rPr>
              <w:t>。</w:t>
            </w:r>
          </w:p>
          <w:p w14:paraId="1EAE9530">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⑦移动式雾炮抑尘用水</w:t>
            </w:r>
          </w:p>
          <w:p w14:paraId="2A9E0D7C">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移动式雾炮主要用于原料堆棚降尘、物料装卸（作业面）降尘等环节。本项目设置1台车载式移动式雾炮，根据技术参数，单台喷水量约为0.6m</w:t>
            </w:r>
            <w:r>
              <w:rPr>
                <w:rFonts w:hint="eastAsia" w:ascii="Times New Roman" w:hAnsi="宋体" w:eastAsia="宋体" w:cs="Times New Roman"/>
                <w:bCs/>
                <w:sz w:val="24"/>
                <w:vertAlign w:val="superscript"/>
              </w:rPr>
              <w:t>3</w:t>
            </w:r>
            <w:r>
              <w:rPr>
                <w:rFonts w:ascii="Times New Roman" w:hAnsi="宋体" w:eastAsia="宋体" w:cs="Times New Roman"/>
                <w:bCs/>
                <w:sz w:val="24"/>
              </w:rPr>
              <w:t>/h</w:t>
            </w:r>
            <w:r>
              <w:rPr>
                <w:rFonts w:hint="eastAsia" w:ascii="Times New Roman" w:hAnsi="宋体" w:eastAsia="宋体" w:cs="Times New Roman"/>
                <w:bCs/>
                <w:sz w:val="24"/>
              </w:rPr>
              <w:t>，根据降尘作业频率，单台雾炮每日累计间歇运行约3h，则移动式雾炮抑尘用水量为1.8m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/d，324m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/a，此部分水全部蒸发损耗。</w:t>
            </w:r>
          </w:p>
          <w:p w14:paraId="0C78069F">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堆场区域辅以洒水车洒水降尘，其用水量已计入上述运输道路抑尘用水项内，不重复计算。根据建设单位的阐述，本项目设备及地面不进行冲洗。</w:t>
            </w:r>
          </w:p>
          <w:p w14:paraId="73A2BA8E">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⑧洗涤塔用水</w:t>
            </w:r>
          </w:p>
          <w:p w14:paraId="44DBCDA6">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洗涤塔循环水箱有效容积约5m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，首次运行需一次性充水5m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w:t>
            </w:r>
          </w:p>
          <w:p w14:paraId="3F6D4115">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根据“《大气污染控制工程》（第三版）表6-9 喷雾塔洗涤器装置”设计参数，洗涤塔用水气液比取2</w:t>
            </w:r>
            <w:r>
              <w:rPr>
                <w:rFonts w:ascii="Times New Roman" w:hAnsi="宋体" w:eastAsia="宋体" w:cs="Times New Roman"/>
                <w:bCs/>
                <w:sz w:val="24"/>
              </w:rPr>
              <w:t>L</w:t>
            </w:r>
            <w:r>
              <w:rPr>
                <w:rFonts w:hint="eastAsia" w:ascii="Times New Roman" w:hAnsi="宋体" w:eastAsia="宋体" w:cs="Times New Roman"/>
                <w:bCs/>
                <w:sz w:val="24"/>
              </w:rPr>
              <w:t>/</w:t>
            </w:r>
            <w:r>
              <w:rPr>
                <w:rFonts w:ascii="Times New Roman" w:hAnsi="宋体" w:eastAsia="宋体" w:cs="Times New Roman"/>
                <w:bCs/>
                <w:sz w:val="24"/>
              </w:rPr>
              <w:t>m</w:t>
            </w:r>
            <w:r>
              <w:rPr>
                <w:rFonts w:ascii="Times New Roman" w:hAnsi="宋体" w:eastAsia="宋体" w:cs="Times New Roman"/>
                <w:bCs/>
                <w:sz w:val="24"/>
                <w:vertAlign w:val="superscript"/>
              </w:rPr>
              <w:t>3</w:t>
            </w:r>
            <w:r>
              <w:rPr>
                <w:rFonts w:ascii="Times New Roman" w:hAnsi="宋体" w:eastAsia="宋体" w:cs="Times New Roman"/>
                <w:bCs/>
                <w:sz w:val="24"/>
              </w:rPr>
              <w:t>(</w:t>
            </w:r>
            <w:r>
              <w:rPr>
                <w:rFonts w:hint="eastAsia" w:ascii="Times New Roman" w:hAnsi="宋体" w:eastAsia="宋体" w:cs="Times New Roman"/>
                <w:bCs/>
                <w:sz w:val="24"/>
              </w:rPr>
              <w:t>风机风量按30000m</w:t>
            </w:r>
            <w:r>
              <w:rPr>
                <w:rFonts w:hint="eastAsia" w:ascii="Times New Roman" w:hAnsi="宋体" w:eastAsia="宋体" w:cs="Times New Roman"/>
                <w:bCs/>
                <w:sz w:val="24"/>
                <w:vertAlign w:val="superscript"/>
              </w:rPr>
              <w:t>3</w:t>
            </w:r>
            <w:r>
              <w:rPr>
                <w:rFonts w:ascii="Times New Roman" w:hAnsi="宋体" w:eastAsia="宋体" w:cs="Times New Roman"/>
                <w:bCs/>
                <w:sz w:val="24"/>
              </w:rPr>
              <w:t>/</w:t>
            </w:r>
            <w:r>
              <w:rPr>
                <w:rFonts w:hint="eastAsia" w:ascii="Times New Roman" w:hAnsi="宋体" w:eastAsia="宋体" w:cs="Times New Roman"/>
                <w:bCs/>
                <w:sz w:val="24"/>
              </w:rPr>
              <w:t>h计</w:t>
            </w:r>
            <w:r>
              <w:rPr>
                <w:rFonts w:ascii="Times New Roman" w:hAnsi="宋体" w:eastAsia="宋体" w:cs="Times New Roman"/>
                <w:bCs/>
                <w:sz w:val="24"/>
              </w:rPr>
              <w:t>)</w:t>
            </w:r>
            <w:r>
              <w:rPr>
                <w:rFonts w:hint="eastAsia" w:ascii="Times New Roman" w:hAnsi="宋体" w:eastAsia="宋体" w:cs="Times New Roman"/>
                <w:bCs/>
                <w:sz w:val="24"/>
              </w:rPr>
              <w:t>，则洗涤塔循环水量为60m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h，洗涤水经塔底部循环水箱收集后，由水泵加压循环使用，形成封闭式内部循环系统；循环过程中因废气带走水汽及蒸发产生少量损耗，需定期补充新鲜水，类比《建筑给水排水设计标准》（GB50015-2019）中冷却塔补充水系数及同类工程经验，损耗率取循环水量的1.5%，则新鲜水补充量为0.9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w:t>
            </w:r>
            <w:r>
              <w:rPr>
                <w:rFonts w:ascii="Times New Roman" w:hAnsi="宋体" w:eastAsia="宋体" w:cs="Times New Roman"/>
                <w:bCs/>
                <w:sz w:val="24"/>
              </w:rPr>
              <w:t>h</w:t>
            </w:r>
            <w:r>
              <w:rPr>
                <w:rFonts w:hint="eastAsia" w:ascii="Times New Roman" w:hAnsi="宋体" w:eastAsia="宋体" w:cs="Times New Roman"/>
                <w:bCs/>
                <w:sz w:val="24"/>
              </w:rPr>
              <w:t>，按每日运行8h、年运行180d计，日补充水量为7.2m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/d，年补充水量为1296</w:t>
            </w:r>
            <w:r>
              <w:rPr>
                <w:rFonts w:ascii="Times New Roman" w:hAnsi="宋体" w:eastAsia="宋体" w:cs="Times New Roman"/>
                <w:bCs/>
                <w:sz w:val="24"/>
              </w:rPr>
              <w:t>m</w:t>
            </w:r>
            <w:r>
              <w:rPr>
                <w:rFonts w:ascii="Times New Roman" w:hAnsi="宋体" w:eastAsia="宋体" w:cs="Times New Roman"/>
                <w:bCs/>
                <w:sz w:val="24"/>
                <w:vertAlign w:val="superscript"/>
              </w:rPr>
              <w:t>3</w:t>
            </w:r>
            <w:r>
              <w:rPr>
                <w:rFonts w:ascii="Times New Roman" w:hAnsi="宋体" w:eastAsia="宋体" w:cs="Times New Roman"/>
                <w:bCs/>
                <w:sz w:val="24"/>
              </w:rPr>
              <w:t>/</w:t>
            </w:r>
            <w:r>
              <w:rPr>
                <w:rFonts w:hint="eastAsia" w:ascii="Times New Roman" w:hAnsi="宋体" w:eastAsia="宋体" w:cs="Times New Roman"/>
                <w:bCs/>
                <w:sz w:val="24"/>
              </w:rPr>
              <w:t>a。为保证洗涤效率，循环水每年整池更换2次，每次更换水量5m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，年更换用水量为10m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。综上，洗涤塔年用水量合计为</w:t>
            </w:r>
            <w:r>
              <w:rPr>
                <w:rFonts w:ascii="Times New Roman" w:hAnsi="宋体" w:eastAsia="宋体" w:cs="Times New Roman"/>
                <w:bCs/>
                <w:sz w:val="24"/>
              </w:rPr>
              <w:t>1306</w:t>
            </w:r>
            <w:r>
              <w:rPr>
                <w:rFonts w:hint="eastAsia" w:ascii="Times New Roman" w:hAnsi="宋体" w:eastAsia="宋体" w:cs="Times New Roman"/>
                <w:bCs/>
                <w:sz w:val="24"/>
              </w:rPr>
              <w:t>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/a</w:t>
            </w:r>
            <w:r>
              <w:rPr>
                <w:rFonts w:ascii="Times New Roman" w:hAnsi="宋体" w:eastAsia="宋体" w:cs="Times New Roman"/>
                <w:bCs/>
                <w:sz w:val="24"/>
              </w:rPr>
              <w:t>。</w:t>
            </w:r>
            <w:r>
              <w:rPr>
                <w:rFonts w:hint="eastAsia" w:ascii="Times New Roman" w:hAnsi="宋体" w:eastAsia="宋体" w:cs="Times New Roman"/>
                <w:bCs/>
                <w:sz w:val="24"/>
              </w:rPr>
              <w:t>洗涤塔底部循环水箱设沉淀分区，喷淋废水经沉淀处理后上清液循环使用，不外排；循环水定期更换产生的废液（10m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）及清理出的焦油渣，均作为危险废物严格收集，委托有资质单位安全处置。</w:t>
            </w:r>
          </w:p>
          <w:p w14:paraId="5D668C0F">
            <w:pPr>
              <w:wordWrap w:val="0"/>
              <w:topLinePunct/>
              <w:spacing w:line="360" w:lineRule="auto"/>
              <w:ind w:firstLine="480" w:firstLineChars="200"/>
              <w:rPr>
                <w:rFonts w:hint="eastAsia" w:ascii="Times New Roman" w:hAnsi="宋体" w:eastAsia="宋体" w:cs="Times New Roman"/>
                <w:bCs/>
                <w:sz w:val="24"/>
              </w:rPr>
            </w:pPr>
            <w:r>
              <w:rPr>
                <w:rFonts w:ascii="Times New Roman" w:hAnsi="宋体" w:eastAsia="宋体" w:cs="Times New Roman"/>
                <w:bCs/>
                <w:sz w:val="24"/>
              </w:rPr>
              <w:t>⑨</w:t>
            </w:r>
            <w:r>
              <w:rPr>
                <w:rFonts w:hint="eastAsia" w:ascii="Times New Roman" w:hAnsi="宋体" w:eastAsia="宋体" w:cs="Times New Roman"/>
                <w:bCs/>
                <w:sz w:val="24"/>
              </w:rPr>
              <w:t>绿化用水</w:t>
            </w:r>
          </w:p>
          <w:p w14:paraId="4217F597">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本项目厂区绿化面积约为150m</w:t>
            </w:r>
            <w:r>
              <w:rPr>
                <w:rFonts w:hint="eastAsia" w:ascii="Times New Roman" w:hAnsi="宋体" w:eastAsia="宋体" w:cs="Times New Roman"/>
                <w:bCs/>
                <w:sz w:val="24"/>
                <w:vertAlign w:val="superscript"/>
              </w:rPr>
              <w:t>2</w:t>
            </w:r>
            <w:r>
              <w:rPr>
                <w:rFonts w:hint="eastAsia" w:ascii="Times New Roman" w:hAnsi="宋体" w:eastAsia="宋体" w:cs="Times New Roman"/>
                <w:bCs/>
                <w:sz w:val="24"/>
              </w:rPr>
              <w:t>，参照《建筑给水排水设计标准》（GB 50015-2019）中第3.2.3条，</w:t>
            </w:r>
            <w:r>
              <w:rPr>
                <w:rFonts w:ascii="Times New Roman" w:hAnsi="宋体" w:eastAsia="宋体" w:cs="Times New Roman"/>
                <w:bCs/>
                <w:sz w:val="24"/>
              </w:rPr>
              <w:t>绿化浇灌用水定额为</w:t>
            </w:r>
            <w:r>
              <w:rPr>
                <w:rFonts w:hint="eastAsia" w:ascii="Times New Roman" w:hAnsi="宋体" w:eastAsia="宋体" w:cs="Times New Roman"/>
                <w:bCs/>
                <w:sz w:val="24"/>
              </w:rPr>
              <w:t>1.0-3.0</w:t>
            </w:r>
            <w:r>
              <w:rPr>
                <w:rFonts w:ascii="Times New Roman" w:hAnsi="宋体" w:eastAsia="宋体" w:cs="Times New Roman"/>
                <w:bCs/>
                <w:sz w:val="24"/>
              </w:rPr>
              <w:t>L</w:t>
            </w:r>
            <w:r>
              <w:rPr>
                <w:rFonts w:hint="eastAsia" w:ascii="Times New Roman" w:hAnsi="宋体" w:eastAsia="宋体" w:cs="Times New Roman"/>
                <w:bCs/>
                <w:sz w:val="24"/>
              </w:rPr>
              <w:t>/（</w:t>
            </w:r>
            <w:r>
              <w:rPr>
                <w:rFonts w:ascii="Times New Roman" w:hAnsi="宋体" w:eastAsia="宋体" w:cs="Times New Roman"/>
                <w:bCs/>
                <w:sz w:val="24"/>
              </w:rPr>
              <w:t>m</w:t>
            </w:r>
            <w:r>
              <w:rPr>
                <w:rFonts w:ascii="Times New Roman" w:hAnsi="宋体" w:eastAsia="宋体" w:cs="Times New Roman"/>
                <w:bCs/>
                <w:sz w:val="24"/>
                <w:vertAlign w:val="superscript"/>
              </w:rPr>
              <w:t>2</w:t>
            </w:r>
            <w:r>
              <w:rPr>
                <w:rFonts w:ascii="Times New Roman" w:hAnsi="宋体" w:eastAsia="宋体" w:cs="Times New Roman"/>
                <w:bCs/>
                <w:sz w:val="24"/>
              </w:rPr>
              <w:t>·d</w:t>
            </w:r>
            <w:r>
              <w:rPr>
                <w:rFonts w:hint="eastAsia" w:ascii="Times New Roman" w:hAnsi="宋体" w:eastAsia="宋体" w:cs="Times New Roman"/>
                <w:bCs/>
                <w:sz w:val="24"/>
              </w:rPr>
              <w:t>），本次取1.5</w:t>
            </w:r>
            <w:r>
              <w:rPr>
                <w:rFonts w:ascii="Times New Roman" w:hAnsi="宋体" w:eastAsia="宋体" w:cs="Times New Roman"/>
                <w:bCs/>
                <w:sz w:val="24"/>
              </w:rPr>
              <w:t>L</w:t>
            </w:r>
            <w:r>
              <w:rPr>
                <w:rFonts w:hint="eastAsia" w:ascii="Times New Roman" w:hAnsi="宋体" w:eastAsia="宋体" w:cs="Times New Roman"/>
                <w:bCs/>
                <w:sz w:val="24"/>
              </w:rPr>
              <w:t>/（m</w:t>
            </w:r>
            <w:r>
              <w:rPr>
                <w:rFonts w:hint="eastAsia" w:ascii="Times New Roman" w:hAnsi="宋体" w:eastAsia="宋体" w:cs="Times New Roman"/>
                <w:bCs/>
                <w:sz w:val="24"/>
                <w:vertAlign w:val="superscript"/>
              </w:rPr>
              <w:t>2</w:t>
            </w:r>
            <w:r>
              <w:rPr>
                <w:rFonts w:hint="eastAsia" w:ascii="Times New Roman" w:hAnsi="宋体" w:eastAsia="宋体" w:cs="Times New Roman"/>
                <w:bCs/>
                <w:sz w:val="24"/>
              </w:rPr>
              <w:t>·d）</w:t>
            </w:r>
            <w:r>
              <w:rPr>
                <w:rFonts w:hint="eastAsia"/>
              </w:rPr>
              <w:t>，</w:t>
            </w:r>
            <w:r>
              <w:rPr>
                <w:rFonts w:ascii="Times New Roman" w:hAnsi="宋体" w:eastAsia="宋体" w:cs="Times New Roman"/>
                <w:bCs/>
                <w:sz w:val="24"/>
              </w:rPr>
              <w:t>年浇灌天数按150天计，则用水量为</w:t>
            </w:r>
            <w:r>
              <w:rPr>
                <w:rFonts w:hint="eastAsia" w:ascii="Times New Roman" w:hAnsi="宋体" w:eastAsia="宋体" w:cs="Times New Roman"/>
                <w:bCs/>
                <w:sz w:val="24"/>
              </w:rPr>
              <w:t>0.225m</w:t>
            </w:r>
            <w:r>
              <w:rPr>
                <w:rFonts w:hint="eastAsia" w:ascii="Times New Roman" w:hAnsi="宋体" w:eastAsia="宋体" w:cs="Times New Roman"/>
                <w:bCs/>
                <w:sz w:val="24"/>
                <w:vertAlign w:val="superscript"/>
              </w:rPr>
              <w:t>3</w:t>
            </w:r>
            <w:r>
              <w:rPr>
                <w:rFonts w:hint="eastAsia" w:ascii="Times New Roman" w:hAnsi="宋体" w:eastAsia="宋体" w:cs="Times New Roman"/>
                <w:bCs/>
                <w:sz w:val="24"/>
              </w:rPr>
              <w:t>/d，33.75</w:t>
            </w:r>
            <w:r>
              <w:rPr>
                <w:rFonts w:ascii="Times New Roman" w:hAnsi="宋体" w:eastAsia="宋体" w:cs="Times New Roman"/>
                <w:bCs/>
                <w:sz w:val="24"/>
              </w:rPr>
              <w:t>m</w:t>
            </w:r>
            <w:r>
              <w:rPr>
                <w:rFonts w:ascii="Times New Roman" w:hAnsi="宋体" w:eastAsia="宋体" w:cs="Times New Roman"/>
                <w:bCs/>
                <w:sz w:val="24"/>
                <w:vertAlign w:val="superscript"/>
              </w:rPr>
              <w:t>3</w:t>
            </w:r>
            <w:r>
              <w:rPr>
                <w:rFonts w:ascii="Times New Roman" w:hAnsi="宋体" w:eastAsia="宋体" w:cs="Times New Roman"/>
                <w:bCs/>
                <w:sz w:val="24"/>
              </w:rPr>
              <w:t>/</w:t>
            </w:r>
            <w:r>
              <w:rPr>
                <w:rFonts w:hint="eastAsia" w:ascii="Times New Roman" w:hAnsi="宋体" w:eastAsia="宋体" w:cs="Times New Roman"/>
                <w:bCs/>
                <w:sz w:val="24"/>
              </w:rPr>
              <w:t>a。</w:t>
            </w:r>
            <w:r>
              <w:rPr>
                <w:rFonts w:ascii="Times New Roman" w:hAnsi="宋体" w:eastAsia="宋体" w:cs="Times New Roman"/>
                <w:bCs/>
                <w:sz w:val="24"/>
              </w:rPr>
              <w:t>此部分用水全部蒸发/植物吸收</w:t>
            </w:r>
            <w:r>
              <w:rPr>
                <w:rFonts w:hint="eastAsia" w:ascii="Times New Roman" w:hAnsi="宋体" w:eastAsia="宋体" w:cs="Times New Roman"/>
                <w:bCs/>
                <w:sz w:val="24"/>
              </w:rPr>
              <w:t>，无</w:t>
            </w:r>
            <w:r>
              <w:rPr>
                <w:rFonts w:ascii="Times New Roman" w:hAnsi="宋体" w:eastAsia="宋体" w:cs="Times New Roman"/>
                <w:bCs/>
                <w:sz w:val="24"/>
              </w:rPr>
              <w:t>外排。</w:t>
            </w:r>
          </w:p>
          <w:p w14:paraId="2C35690A">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(2)排水系统分析</w:t>
            </w:r>
          </w:p>
          <w:p w14:paraId="180B6D8A">
            <w:pPr>
              <w:widowControl/>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综上计算，本项目循环水量86586.16m</w:t>
            </w:r>
            <w:r>
              <w:rPr>
                <w:rFonts w:hint="eastAsia" w:ascii="Times New Roman" w:hAnsi="Times New Roman" w:eastAsia="宋体" w:cs="Times New Roman"/>
                <w:sz w:val="24"/>
                <w:vertAlign w:val="superscript"/>
              </w:rPr>
              <w:t>3</w:t>
            </w:r>
            <w:r>
              <w:rPr>
                <w:rFonts w:hint="eastAsia" w:ascii="Times New Roman" w:hAnsi="Times New Roman" w:eastAsia="宋体" w:cs="Times New Roman"/>
                <w:sz w:val="24"/>
              </w:rPr>
              <w:t>/a，损耗水量为3693.08m</w:t>
            </w:r>
            <w:r>
              <w:rPr>
                <w:rFonts w:hint="eastAsia" w:ascii="Times New Roman" w:hAnsi="Times New Roman" w:eastAsia="宋体" w:cs="Times New Roman"/>
                <w:sz w:val="24"/>
                <w:vertAlign w:val="superscript"/>
              </w:rPr>
              <w:t>3</w:t>
            </w:r>
            <w:r>
              <w:rPr>
                <w:rFonts w:hint="eastAsia" w:ascii="Times New Roman" w:hAnsi="Times New Roman" w:eastAsia="宋体" w:cs="Times New Roman"/>
                <w:sz w:val="24"/>
              </w:rPr>
              <w:t>/a，排水量为68.4m</w:t>
            </w:r>
            <w:r>
              <w:rPr>
                <w:rFonts w:hint="eastAsia" w:ascii="Times New Roman" w:hAnsi="Times New Roman" w:eastAsia="宋体" w:cs="Times New Roman"/>
                <w:sz w:val="24"/>
                <w:vertAlign w:val="superscript"/>
              </w:rPr>
              <w:t>3</w:t>
            </w:r>
            <w:r>
              <w:rPr>
                <w:rFonts w:hint="eastAsia" w:ascii="Times New Roman" w:hAnsi="Times New Roman" w:eastAsia="宋体" w:cs="Times New Roman"/>
                <w:sz w:val="24"/>
              </w:rPr>
              <w:t>/a（生活污水、食堂废水）。</w:t>
            </w:r>
          </w:p>
          <w:p w14:paraId="097616DC">
            <w:pPr>
              <w:widowControl/>
              <w:wordWrap w:val="0"/>
              <w:topLinePunct/>
              <w:spacing w:line="360" w:lineRule="auto"/>
              <w:ind w:firstLine="480" w:firstLineChars="200"/>
              <w:rPr>
                <w:rFonts w:ascii="Times New Roman" w:hAnsi="Times New Roman" w:eastAsia="宋体" w:cs="Times New Roman"/>
                <w:color w:val="0000FF"/>
                <w:sz w:val="24"/>
              </w:rPr>
            </w:pPr>
            <w:r>
              <w:rPr>
                <w:rFonts w:hint="eastAsia" w:ascii="Times New Roman" w:hAnsi="Times New Roman" w:eastAsia="宋体" w:cs="Times New Roman"/>
                <w:sz w:val="24"/>
              </w:rPr>
              <w:t>本项目降尘用水、绿化用水全部蒸发损耗；配料用水全部进入产品；车辆冲洗废水经沉淀池沉淀后循环利用，无外排生产废水；洗涤塔用水经沉淀后循环利用，产生的废液、焦油渣作为危险废物委托处置；</w:t>
            </w:r>
            <w:r>
              <w:rPr>
                <w:rFonts w:hint="eastAsia" w:ascii="Times New Roman" w:hAnsi="Times New Roman" w:eastAsia="宋体" w:cs="Times New Roman"/>
                <w:color w:val="0000FF"/>
                <w:sz w:val="24"/>
              </w:rPr>
              <w:t>本项目产生的生活污水（含食堂废水）经隔油池</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化粪池预处理后，</w:t>
            </w:r>
            <w:r>
              <w:rPr>
                <w:rFonts w:hint="eastAsia" w:ascii="Times New Roman" w:hAnsi="Times New Roman" w:eastAsia="宋体" w:cs="Times New Roman"/>
                <w:color w:val="0000FF"/>
                <w:sz w:val="24"/>
                <w:lang w:val="en-US" w:eastAsia="zh-CN"/>
              </w:rPr>
              <w:t>暂</w:t>
            </w:r>
            <w:r>
              <w:rPr>
                <w:rFonts w:hint="eastAsia" w:ascii="Times New Roman" w:hAnsi="Times New Roman" w:eastAsia="宋体" w:cs="Times New Roman"/>
                <w:color w:val="0000FF"/>
                <w:sz w:val="24"/>
              </w:rPr>
              <w:t>定期委托专业吸污车进行抽吸清运，</w:t>
            </w:r>
            <w:r>
              <w:rPr>
                <w:rFonts w:hint="eastAsia" w:ascii="Times New Roman" w:hAnsi="Times New Roman" w:eastAsia="宋体" w:cs="Times New Roman"/>
                <w:color w:val="0000FF"/>
                <w:sz w:val="24"/>
                <w:lang w:val="en-US" w:eastAsia="zh-CN"/>
              </w:rPr>
              <w:t>并跟踪去向</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待凹凸棒石初级加工园区污水处理厂投入</w:t>
            </w:r>
            <w:r>
              <w:rPr>
                <w:rFonts w:hint="eastAsia" w:ascii="Times New Roman" w:hAnsi="Times New Roman" w:eastAsia="宋体" w:cs="Times New Roman"/>
                <w:color w:val="0000FF"/>
                <w:sz w:val="24"/>
                <w:lang w:val="en-US" w:eastAsia="zh-CN"/>
              </w:rPr>
              <w:t>稳定</w:t>
            </w:r>
            <w:r>
              <w:rPr>
                <w:rFonts w:hint="eastAsia" w:ascii="Times New Roman" w:hAnsi="Times New Roman" w:eastAsia="宋体" w:cs="Times New Roman"/>
                <w:color w:val="0000FF"/>
                <w:sz w:val="24"/>
              </w:rPr>
              <w:t>运行后，排入该污水处理厂进行处理。</w:t>
            </w:r>
          </w:p>
          <w:p w14:paraId="1257B397">
            <w:pPr>
              <w:widowControl/>
              <w:wordWrap w:val="0"/>
              <w:topLinePunct/>
              <w:spacing w:line="360" w:lineRule="auto"/>
              <w:ind w:firstLine="480" w:firstLineChars="200"/>
              <w:rPr>
                <w:rFonts w:ascii="Times New Roman" w:hAnsi="Times New Roman" w:eastAsia="宋体" w:cs="Times New Roman"/>
                <w:sz w:val="24"/>
                <w:lang w:val="zh-CN"/>
              </w:rPr>
            </w:pPr>
            <w:r>
              <w:rPr>
                <w:rFonts w:hint="eastAsia" w:ascii="Times New Roman" w:hAnsi="Times New Roman" w:eastAsia="宋体" w:cs="Times New Roman"/>
                <w:sz w:val="24"/>
                <w:lang w:val="zh-CN"/>
              </w:rPr>
              <w:t>本项目水平衡详见表2-</w:t>
            </w:r>
            <w:r>
              <w:rPr>
                <w:rFonts w:hint="eastAsia" w:ascii="Times New Roman" w:hAnsi="Times New Roman" w:eastAsia="宋体" w:cs="Times New Roman"/>
                <w:sz w:val="24"/>
              </w:rPr>
              <w:t>8</w:t>
            </w:r>
            <w:r>
              <w:rPr>
                <w:rFonts w:hint="eastAsia" w:ascii="Times New Roman" w:hAnsi="Times New Roman" w:eastAsia="宋体" w:cs="Times New Roman"/>
                <w:sz w:val="24"/>
                <w:lang w:val="zh-CN"/>
              </w:rPr>
              <w:t>，项目水平衡图详见2-1。</w:t>
            </w:r>
          </w:p>
          <w:p w14:paraId="49916E23">
            <w:pPr>
              <w:widowControl/>
              <w:wordWrap w:val="0"/>
              <w:topLinePunct/>
              <w:spacing w:line="360" w:lineRule="auto"/>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表2-8 水平衡一览表</w:t>
            </w:r>
          </w:p>
          <w:tbl>
            <w:tblPr>
              <w:tblStyle w:val="28"/>
              <w:tblW w:w="7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
              <w:gridCol w:w="1121"/>
              <w:gridCol w:w="951"/>
              <w:gridCol w:w="971"/>
              <w:gridCol w:w="964"/>
              <w:gridCol w:w="971"/>
              <w:gridCol w:w="999"/>
              <w:gridCol w:w="1587"/>
            </w:tblGrid>
            <w:tr w14:paraId="57F8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blHeader/>
                <w:jc w:val="center"/>
              </w:trPr>
              <w:tc>
                <w:tcPr>
                  <w:tcW w:w="961" w:type="pct"/>
                  <w:gridSpan w:val="2"/>
                  <w:tcBorders>
                    <w:tl2br w:val="nil"/>
                    <w:tr2bl w:val="nil"/>
                  </w:tcBorders>
                  <w:vAlign w:val="center"/>
                </w:tcPr>
                <w:p w14:paraId="6B3B1D16">
                  <w:pPr>
                    <w:jc w:val="center"/>
                    <w:rPr>
                      <w:rFonts w:ascii="Times New Roman" w:hAnsi="Times New Roman" w:eastAsia="宋体" w:cs="Times New Roman"/>
                      <w:b/>
                      <w:color w:val="FF0000"/>
                      <w:szCs w:val="21"/>
                    </w:rPr>
                  </w:pPr>
                  <w:r>
                    <w:rPr>
                      <w:rFonts w:hint="eastAsia" w:ascii="Times New Roman" w:hAnsi="Times New Roman" w:eastAsia="宋体" w:cs="Times New Roman"/>
                      <w:b/>
                      <w:color w:val="000000" w:themeColor="text1"/>
                      <w:szCs w:val="21"/>
                      <w14:textFill>
                        <w14:solidFill>
                          <w14:schemeClr w14:val="tx1"/>
                        </w14:solidFill>
                      </w14:textFill>
                    </w:rPr>
                    <w:t>用水环节</w:t>
                  </w:r>
                </w:p>
              </w:tc>
              <w:tc>
                <w:tcPr>
                  <w:tcW w:w="593" w:type="pct"/>
                  <w:tcBorders>
                    <w:tl2br w:val="nil"/>
                    <w:tr2bl w:val="nil"/>
                  </w:tcBorders>
                  <w:vAlign w:val="center"/>
                </w:tcPr>
                <w:p w14:paraId="55D7D62B">
                  <w:pPr>
                    <w:jc w:val="center"/>
                    <w:rPr>
                      <w:rFonts w:ascii="Times New Roman" w:hAnsi="Times New Roman" w:eastAsia="宋体" w:cs="Times New Roman"/>
                      <w:b/>
                      <w:szCs w:val="21"/>
                    </w:rPr>
                  </w:pPr>
                  <w:r>
                    <w:rPr>
                      <w:rFonts w:hint="eastAsia" w:ascii="Times New Roman" w:hAnsi="Times New Roman" w:eastAsia="宋体" w:cs="Times New Roman"/>
                      <w:b/>
                      <w:szCs w:val="21"/>
                    </w:rPr>
                    <w:t>总用</w:t>
                  </w:r>
                </w:p>
                <w:p w14:paraId="54400F27">
                  <w:pPr>
                    <w:jc w:val="center"/>
                    <w:rPr>
                      <w:rFonts w:ascii="Times New Roman" w:hAnsi="Times New Roman" w:eastAsia="宋体" w:cs="Times New Roman"/>
                      <w:b/>
                      <w:szCs w:val="21"/>
                    </w:rPr>
                  </w:pPr>
                  <w:r>
                    <w:rPr>
                      <w:rFonts w:hint="eastAsia" w:ascii="Times New Roman" w:hAnsi="Times New Roman" w:eastAsia="宋体" w:cs="Times New Roman"/>
                      <w:b/>
                      <w:szCs w:val="21"/>
                    </w:rPr>
                    <w:t>水量（m</w:t>
                  </w:r>
                  <w:r>
                    <w:rPr>
                      <w:rFonts w:hint="eastAsia" w:ascii="Times New Roman" w:hAnsi="Times New Roman" w:eastAsia="宋体" w:cs="Times New Roman"/>
                      <w:b/>
                      <w:szCs w:val="21"/>
                      <w:vertAlign w:val="superscript"/>
                    </w:rPr>
                    <w:t>3</w:t>
                  </w:r>
                  <w:r>
                    <w:rPr>
                      <w:rFonts w:hint="eastAsia" w:ascii="Times New Roman" w:hAnsi="Times New Roman" w:eastAsia="宋体" w:cs="Times New Roman"/>
                      <w:b/>
                      <w:szCs w:val="21"/>
                    </w:rPr>
                    <w:t>/a）</w:t>
                  </w:r>
                </w:p>
              </w:tc>
              <w:tc>
                <w:tcPr>
                  <w:tcW w:w="609" w:type="pct"/>
                  <w:tcBorders>
                    <w:tl2br w:val="nil"/>
                    <w:tr2bl w:val="nil"/>
                  </w:tcBorders>
                  <w:vAlign w:val="center"/>
                </w:tcPr>
                <w:p w14:paraId="38923BB6">
                  <w:pPr>
                    <w:jc w:val="center"/>
                    <w:rPr>
                      <w:rFonts w:ascii="Times New Roman" w:hAnsi="Times New Roman" w:eastAsia="宋体" w:cs="Times New Roman"/>
                      <w:b/>
                      <w:szCs w:val="21"/>
                    </w:rPr>
                  </w:pPr>
                  <w:r>
                    <w:rPr>
                      <w:rFonts w:hint="eastAsia" w:ascii="Times New Roman" w:hAnsi="Times New Roman" w:eastAsia="宋体" w:cs="Times New Roman"/>
                      <w:b/>
                      <w:szCs w:val="21"/>
                    </w:rPr>
                    <w:t>新鲜水用量</w:t>
                  </w:r>
                </w:p>
                <w:p w14:paraId="5D098836">
                  <w:pPr>
                    <w:jc w:val="center"/>
                    <w:rPr>
                      <w:rFonts w:ascii="Times New Roman" w:hAnsi="Times New Roman" w:eastAsia="宋体" w:cs="Times New Roman"/>
                      <w:b/>
                      <w:szCs w:val="21"/>
                    </w:rPr>
                  </w:pPr>
                  <w:r>
                    <w:rPr>
                      <w:rFonts w:hint="eastAsia" w:ascii="Times New Roman" w:hAnsi="Times New Roman" w:eastAsia="宋体" w:cs="Times New Roman"/>
                      <w:b/>
                      <w:szCs w:val="21"/>
                    </w:rPr>
                    <w:t>（m</w:t>
                  </w:r>
                  <w:r>
                    <w:rPr>
                      <w:rFonts w:hint="eastAsia" w:ascii="Times New Roman" w:hAnsi="Times New Roman" w:eastAsia="宋体" w:cs="Times New Roman"/>
                      <w:b/>
                      <w:szCs w:val="21"/>
                      <w:vertAlign w:val="superscript"/>
                    </w:rPr>
                    <w:t>3</w:t>
                  </w:r>
                  <w:r>
                    <w:rPr>
                      <w:rFonts w:hint="eastAsia" w:ascii="Times New Roman" w:hAnsi="Times New Roman" w:eastAsia="宋体" w:cs="Times New Roman"/>
                      <w:b/>
                      <w:szCs w:val="21"/>
                    </w:rPr>
                    <w:t>/a）</w:t>
                  </w:r>
                </w:p>
              </w:tc>
              <w:tc>
                <w:tcPr>
                  <w:tcW w:w="601" w:type="pct"/>
                  <w:tcBorders>
                    <w:tl2br w:val="nil"/>
                    <w:tr2bl w:val="nil"/>
                  </w:tcBorders>
                  <w:vAlign w:val="center"/>
                </w:tcPr>
                <w:p w14:paraId="51BB6A50">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循环</w:t>
                  </w:r>
                </w:p>
                <w:p w14:paraId="1DEA7214">
                  <w:pPr>
                    <w:jc w:val="center"/>
                    <w:rPr>
                      <w:rFonts w:ascii="Times New Roman" w:hAnsi="Times New Roman" w:eastAsia="宋体" w:cs="Times New Roman"/>
                      <w:b/>
                      <w:color w:val="FF0000"/>
                      <w:szCs w:val="21"/>
                    </w:rPr>
                  </w:pPr>
                  <w:r>
                    <w:rPr>
                      <w:rFonts w:hint="eastAsia" w:ascii="Times New Roman" w:hAnsi="Times New Roman" w:eastAsia="宋体" w:cs="Times New Roman"/>
                      <w:b/>
                      <w:color w:val="000000" w:themeColor="text1"/>
                      <w:szCs w:val="21"/>
                      <w14:textFill>
                        <w14:solidFill>
                          <w14:schemeClr w14:val="tx1"/>
                        </w14:solidFill>
                      </w14:textFill>
                    </w:rPr>
                    <w:t>水量（m</w:t>
                  </w:r>
                  <w:r>
                    <w:rPr>
                      <w:rFonts w:hint="eastAsia" w:ascii="Times New Roman" w:hAnsi="Times New Roman" w:eastAsia="宋体" w:cs="Times New Roman"/>
                      <w:b/>
                      <w:color w:val="000000" w:themeColor="text1"/>
                      <w:szCs w:val="21"/>
                      <w:vertAlign w:val="superscript"/>
                      <w14:textFill>
                        <w14:solidFill>
                          <w14:schemeClr w14:val="tx1"/>
                        </w14:solidFill>
                      </w14:textFill>
                    </w:rPr>
                    <w:t>3</w:t>
                  </w:r>
                  <w:r>
                    <w:rPr>
                      <w:rFonts w:hint="eastAsia" w:ascii="Times New Roman" w:hAnsi="Times New Roman" w:eastAsia="宋体" w:cs="Times New Roman"/>
                      <w:b/>
                      <w:color w:val="000000" w:themeColor="text1"/>
                      <w:szCs w:val="21"/>
                      <w14:textFill>
                        <w14:solidFill>
                          <w14:schemeClr w14:val="tx1"/>
                        </w14:solidFill>
                      </w14:textFill>
                    </w:rPr>
                    <w:t>/a）</w:t>
                  </w:r>
                </w:p>
              </w:tc>
              <w:tc>
                <w:tcPr>
                  <w:tcW w:w="609" w:type="pct"/>
                  <w:tcBorders>
                    <w:tl2br w:val="nil"/>
                    <w:tr2bl w:val="nil"/>
                  </w:tcBorders>
                  <w:vAlign w:val="center"/>
                </w:tcPr>
                <w:p w14:paraId="46273C23">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损耗</w:t>
                  </w:r>
                </w:p>
                <w:p w14:paraId="6A3AE081">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水量</w:t>
                  </w:r>
                </w:p>
                <w:p w14:paraId="6FC3B43D">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（m</w:t>
                  </w:r>
                  <w:r>
                    <w:rPr>
                      <w:rFonts w:hint="eastAsia" w:ascii="Times New Roman" w:hAnsi="Times New Roman" w:eastAsia="宋体" w:cs="Times New Roman"/>
                      <w:b/>
                      <w:color w:val="000000" w:themeColor="text1"/>
                      <w:szCs w:val="21"/>
                      <w:vertAlign w:val="superscript"/>
                      <w14:textFill>
                        <w14:solidFill>
                          <w14:schemeClr w14:val="tx1"/>
                        </w14:solidFill>
                      </w14:textFill>
                    </w:rPr>
                    <w:t>3</w:t>
                  </w:r>
                  <w:r>
                    <w:rPr>
                      <w:rFonts w:hint="eastAsia" w:ascii="Times New Roman" w:hAnsi="Times New Roman" w:eastAsia="宋体" w:cs="Times New Roman"/>
                      <w:b/>
                      <w:color w:val="000000" w:themeColor="text1"/>
                      <w:szCs w:val="21"/>
                      <w14:textFill>
                        <w14:solidFill>
                          <w14:schemeClr w14:val="tx1"/>
                        </w14:solidFill>
                      </w14:textFill>
                    </w:rPr>
                    <w:t>/a）</w:t>
                  </w:r>
                </w:p>
              </w:tc>
              <w:tc>
                <w:tcPr>
                  <w:tcW w:w="626" w:type="pct"/>
                  <w:tcBorders>
                    <w:tl2br w:val="nil"/>
                    <w:tr2bl w:val="nil"/>
                  </w:tcBorders>
                  <w:vAlign w:val="center"/>
                </w:tcPr>
                <w:p w14:paraId="41E68045">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排水量</w:t>
                  </w:r>
                </w:p>
                <w:p w14:paraId="42D3B780">
                  <w:pPr>
                    <w:jc w:val="center"/>
                    <w:rPr>
                      <w:rFonts w:ascii="Times New Roman" w:hAnsi="Times New Roman" w:eastAsia="宋体" w:cs="Times New Roman"/>
                      <w:b/>
                      <w:color w:val="FF0000"/>
                      <w:szCs w:val="21"/>
                    </w:rPr>
                  </w:pPr>
                  <w:r>
                    <w:rPr>
                      <w:rFonts w:hint="eastAsia" w:ascii="Times New Roman" w:hAnsi="Times New Roman" w:eastAsia="宋体" w:cs="Times New Roman"/>
                      <w:b/>
                      <w:color w:val="000000" w:themeColor="text1"/>
                      <w:szCs w:val="21"/>
                      <w14:textFill>
                        <w14:solidFill>
                          <w14:schemeClr w14:val="tx1"/>
                        </w14:solidFill>
                      </w14:textFill>
                    </w:rPr>
                    <w:t>（m</w:t>
                  </w:r>
                  <w:r>
                    <w:rPr>
                      <w:rFonts w:hint="eastAsia" w:ascii="Times New Roman" w:hAnsi="Times New Roman" w:eastAsia="宋体" w:cs="Times New Roman"/>
                      <w:b/>
                      <w:color w:val="000000" w:themeColor="text1"/>
                      <w:szCs w:val="21"/>
                      <w:vertAlign w:val="superscript"/>
                      <w14:textFill>
                        <w14:solidFill>
                          <w14:schemeClr w14:val="tx1"/>
                        </w14:solidFill>
                      </w14:textFill>
                    </w:rPr>
                    <w:t>3</w:t>
                  </w:r>
                  <w:r>
                    <w:rPr>
                      <w:rFonts w:hint="eastAsia" w:ascii="Times New Roman" w:hAnsi="Times New Roman" w:eastAsia="宋体" w:cs="Times New Roman"/>
                      <w:b/>
                      <w:color w:val="000000" w:themeColor="text1"/>
                      <w:szCs w:val="21"/>
                      <w14:textFill>
                        <w14:solidFill>
                          <w14:schemeClr w14:val="tx1"/>
                        </w14:solidFill>
                      </w14:textFill>
                    </w:rPr>
                    <w:t>/a）</w:t>
                  </w:r>
                </w:p>
              </w:tc>
              <w:tc>
                <w:tcPr>
                  <w:tcW w:w="996" w:type="pct"/>
                  <w:tcBorders>
                    <w:tl2br w:val="nil"/>
                    <w:tr2bl w:val="nil"/>
                  </w:tcBorders>
                  <w:vAlign w:val="center"/>
                </w:tcPr>
                <w:p w14:paraId="4F337A92">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备注/</w:t>
                  </w:r>
                </w:p>
                <w:p w14:paraId="04F2216A">
                  <w:pPr>
                    <w:jc w:val="center"/>
                    <w:rPr>
                      <w:rFonts w:ascii="Times New Roman" w:hAnsi="Times New Roman" w:eastAsia="宋体" w:cs="Times New Roman"/>
                      <w:b/>
                      <w:color w:val="FF0000"/>
                      <w:szCs w:val="21"/>
                    </w:rPr>
                  </w:pPr>
                  <w:r>
                    <w:rPr>
                      <w:rFonts w:hint="eastAsia" w:ascii="Times New Roman" w:hAnsi="Times New Roman" w:eastAsia="宋体" w:cs="Times New Roman"/>
                      <w:b/>
                      <w:color w:val="000000" w:themeColor="text1"/>
                      <w:szCs w:val="21"/>
                      <w14:textFill>
                        <w14:solidFill>
                          <w14:schemeClr w14:val="tx1"/>
                        </w14:solidFill>
                      </w14:textFill>
                    </w:rPr>
                    <w:t>去向</w:t>
                  </w:r>
                </w:p>
              </w:tc>
            </w:tr>
            <w:tr w14:paraId="0DDAE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1" w:type="pct"/>
                  <w:gridSpan w:val="2"/>
                  <w:tcBorders>
                    <w:tl2br w:val="nil"/>
                    <w:tr2bl w:val="nil"/>
                  </w:tcBorders>
                  <w:vAlign w:val="center"/>
                </w:tcPr>
                <w:p w14:paraId="739F1C93">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职工生活</w:t>
                  </w:r>
                </w:p>
                <w:p w14:paraId="3A181B8E">
                  <w:pPr>
                    <w:jc w:val="center"/>
                    <w:rPr>
                      <w:rFonts w:ascii="Times New Roman" w:hAnsi="Times New Roman" w:eastAsia="宋体" w:cs="Times New Roman"/>
                      <w:bCs/>
                      <w:color w:val="FF0000"/>
                      <w:szCs w:val="21"/>
                    </w:rPr>
                  </w:pPr>
                  <w:r>
                    <w:rPr>
                      <w:rFonts w:hint="eastAsia" w:ascii="Times New Roman" w:hAnsi="Times New Roman" w:eastAsia="宋体" w:cs="Times New Roman"/>
                      <w:b/>
                      <w:color w:val="000000" w:themeColor="text1"/>
                      <w:szCs w:val="21"/>
                      <w14:textFill>
                        <w14:solidFill>
                          <w14:schemeClr w14:val="tx1"/>
                        </w14:solidFill>
                      </w14:textFill>
                    </w:rPr>
                    <w:t>用水</w:t>
                  </w:r>
                </w:p>
              </w:tc>
              <w:tc>
                <w:tcPr>
                  <w:tcW w:w="593" w:type="pct"/>
                  <w:tcBorders>
                    <w:tl2br w:val="nil"/>
                    <w:tr2bl w:val="nil"/>
                  </w:tcBorders>
                  <w:vAlign w:val="center"/>
                </w:tcPr>
                <w:p w14:paraId="49E5DCA5">
                  <w:pPr>
                    <w:jc w:val="center"/>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72</w:t>
                  </w:r>
                </w:p>
              </w:tc>
              <w:tc>
                <w:tcPr>
                  <w:tcW w:w="609" w:type="pct"/>
                  <w:tcBorders>
                    <w:tl2br w:val="nil"/>
                    <w:tr2bl w:val="nil"/>
                  </w:tcBorders>
                  <w:vAlign w:val="center"/>
                </w:tcPr>
                <w:p w14:paraId="124E796A">
                  <w:pPr>
                    <w:jc w:val="center"/>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72</w:t>
                  </w:r>
                </w:p>
              </w:tc>
              <w:tc>
                <w:tcPr>
                  <w:tcW w:w="601" w:type="pct"/>
                  <w:tcBorders>
                    <w:tl2br w:val="nil"/>
                    <w:tr2bl w:val="nil"/>
                  </w:tcBorders>
                  <w:vAlign w:val="center"/>
                </w:tcPr>
                <w:p w14:paraId="67949852">
                  <w:pPr>
                    <w:jc w:val="center"/>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0</w:t>
                  </w:r>
                </w:p>
              </w:tc>
              <w:tc>
                <w:tcPr>
                  <w:tcW w:w="609" w:type="pct"/>
                  <w:tcBorders>
                    <w:tl2br w:val="nil"/>
                    <w:tr2bl w:val="nil"/>
                  </w:tcBorders>
                  <w:vAlign w:val="center"/>
                </w:tcPr>
                <w:p w14:paraId="4AA46033">
                  <w:pPr>
                    <w:jc w:val="center"/>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14.4</w:t>
                  </w:r>
                </w:p>
              </w:tc>
              <w:tc>
                <w:tcPr>
                  <w:tcW w:w="626" w:type="pct"/>
                  <w:tcBorders>
                    <w:tl2br w:val="nil"/>
                    <w:tr2bl w:val="nil"/>
                  </w:tcBorders>
                  <w:vAlign w:val="center"/>
                </w:tcPr>
                <w:p w14:paraId="1F0B5946">
                  <w:pPr>
                    <w:jc w:val="center"/>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57.6</w:t>
                  </w:r>
                </w:p>
              </w:tc>
              <w:tc>
                <w:tcPr>
                  <w:tcW w:w="996" w:type="pct"/>
                  <w:vMerge w:val="restart"/>
                  <w:tcBorders>
                    <w:tl2br w:val="nil"/>
                    <w:tr2bl w:val="nil"/>
                  </w:tcBorders>
                  <w:vAlign w:val="center"/>
                </w:tcPr>
                <w:p w14:paraId="116C969E">
                  <w:pPr>
                    <w:wordWrap w:val="0"/>
                    <w:topLinePunct/>
                    <w:jc w:val="center"/>
                    <w:rPr>
                      <w:rFonts w:ascii="Times New Roman" w:hAnsi="Times New Roman" w:eastAsia="宋体" w:cs="Times New Roman"/>
                      <w:bCs/>
                      <w:color w:val="auto"/>
                      <w:szCs w:val="21"/>
                    </w:rPr>
                  </w:pPr>
                  <w:r>
                    <w:rPr>
                      <w:rFonts w:hint="eastAsia" w:ascii="Times New Roman" w:hAnsi="Times New Roman" w:eastAsia="宋体" w:cs="Times New Roman"/>
                      <w:bCs/>
                      <w:color w:val="0000FF"/>
                      <w:szCs w:val="21"/>
                    </w:rPr>
                    <w:t>经隔油池</w:t>
                  </w:r>
                  <w:r>
                    <w:rPr>
                      <w:rFonts w:hint="eastAsia" w:ascii="Times New Roman" w:hAnsi="Times New Roman" w:eastAsia="宋体" w:cs="Times New Roman"/>
                      <w:bCs/>
                      <w:color w:val="0000FF"/>
                      <w:szCs w:val="21"/>
                      <w:lang w:eastAsia="zh-CN"/>
                    </w:rPr>
                    <w:t>、</w:t>
                  </w:r>
                  <w:r>
                    <w:rPr>
                      <w:rFonts w:hint="eastAsia" w:ascii="Times New Roman" w:hAnsi="Times New Roman" w:eastAsia="宋体" w:cs="Times New Roman"/>
                      <w:bCs/>
                      <w:color w:val="0000FF"/>
                      <w:szCs w:val="21"/>
                    </w:rPr>
                    <w:t>化粪池预处理后，</w:t>
                  </w:r>
                  <w:r>
                    <w:rPr>
                      <w:rFonts w:hint="eastAsia" w:ascii="Times New Roman" w:hAnsi="Times New Roman" w:eastAsia="宋体" w:cs="Times New Roman"/>
                      <w:bCs/>
                      <w:color w:val="0000FF"/>
                      <w:szCs w:val="21"/>
                      <w:lang w:val="en-US" w:eastAsia="zh-CN"/>
                    </w:rPr>
                    <w:t>暂</w:t>
                  </w:r>
                  <w:r>
                    <w:rPr>
                      <w:rFonts w:hint="eastAsia" w:ascii="Times New Roman" w:hAnsi="Times New Roman" w:eastAsia="宋体" w:cs="Times New Roman"/>
                      <w:bCs/>
                      <w:color w:val="0000FF"/>
                      <w:szCs w:val="21"/>
                    </w:rPr>
                    <w:t>定期委托专业吸污车进行抽吸清运，</w:t>
                  </w:r>
                  <w:r>
                    <w:rPr>
                      <w:rFonts w:hint="eastAsia" w:ascii="Times New Roman" w:hAnsi="Times New Roman" w:eastAsia="宋体" w:cs="Times New Roman"/>
                      <w:bCs/>
                      <w:color w:val="0000FF"/>
                      <w:szCs w:val="21"/>
                      <w:lang w:val="en-US" w:eastAsia="zh-CN"/>
                    </w:rPr>
                    <w:t>并跟踪去向</w:t>
                  </w:r>
                  <w:r>
                    <w:rPr>
                      <w:rFonts w:hint="eastAsia" w:ascii="Times New Roman" w:hAnsi="Times New Roman" w:eastAsia="宋体" w:cs="Times New Roman"/>
                      <w:bCs/>
                      <w:color w:val="0000FF"/>
                      <w:szCs w:val="21"/>
                      <w:lang w:eastAsia="zh-CN"/>
                    </w:rPr>
                    <w:t>，</w:t>
                  </w:r>
                  <w:r>
                    <w:rPr>
                      <w:rFonts w:hint="eastAsia" w:ascii="Times New Roman" w:hAnsi="Times New Roman" w:eastAsia="宋体" w:cs="Times New Roman"/>
                      <w:bCs/>
                      <w:color w:val="0000FF"/>
                      <w:szCs w:val="21"/>
                    </w:rPr>
                    <w:t>待凹凸棒石初级加工园区污水处理厂投入</w:t>
                  </w:r>
                  <w:r>
                    <w:rPr>
                      <w:rFonts w:hint="eastAsia" w:ascii="Times New Roman" w:hAnsi="Times New Roman" w:eastAsia="宋体" w:cs="Times New Roman"/>
                      <w:bCs/>
                      <w:color w:val="0000FF"/>
                      <w:szCs w:val="21"/>
                      <w:lang w:val="en-US" w:eastAsia="zh-CN"/>
                    </w:rPr>
                    <w:t>稳定</w:t>
                  </w:r>
                  <w:r>
                    <w:rPr>
                      <w:rFonts w:hint="eastAsia" w:ascii="Times New Roman" w:hAnsi="Times New Roman" w:eastAsia="宋体" w:cs="Times New Roman"/>
                      <w:bCs/>
                      <w:color w:val="0000FF"/>
                      <w:szCs w:val="21"/>
                    </w:rPr>
                    <w:t>运行后，排入该污水处理厂进行处理；</w:t>
                  </w:r>
                </w:p>
              </w:tc>
            </w:tr>
            <w:tr w14:paraId="330C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61" w:type="pct"/>
                  <w:gridSpan w:val="2"/>
                  <w:tcBorders>
                    <w:tl2br w:val="nil"/>
                    <w:tr2bl w:val="nil"/>
                  </w:tcBorders>
                  <w:vAlign w:val="center"/>
                </w:tcPr>
                <w:p w14:paraId="225435A6">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食堂用水</w:t>
                  </w:r>
                </w:p>
              </w:tc>
              <w:tc>
                <w:tcPr>
                  <w:tcW w:w="593" w:type="pct"/>
                  <w:tcBorders>
                    <w:tl2br w:val="nil"/>
                    <w:tr2bl w:val="nil"/>
                  </w:tcBorders>
                  <w:vAlign w:val="center"/>
                </w:tcPr>
                <w:p w14:paraId="139AF65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13.5</w:t>
                  </w:r>
                </w:p>
              </w:tc>
              <w:tc>
                <w:tcPr>
                  <w:tcW w:w="609" w:type="pct"/>
                  <w:tcBorders>
                    <w:tl2br w:val="nil"/>
                    <w:tr2bl w:val="nil"/>
                  </w:tcBorders>
                  <w:vAlign w:val="center"/>
                </w:tcPr>
                <w:p w14:paraId="3AE9946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13.5</w:t>
                  </w:r>
                </w:p>
              </w:tc>
              <w:tc>
                <w:tcPr>
                  <w:tcW w:w="601" w:type="pct"/>
                  <w:tcBorders>
                    <w:tl2br w:val="nil"/>
                    <w:tr2bl w:val="nil"/>
                  </w:tcBorders>
                  <w:vAlign w:val="center"/>
                </w:tcPr>
                <w:p w14:paraId="2DEE94EC">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w:t>
                  </w:r>
                </w:p>
              </w:tc>
              <w:tc>
                <w:tcPr>
                  <w:tcW w:w="609" w:type="pct"/>
                  <w:tcBorders>
                    <w:tl2br w:val="nil"/>
                    <w:tr2bl w:val="nil"/>
                  </w:tcBorders>
                  <w:vAlign w:val="center"/>
                </w:tcPr>
                <w:p w14:paraId="34D3FE59">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2.7</w:t>
                  </w:r>
                </w:p>
              </w:tc>
              <w:tc>
                <w:tcPr>
                  <w:tcW w:w="626" w:type="pct"/>
                  <w:tcBorders>
                    <w:tl2br w:val="nil"/>
                    <w:tr2bl w:val="nil"/>
                  </w:tcBorders>
                  <w:vAlign w:val="center"/>
                </w:tcPr>
                <w:p w14:paraId="43D1634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10.8</w:t>
                  </w:r>
                </w:p>
              </w:tc>
              <w:tc>
                <w:tcPr>
                  <w:tcW w:w="996" w:type="pct"/>
                  <w:vMerge w:val="continue"/>
                  <w:tcBorders>
                    <w:tl2br w:val="nil"/>
                    <w:tr2bl w:val="nil"/>
                  </w:tcBorders>
                  <w:vAlign w:val="center"/>
                </w:tcPr>
                <w:p w14:paraId="52DAE83F">
                  <w:pPr>
                    <w:wordWrap w:val="0"/>
                    <w:topLinePunct/>
                    <w:jc w:val="center"/>
                    <w:rPr>
                      <w:rFonts w:ascii="Times New Roman" w:hAnsi="Times New Roman" w:eastAsia="宋体" w:cs="Times New Roman"/>
                      <w:bCs/>
                      <w:color w:val="000000" w:themeColor="text1"/>
                      <w:szCs w:val="21"/>
                      <w14:textFill>
                        <w14:solidFill>
                          <w14:schemeClr w14:val="tx1"/>
                        </w14:solidFill>
                      </w14:textFill>
                    </w:rPr>
                  </w:pPr>
                </w:p>
              </w:tc>
            </w:tr>
            <w:tr w14:paraId="09A0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58" w:type="pct"/>
                  <w:vMerge w:val="restart"/>
                  <w:tcBorders>
                    <w:tl2br w:val="nil"/>
                    <w:tr2bl w:val="nil"/>
                  </w:tcBorders>
                  <w:vAlign w:val="center"/>
                </w:tcPr>
                <w:p w14:paraId="04BBF75E">
                  <w:pPr>
                    <w:jc w:val="center"/>
                    <w:rPr>
                      <w:rFonts w:ascii="Times New Roman" w:hAnsi="Times New Roman" w:eastAsia="宋体" w:cs="Times New Roman"/>
                      <w:bCs/>
                      <w:color w:val="FF0000"/>
                      <w:szCs w:val="21"/>
                    </w:rPr>
                  </w:pPr>
                  <w:r>
                    <w:rPr>
                      <w:rFonts w:hint="eastAsia" w:ascii="Times New Roman" w:hAnsi="Times New Roman" w:eastAsia="宋体" w:cs="Times New Roman"/>
                      <w:b/>
                      <w:color w:val="000000" w:themeColor="text1"/>
                      <w:szCs w:val="21"/>
                      <w14:textFill>
                        <w14:solidFill>
                          <w14:schemeClr w14:val="tx1"/>
                        </w14:solidFill>
                      </w14:textFill>
                    </w:rPr>
                    <w:t>生产用水</w:t>
                  </w:r>
                </w:p>
              </w:tc>
              <w:tc>
                <w:tcPr>
                  <w:tcW w:w="702" w:type="pct"/>
                  <w:tcBorders>
                    <w:tl2br w:val="nil"/>
                    <w:tr2bl w:val="nil"/>
                  </w:tcBorders>
                  <w:vAlign w:val="center"/>
                </w:tcPr>
                <w:p w14:paraId="3A0D7BA2">
                  <w:pPr>
                    <w:jc w:val="center"/>
                    <w:rPr>
                      <w:rFonts w:ascii="Times New Roman" w:hAnsi="Times New Roman" w:eastAsia="宋体" w:cs="Times New Roman"/>
                      <w:bCs/>
                      <w:szCs w:val="21"/>
                    </w:rPr>
                  </w:pPr>
                  <w:r>
                    <w:rPr>
                      <w:rFonts w:hint="eastAsia" w:ascii="Times New Roman" w:hAnsi="Times New Roman" w:eastAsia="宋体" w:cs="Times New Roman"/>
                      <w:bCs/>
                      <w:szCs w:val="21"/>
                    </w:rPr>
                    <w:t>乳化沥青生产线配料用水</w:t>
                  </w:r>
                </w:p>
              </w:tc>
              <w:tc>
                <w:tcPr>
                  <w:tcW w:w="593" w:type="pct"/>
                  <w:tcBorders>
                    <w:tl2br w:val="nil"/>
                    <w:tr2bl w:val="nil"/>
                  </w:tcBorders>
                  <w:vAlign w:val="center"/>
                </w:tcPr>
                <w:p w14:paraId="324CCF51">
                  <w:pPr>
                    <w:jc w:val="center"/>
                    <w:rPr>
                      <w:rFonts w:ascii="Times New Roman" w:hAnsi="Times New Roman" w:eastAsia="宋体" w:cs="Times New Roman"/>
                      <w:bCs/>
                      <w:szCs w:val="21"/>
                    </w:rPr>
                  </w:pPr>
                  <w:r>
                    <w:rPr>
                      <w:rFonts w:hint="eastAsia" w:ascii="Times New Roman" w:hAnsi="Times New Roman" w:eastAsia="宋体" w:cs="Times New Roman"/>
                      <w:bCs/>
                      <w:szCs w:val="21"/>
                    </w:rPr>
                    <w:t>247</w:t>
                  </w:r>
                </w:p>
              </w:tc>
              <w:tc>
                <w:tcPr>
                  <w:tcW w:w="609" w:type="pct"/>
                  <w:tcBorders>
                    <w:tl2br w:val="nil"/>
                    <w:tr2bl w:val="nil"/>
                  </w:tcBorders>
                  <w:vAlign w:val="center"/>
                </w:tcPr>
                <w:p w14:paraId="47BA2B9E">
                  <w:pPr>
                    <w:jc w:val="center"/>
                    <w:rPr>
                      <w:rFonts w:ascii="Times New Roman" w:hAnsi="Times New Roman" w:eastAsia="宋体" w:cs="Times New Roman"/>
                      <w:bCs/>
                      <w:szCs w:val="21"/>
                    </w:rPr>
                  </w:pPr>
                  <w:r>
                    <w:rPr>
                      <w:rFonts w:hint="eastAsia" w:ascii="Times New Roman" w:hAnsi="Times New Roman" w:eastAsia="宋体" w:cs="Times New Roman"/>
                      <w:bCs/>
                      <w:szCs w:val="21"/>
                    </w:rPr>
                    <w:t>247</w:t>
                  </w:r>
                </w:p>
              </w:tc>
              <w:tc>
                <w:tcPr>
                  <w:tcW w:w="601" w:type="pct"/>
                  <w:tcBorders>
                    <w:tl2br w:val="nil"/>
                    <w:tr2bl w:val="nil"/>
                  </w:tcBorders>
                  <w:vAlign w:val="center"/>
                </w:tcPr>
                <w:p w14:paraId="4C283A65">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609" w:type="pct"/>
                  <w:tcBorders>
                    <w:bottom w:val="single" w:color="auto" w:sz="4" w:space="0"/>
                    <w:tl2br w:val="nil"/>
                    <w:tr2bl w:val="nil"/>
                  </w:tcBorders>
                  <w:vAlign w:val="center"/>
                </w:tcPr>
                <w:p w14:paraId="3E55010B">
                  <w:pPr>
                    <w:jc w:val="center"/>
                    <w:rPr>
                      <w:rFonts w:ascii="Times New Roman" w:hAnsi="Times New Roman" w:eastAsia="宋体" w:cs="Times New Roman"/>
                      <w:bCs/>
                      <w:szCs w:val="21"/>
                    </w:rPr>
                  </w:pPr>
                  <w:r>
                    <w:rPr>
                      <w:rFonts w:hint="eastAsia" w:ascii="Times New Roman" w:hAnsi="Times New Roman" w:eastAsia="宋体" w:cs="Times New Roman"/>
                      <w:bCs/>
                      <w:szCs w:val="21"/>
                    </w:rPr>
                    <w:t>247</w:t>
                  </w:r>
                </w:p>
              </w:tc>
              <w:tc>
                <w:tcPr>
                  <w:tcW w:w="626" w:type="pct"/>
                  <w:tcBorders>
                    <w:bottom w:val="single" w:color="auto" w:sz="4" w:space="0"/>
                    <w:tl2br w:val="nil"/>
                    <w:tr2bl w:val="nil"/>
                  </w:tcBorders>
                  <w:vAlign w:val="center"/>
                </w:tcPr>
                <w:p w14:paraId="5E15E05B">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996" w:type="pct"/>
                  <w:tcBorders>
                    <w:bottom w:val="single" w:color="auto" w:sz="4" w:space="0"/>
                    <w:tl2br w:val="nil"/>
                    <w:tr2bl w:val="nil"/>
                  </w:tcBorders>
                  <w:vAlign w:val="center"/>
                </w:tcPr>
                <w:p w14:paraId="084CE957">
                  <w:pPr>
                    <w:wordWrap w:val="0"/>
                    <w:topLinePunct/>
                    <w:jc w:val="center"/>
                    <w:rPr>
                      <w:rFonts w:ascii="Times New Roman" w:hAnsi="Times New Roman" w:eastAsia="宋体" w:cs="Times New Roman"/>
                      <w:bCs/>
                      <w:szCs w:val="21"/>
                    </w:rPr>
                  </w:pPr>
                  <w:r>
                    <w:rPr>
                      <w:rFonts w:hint="eastAsia" w:ascii="Times New Roman" w:hAnsi="Times New Roman" w:eastAsia="宋体" w:cs="Times New Roman"/>
                      <w:bCs/>
                      <w:szCs w:val="21"/>
                    </w:rPr>
                    <w:t>损耗；全部进入产品</w:t>
                  </w:r>
                </w:p>
              </w:tc>
            </w:tr>
            <w:tr w14:paraId="1369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258" w:type="pct"/>
                  <w:vMerge w:val="continue"/>
                  <w:tcBorders>
                    <w:tl2br w:val="nil"/>
                    <w:tr2bl w:val="nil"/>
                  </w:tcBorders>
                  <w:vAlign w:val="center"/>
                </w:tcPr>
                <w:p w14:paraId="6886754F">
                  <w:pPr>
                    <w:jc w:val="center"/>
                    <w:rPr>
                      <w:rFonts w:ascii="Times New Roman" w:hAnsi="Times New Roman" w:eastAsia="宋体" w:cs="Times New Roman"/>
                      <w:b/>
                      <w:color w:val="000000" w:themeColor="text1"/>
                      <w:szCs w:val="21"/>
                      <w14:textFill>
                        <w14:solidFill>
                          <w14:schemeClr w14:val="tx1"/>
                        </w14:solidFill>
                      </w14:textFill>
                    </w:rPr>
                  </w:pPr>
                </w:p>
              </w:tc>
              <w:tc>
                <w:tcPr>
                  <w:tcW w:w="702" w:type="pct"/>
                  <w:tcBorders>
                    <w:tl2br w:val="nil"/>
                    <w:tr2bl w:val="nil"/>
                  </w:tcBorders>
                  <w:vAlign w:val="center"/>
                </w:tcPr>
                <w:p w14:paraId="094F3DC1">
                  <w:pPr>
                    <w:jc w:val="center"/>
                    <w:rPr>
                      <w:rFonts w:ascii="Times New Roman" w:hAnsi="Times New Roman" w:eastAsia="宋体" w:cs="Times New Roman"/>
                      <w:bCs/>
                      <w:szCs w:val="21"/>
                    </w:rPr>
                  </w:pPr>
                  <w:r>
                    <w:rPr>
                      <w:rFonts w:hint="eastAsia" w:ascii="Times New Roman" w:hAnsi="Times New Roman" w:eastAsia="宋体" w:cs="Times New Roman"/>
                      <w:bCs/>
                      <w:szCs w:val="21"/>
                    </w:rPr>
                    <w:t>洗涤塔</w:t>
                  </w:r>
                </w:p>
                <w:p w14:paraId="4000D7BA">
                  <w:pPr>
                    <w:jc w:val="center"/>
                    <w:rPr>
                      <w:rFonts w:ascii="Times New Roman" w:hAnsi="Times New Roman" w:eastAsia="宋体" w:cs="Times New Roman"/>
                      <w:bCs/>
                      <w:szCs w:val="21"/>
                    </w:rPr>
                  </w:pPr>
                  <w:r>
                    <w:rPr>
                      <w:rFonts w:hint="eastAsia" w:ascii="Times New Roman" w:hAnsi="Times New Roman" w:eastAsia="宋体" w:cs="Times New Roman"/>
                      <w:bCs/>
                      <w:szCs w:val="21"/>
                    </w:rPr>
                    <w:t>用水</w:t>
                  </w:r>
                </w:p>
              </w:tc>
              <w:tc>
                <w:tcPr>
                  <w:tcW w:w="593" w:type="pct"/>
                  <w:tcBorders>
                    <w:tl2br w:val="nil"/>
                    <w:tr2bl w:val="nil"/>
                  </w:tcBorders>
                  <w:vAlign w:val="center"/>
                </w:tcPr>
                <w:p w14:paraId="7B60C066">
                  <w:pPr>
                    <w:jc w:val="center"/>
                    <w:rPr>
                      <w:rFonts w:ascii="Times New Roman" w:hAnsi="Times New Roman" w:eastAsia="宋体" w:cs="Times New Roman"/>
                      <w:bCs/>
                      <w:szCs w:val="21"/>
                    </w:rPr>
                  </w:pPr>
                  <w:r>
                    <w:rPr>
                      <w:rFonts w:hint="eastAsia" w:ascii="Times New Roman" w:hAnsi="Times New Roman" w:eastAsia="宋体" w:cs="Times New Roman"/>
                      <w:bCs/>
                      <w:szCs w:val="21"/>
                    </w:rPr>
                    <w:t>87706</w:t>
                  </w:r>
                </w:p>
              </w:tc>
              <w:tc>
                <w:tcPr>
                  <w:tcW w:w="609" w:type="pct"/>
                  <w:tcBorders>
                    <w:tl2br w:val="nil"/>
                    <w:tr2bl w:val="nil"/>
                  </w:tcBorders>
                  <w:vAlign w:val="center"/>
                </w:tcPr>
                <w:p w14:paraId="49C21459">
                  <w:pPr>
                    <w:jc w:val="center"/>
                    <w:rPr>
                      <w:rFonts w:ascii="Times New Roman" w:hAnsi="Times New Roman" w:eastAsia="宋体" w:cs="Times New Roman"/>
                      <w:bCs/>
                      <w:szCs w:val="21"/>
                    </w:rPr>
                  </w:pPr>
                  <w:r>
                    <w:rPr>
                      <w:rFonts w:hint="eastAsia" w:ascii="Times New Roman" w:hAnsi="Times New Roman" w:eastAsia="宋体" w:cs="Times New Roman"/>
                      <w:bCs/>
                      <w:szCs w:val="21"/>
                    </w:rPr>
                    <w:t>1306</w:t>
                  </w:r>
                </w:p>
              </w:tc>
              <w:tc>
                <w:tcPr>
                  <w:tcW w:w="601" w:type="pct"/>
                  <w:tcBorders>
                    <w:tl2br w:val="nil"/>
                    <w:tr2bl w:val="nil"/>
                  </w:tcBorders>
                  <w:vAlign w:val="center"/>
                </w:tcPr>
                <w:p w14:paraId="35936796">
                  <w:pPr>
                    <w:jc w:val="center"/>
                    <w:rPr>
                      <w:rFonts w:ascii="Times New Roman" w:hAnsi="Times New Roman" w:eastAsia="宋体" w:cs="Times New Roman"/>
                      <w:bCs/>
                      <w:szCs w:val="21"/>
                    </w:rPr>
                  </w:pPr>
                  <w:r>
                    <w:rPr>
                      <w:rFonts w:hint="eastAsia" w:ascii="Times New Roman" w:hAnsi="Times New Roman" w:eastAsia="宋体" w:cs="Times New Roman"/>
                      <w:bCs/>
                      <w:szCs w:val="21"/>
                    </w:rPr>
                    <w:t>86400</w:t>
                  </w:r>
                </w:p>
              </w:tc>
              <w:tc>
                <w:tcPr>
                  <w:tcW w:w="609" w:type="pct"/>
                  <w:tcBorders>
                    <w:bottom w:val="single" w:color="auto" w:sz="4" w:space="0"/>
                    <w:tl2br w:val="nil"/>
                    <w:tr2bl w:val="nil"/>
                  </w:tcBorders>
                  <w:vAlign w:val="center"/>
                </w:tcPr>
                <w:p w14:paraId="72F9A361">
                  <w:pPr>
                    <w:jc w:val="center"/>
                    <w:rPr>
                      <w:rFonts w:ascii="Times New Roman" w:hAnsi="Times New Roman" w:eastAsia="宋体" w:cs="Times New Roman"/>
                      <w:bCs/>
                      <w:szCs w:val="21"/>
                    </w:rPr>
                  </w:pPr>
                  <w:r>
                    <w:rPr>
                      <w:rFonts w:hint="eastAsia" w:ascii="Times New Roman" w:hAnsi="Times New Roman" w:eastAsia="宋体" w:cs="Times New Roman"/>
                      <w:bCs/>
                      <w:szCs w:val="21"/>
                    </w:rPr>
                    <w:t>1306</w:t>
                  </w:r>
                </w:p>
              </w:tc>
              <w:tc>
                <w:tcPr>
                  <w:tcW w:w="626" w:type="pct"/>
                  <w:tcBorders>
                    <w:bottom w:val="single" w:color="auto" w:sz="4" w:space="0"/>
                    <w:tl2br w:val="nil"/>
                    <w:tr2bl w:val="nil"/>
                  </w:tcBorders>
                  <w:vAlign w:val="center"/>
                </w:tcPr>
                <w:p w14:paraId="6DFDC1C9">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996" w:type="pct"/>
                  <w:tcBorders>
                    <w:bottom w:val="single" w:color="auto" w:sz="4" w:space="0"/>
                    <w:tl2br w:val="nil"/>
                    <w:tr2bl w:val="nil"/>
                  </w:tcBorders>
                  <w:vAlign w:val="center"/>
                </w:tcPr>
                <w:p w14:paraId="3B003E78">
                  <w:pPr>
                    <w:wordWrap w:val="0"/>
                    <w:topLinePunct/>
                    <w:jc w:val="center"/>
                    <w:rPr>
                      <w:rFonts w:ascii="Times New Roman" w:hAnsi="Times New Roman" w:eastAsia="宋体" w:cs="Times New Roman"/>
                      <w:bCs/>
                      <w:szCs w:val="21"/>
                    </w:rPr>
                  </w:pPr>
                  <w:r>
                    <w:rPr>
                      <w:rFonts w:hint="eastAsia" w:ascii="Times New Roman" w:hAnsi="Times New Roman" w:eastAsia="宋体" w:cs="Times New Roman"/>
                      <w:bCs/>
                      <w:szCs w:val="21"/>
                    </w:rPr>
                    <w:t>无外排废水；产生</w:t>
                  </w:r>
                  <w:r>
                    <w:rPr>
                      <w:rFonts w:ascii="Times New Roman" w:hAnsi="Times New Roman" w:eastAsia="宋体" w:cs="Times New Roman"/>
                      <w:bCs/>
                      <w:szCs w:val="21"/>
                    </w:rPr>
                    <w:t>废液(10m³/a)及焦油渣作为危废委托处置</w:t>
                  </w:r>
                </w:p>
              </w:tc>
            </w:tr>
            <w:tr w14:paraId="059E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58" w:type="pct"/>
                  <w:vMerge w:val="continue"/>
                  <w:tcBorders>
                    <w:tl2br w:val="nil"/>
                    <w:tr2bl w:val="nil"/>
                  </w:tcBorders>
                  <w:vAlign w:val="center"/>
                </w:tcPr>
                <w:p w14:paraId="4D443338">
                  <w:pPr>
                    <w:jc w:val="center"/>
                    <w:rPr>
                      <w:rFonts w:ascii="Times New Roman" w:hAnsi="Times New Roman" w:eastAsia="宋体" w:cs="Times New Roman"/>
                      <w:b/>
                      <w:color w:val="000000" w:themeColor="text1"/>
                      <w:szCs w:val="21"/>
                      <w14:textFill>
                        <w14:solidFill>
                          <w14:schemeClr w14:val="tx1"/>
                        </w14:solidFill>
                      </w14:textFill>
                    </w:rPr>
                  </w:pPr>
                </w:p>
              </w:tc>
              <w:tc>
                <w:tcPr>
                  <w:tcW w:w="702" w:type="pct"/>
                  <w:tcBorders>
                    <w:tl2br w:val="nil"/>
                    <w:tr2bl w:val="nil"/>
                  </w:tcBorders>
                  <w:vAlign w:val="center"/>
                </w:tcPr>
                <w:p w14:paraId="4C6DC0B0">
                  <w:pPr>
                    <w:jc w:val="center"/>
                    <w:rPr>
                      <w:rFonts w:ascii="Times New Roman" w:hAnsi="Times New Roman" w:eastAsia="宋体" w:cs="Times New Roman"/>
                      <w:bCs/>
                      <w:szCs w:val="21"/>
                    </w:rPr>
                  </w:pPr>
                  <w:r>
                    <w:rPr>
                      <w:rFonts w:ascii="Times New Roman" w:hAnsi="Times New Roman" w:eastAsia="宋体" w:cs="Times New Roman"/>
                      <w:bCs/>
                      <w:szCs w:val="21"/>
                    </w:rPr>
                    <w:t>车辆冲洗用水</w:t>
                  </w:r>
                </w:p>
              </w:tc>
              <w:tc>
                <w:tcPr>
                  <w:tcW w:w="593" w:type="pct"/>
                  <w:tcBorders>
                    <w:tl2br w:val="nil"/>
                    <w:tr2bl w:val="nil"/>
                  </w:tcBorders>
                  <w:vAlign w:val="center"/>
                </w:tcPr>
                <w:p w14:paraId="2985F582">
                  <w:pPr>
                    <w:jc w:val="center"/>
                    <w:rPr>
                      <w:rFonts w:ascii="Times New Roman" w:hAnsi="Times New Roman" w:eastAsia="宋体" w:cs="Times New Roman"/>
                      <w:bCs/>
                      <w:szCs w:val="21"/>
                    </w:rPr>
                  </w:pPr>
                  <w:r>
                    <w:rPr>
                      <w:rFonts w:hint="eastAsia" w:ascii="Times New Roman" w:hAnsi="Times New Roman" w:eastAsia="宋体" w:cs="Times New Roman"/>
                      <w:bCs/>
                      <w:szCs w:val="21"/>
                    </w:rPr>
                    <w:t>223.39</w:t>
                  </w:r>
                </w:p>
              </w:tc>
              <w:tc>
                <w:tcPr>
                  <w:tcW w:w="609" w:type="pct"/>
                  <w:tcBorders>
                    <w:tl2br w:val="nil"/>
                    <w:tr2bl w:val="nil"/>
                  </w:tcBorders>
                  <w:vAlign w:val="center"/>
                </w:tcPr>
                <w:p w14:paraId="13284057">
                  <w:pPr>
                    <w:jc w:val="center"/>
                    <w:rPr>
                      <w:rFonts w:ascii="Times New Roman" w:hAnsi="Times New Roman" w:eastAsia="宋体" w:cs="Times New Roman"/>
                      <w:bCs/>
                      <w:szCs w:val="21"/>
                    </w:rPr>
                  </w:pPr>
                  <w:r>
                    <w:rPr>
                      <w:rFonts w:hint="eastAsia" w:ascii="Times New Roman" w:hAnsi="Times New Roman" w:eastAsia="宋体" w:cs="Times New Roman"/>
                      <w:bCs/>
                      <w:szCs w:val="21"/>
                    </w:rPr>
                    <w:t>37.23</w:t>
                  </w:r>
                </w:p>
              </w:tc>
              <w:tc>
                <w:tcPr>
                  <w:tcW w:w="601" w:type="pct"/>
                  <w:tcBorders>
                    <w:tl2br w:val="nil"/>
                    <w:tr2bl w:val="nil"/>
                  </w:tcBorders>
                  <w:vAlign w:val="center"/>
                </w:tcPr>
                <w:p w14:paraId="0A39015B">
                  <w:pPr>
                    <w:jc w:val="center"/>
                    <w:rPr>
                      <w:rFonts w:ascii="Times New Roman" w:hAnsi="Times New Roman" w:eastAsia="宋体" w:cs="Times New Roman"/>
                      <w:bCs/>
                      <w:szCs w:val="21"/>
                    </w:rPr>
                  </w:pPr>
                  <w:r>
                    <w:rPr>
                      <w:rFonts w:hint="eastAsia" w:ascii="Times New Roman" w:hAnsi="Times New Roman" w:eastAsia="宋体" w:cs="Times New Roman"/>
                      <w:bCs/>
                      <w:szCs w:val="21"/>
                    </w:rPr>
                    <w:t>186.16</w:t>
                  </w:r>
                </w:p>
              </w:tc>
              <w:tc>
                <w:tcPr>
                  <w:tcW w:w="609" w:type="pct"/>
                  <w:tcBorders>
                    <w:bottom w:val="single" w:color="000000" w:sz="4" w:space="0"/>
                    <w:tl2br w:val="nil"/>
                    <w:tr2bl w:val="nil"/>
                  </w:tcBorders>
                  <w:vAlign w:val="center"/>
                </w:tcPr>
                <w:p w14:paraId="47F5B8EE">
                  <w:pPr>
                    <w:jc w:val="center"/>
                    <w:rPr>
                      <w:rFonts w:ascii="Times New Roman" w:hAnsi="Times New Roman" w:eastAsia="宋体" w:cs="Times New Roman"/>
                      <w:bCs/>
                      <w:szCs w:val="21"/>
                    </w:rPr>
                  </w:pPr>
                  <w:r>
                    <w:rPr>
                      <w:rFonts w:hint="eastAsia" w:ascii="Times New Roman" w:hAnsi="Times New Roman" w:eastAsia="宋体" w:cs="Times New Roman"/>
                      <w:bCs/>
                      <w:szCs w:val="21"/>
                    </w:rPr>
                    <w:t>37.23</w:t>
                  </w:r>
                </w:p>
              </w:tc>
              <w:tc>
                <w:tcPr>
                  <w:tcW w:w="626" w:type="pct"/>
                  <w:tcBorders>
                    <w:bottom w:val="single" w:color="000000" w:sz="4" w:space="0"/>
                    <w:tl2br w:val="nil"/>
                    <w:tr2bl w:val="nil"/>
                  </w:tcBorders>
                  <w:vAlign w:val="center"/>
                </w:tcPr>
                <w:p w14:paraId="38C45721">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996" w:type="pct"/>
                  <w:tcBorders>
                    <w:bottom w:val="single" w:color="000000" w:sz="4" w:space="0"/>
                    <w:tl2br w:val="nil"/>
                    <w:tr2bl w:val="nil"/>
                  </w:tcBorders>
                  <w:vAlign w:val="center"/>
                </w:tcPr>
                <w:p w14:paraId="5F4F7091">
                  <w:pPr>
                    <w:wordWrap w:val="0"/>
                    <w:topLinePunct/>
                    <w:jc w:val="center"/>
                    <w:rPr>
                      <w:rFonts w:ascii="Times New Roman" w:hAnsi="Times New Roman" w:eastAsia="宋体" w:cs="Times New Roman"/>
                      <w:bCs/>
                      <w:szCs w:val="21"/>
                    </w:rPr>
                  </w:pPr>
                  <w:r>
                    <w:rPr>
                      <w:rFonts w:ascii="Times New Roman" w:hAnsi="Times New Roman" w:eastAsia="宋体" w:cs="Times New Roman"/>
                      <w:bCs/>
                      <w:szCs w:val="21"/>
                    </w:rPr>
                    <w:t>损耗（部分成为沉淀泥沙、部分损耗）</w:t>
                  </w:r>
                </w:p>
              </w:tc>
            </w:tr>
            <w:tr w14:paraId="54C2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258" w:type="pct"/>
                  <w:vMerge w:val="continue"/>
                  <w:tcBorders>
                    <w:tl2br w:val="nil"/>
                    <w:tr2bl w:val="nil"/>
                  </w:tcBorders>
                  <w:vAlign w:val="center"/>
                </w:tcPr>
                <w:p w14:paraId="2604931D">
                  <w:pPr>
                    <w:jc w:val="center"/>
                    <w:rPr>
                      <w:rFonts w:ascii="Times New Roman" w:hAnsi="Times New Roman" w:eastAsia="宋体" w:cs="Times New Roman"/>
                      <w:bCs/>
                      <w:color w:val="FF0000"/>
                      <w:szCs w:val="21"/>
                    </w:rPr>
                  </w:pPr>
                </w:p>
              </w:tc>
              <w:tc>
                <w:tcPr>
                  <w:tcW w:w="702" w:type="pct"/>
                  <w:tcBorders>
                    <w:tl2br w:val="nil"/>
                    <w:tr2bl w:val="nil"/>
                  </w:tcBorders>
                  <w:vAlign w:val="center"/>
                </w:tcPr>
                <w:p w14:paraId="188C981A">
                  <w:pPr>
                    <w:jc w:val="center"/>
                    <w:rPr>
                      <w:rFonts w:ascii="Times New Roman" w:hAnsi="Times New Roman" w:eastAsia="宋体" w:cs="Times New Roman"/>
                      <w:bCs/>
                      <w:szCs w:val="21"/>
                    </w:rPr>
                  </w:pPr>
                  <w:r>
                    <w:rPr>
                      <w:rFonts w:hint="eastAsia" w:ascii="Times New Roman" w:hAnsi="Times New Roman" w:eastAsia="宋体" w:cs="Times New Roman"/>
                      <w:bCs/>
                      <w:szCs w:val="21"/>
                    </w:rPr>
                    <w:t>冷料仓上料喷淋降尘用水</w:t>
                  </w:r>
                </w:p>
              </w:tc>
              <w:tc>
                <w:tcPr>
                  <w:tcW w:w="593" w:type="pct"/>
                  <w:tcBorders>
                    <w:tl2br w:val="nil"/>
                    <w:tr2bl w:val="nil"/>
                  </w:tcBorders>
                  <w:vAlign w:val="center"/>
                </w:tcPr>
                <w:p w14:paraId="64B3EBBE">
                  <w:pPr>
                    <w:jc w:val="center"/>
                    <w:rPr>
                      <w:rFonts w:ascii="Times New Roman" w:hAnsi="Times New Roman" w:eastAsia="宋体" w:cs="Times New Roman"/>
                      <w:bCs/>
                      <w:szCs w:val="21"/>
                    </w:rPr>
                  </w:pPr>
                  <w:r>
                    <w:rPr>
                      <w:rFonts w:hint="eastAsia" w:ascii="Times New Roman" w:hAnsi="Times New Roman" w:eastAsia="宋体" w:cs="Times New Roman"/>
                      <w:bCs/>
                      <w:szCs w:val="21"/>
                    </w:rPr>
                    <w:t>648</w:t>
                  </w:r>
                </w:p>
              </w:tc>
              <w:tc>
                <w:tcPr>
                  <w:tcW w:w="609" w:type="pct"/>
                  <w:tcBorders>
                    <w:tl2br w:val="nil"/>
                    <w:tr2bl w:val="nil"/>
                  </w:tcBorders>
                  <w:vAlign w:val="center"/>
                </w:tcPr>
                <w:p w14:paraId="6567D11B">
                  <w:pPr>
                    <w:jc w:val="center"/>
                    <w:rPr>
                      <w:rFonts w:ascii="Times New Roman" w:hAnsi="Times New Roman" w:eastAsia="宋体" w:cs="Times New Roman"/>
                      <w:bCs/>
                      <w:szCs w:val="21"/>
                    </w:rPr>
                  </w:pPr>
                  <w:r>
                    <w:rPr>
                      <w:rFonts w:hint="eastAsia" w:ascii="Times New Roman" w:hAnsi="Times New Roman" w:eastAsia="宋体" w:cs="Times New Roman"/>
                      <w:bCs/>
                      <w:szCs w:val="21"/>
                    </w:rPr>
                    <w:t>648</w:t>
                  </w:r>
                </w:p>
              </w:tc>
              <w:tc>
                <w:tcPr>
                  <w:tcW w:w="601" w:type="pct"/>
                  <w:tcBorders>
                    <w:tl2br w:val="nil"/>
                    <w:tr2bl w:val="nil"/>
                  </w:tcBorders>
                  <w:vAlign w:val="center"/>
                </w:tcPr>
                <w:p w14:paraId="5ACDE707">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609" w:type="pct"/>
                  <w:tcBorders>
                    <w:top w:val="single" w:color="000000" w:sz="4" w:space="0"/>
                    <w:bottom w:val="single" w:color="000000" w:sz="4" w:space="0"/>
                    <w:tl2br w:val="nil"/>
                    <w:tr2bl w:val="nil"/>
                  </w:tcBorders>
                  <w:vAlign w:val="center"/>
                </w:tcPr>
                <w:p w14:paraId="2824D8CD">
                  <w:pPr>
                    <w:jc w:val="center"/>
                    <w:rPr>
                      <w:rFonts w:ascii="Times New Roman" w:hAnsi="Times New Roman" w:eastAsia="宋体" w:cs="Times New Roman"/>
                      <w:bCs/>
                      <w:szCs w:val="21"/>
                    </w:rPr>
                  </w:pPr>
                  <w:r>
                    <w:rPr>
                      <w:rFonts w:hint="eastAsia" w:ascii="Times New Roman" w:hAnsi="Times New Roman" w:eastAsia="宋体" w:cs="Times New Roman"/>
                      <w:bCs/>
                      <w:szCs w:val="21"/>
                    </w:rPr>
                    <w:t>648</w:t>
                  </w:r>
                </w:p>
              </w:tc>
              <w:tc>
                <w:tcPr>
                  <w:tcW w:w="626" w:type="pct"/>
                  <w:tcBorders>
                    <w:top w:val="single" w:color="000000" w:sz="4" w:space="0"/>
                    <w:bottom w:val="single" w:color="000000" w:sz="4" w:space="0"/>
                    <w:tl2br w:val="nil"/>
                    <w:tr2bl w:val="nil"/>
                  </w:tcBorders>
                  <w:vAlign w:val="center"/>
                </w:tcPr>
                <w:p w14:paraId="289E0179">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996" w:type="pct"/>
                  <w:tcBorders>
                    <w:top w:val="single" w:color="000000" w:sz="4" w:space="0"/>
                    <w:bottom w:val="single" w:color="000000" w:sz="4" w:space="0"/>
                    <w:tl2br w:val="nil"/>
                    <w:tr2bl w:val="nil"/>
                  </w:tcBorders>
                  <w:vAlign w:val="center"/>
                </w:tcPr>
                <w:p w14:paraId="50AB3FFE">
                  <w:pPr>
                    <w:jc w:val="center"/>
                    <w:rPr>
                      <w:rFonts w:ascii="Times New Roman" w:hAnsi="Times New Roman" w:eastAsia="宋体" w:cs="Times New Roman"/>
                      <w:bCs/>
                      <w:szCs w:val="21"/>
                    </w:rPr>
                  </w:pPr>
                  <w:r>
                    <w:rPr>
                      <w:rFonts w:hint="eastAsia" w:ascii="Times New Roman" w:hAnsi="Times New Roman" w:eastAsia="宋体" w:cs="Times New Roman"/>
                      <w:bCs/>
                      <w:szCs w:val="21"/>
                    </w:rPr>
                    <w:t>损耗</w:t>
                  </w:r>
                </w:p>
              </w:tc>
            </w:tr>
            <w:tr w14:paraId="7FDD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258" w:type="pct"/>
                  <w:vMerge w:val="continue"/>
                  <w:tcBorders>
                    <w:tl2br w:val="nil"/>
                    <w:tr2bl w:val="nil"/>
                  </w:tcBorders>
                  <w:vAlign w:val="center"/>
                </w:tcPr>
                <w:p w14:paraId="5414F73C">
                  <w:pPr>
                    <w:jc w:val="center"/>
                    <w:rPr>
                      <w:rFonts w:ascii="Times New Roman" w:hAnsi="Times New Roman" w:eastAsia="宋体" w:cs="Times New Roman"/>
                      <w:bCs/>
                      <w:color w:val="FF0000"/>
                      <w:szCs w:val="21"/>
                    </w:rPr>
                  </w:pPr>
                </w:p>
              </w:tc>
              <w:tc>
                <w:tcPr>
                  <w:tcW w:w="702" w:type="pct"/>
                  <w:tcBorders>
                    <w:bottom w:val="single" w:color="000000" w:sz="4" w:space="0"/>
                    <w:tl2br w:val="nil"/>
                    <w:tr2bl w:val="nil"/>
                  </w:tcBorders>
                  <w:vAlign w:val="center"/>
                </w:tcPr>
                <w:p w14:paraId="435DA478">
                  <w:pPr>
                    <w:jc w:val="center"/>
                    <w:rPr>
                      <w:rFonts w:ascii="Times New Roman" w:hAnsi="Times New Roman" w:eastAsia="宋体" w:cs="Times New Roman"/>
                      <w:bCs/>
                      <w:szCs w:val="21"/>
                    </w:rPr>
                  </w:pPr>
                  <w:r>
                    <w:rPr>
                      <w:rFonts w:hint="eastAsia" w:ascii="Times New Roman" w:hAnsi="Times New Roman" w:eastAsia="宋体" w:cs="Times New Roman"/>
                      <w:bCs/>
                      <w:szCs w:val="21"/>
                    </w:rPr>
                    <w:t>运输道路抑尘用水</w:t>
                  </w:r>
                </w:p>
              </w:tc>
              <w:tc>
                <w:tcPr>
                  <w:tcW w:w="593" w:type="pct"/>
                  <w:tcBorders>
                    <w:bottom w:val="single" w:color="000000" w:sz="4" w:space="0"/>
                    <w:tl2br w:val="nil"/>
                    <w:tr2bl w:val="nil"/>
                  </w:tcBorders>
                  <w:vAlign w:val="center"/>
                </w:tcPr>
                <w:p w14:paraId="7A7B6A1B">
                  <w:pPr>
                    <w:jc w:val="center"/>
                    <w:rPr>
                      <w:rFonts w:ascii="Times New Roman" w:hAnsi="Times New Roman" w:eastAsia="宋体" w:cs="Times New Roman"/>
                      <w:bCs/>
                      <w:szCs w:val="21"/>
                    </w:rPr>
                  </w:pPr>
                  <w:r>
                    <w:rPr>
                      <w:rFonts w:hint="eastAsia" w:ascii="Times New Roman" w:hAnsi="Times New Roman" w:eastAsia="宋体" w:cs="Times New Roman"/>
                      <w:bCs/>
                      <w:szCs w:val="21"/>
                    </w:rPr>
                    <w:t>1080</w:t>
                  </w:r>
                </w:p>
              </w:tc>
              <w:tc>
                <w:tcPr>
                  <w:tcW w:w="609" w:type="pct"/>
                  <w:tcBorders>
                    <w:bottom w:val="single" w:color="000000" w:sz="4" w:space="0"/>
                    <w:tl2br w:val="nil"/>
                    <w:tr2bl w:val="nil"/>
                  </w:tcBorders>
                  <w:vAlign w:val="center"/>
                </w:tcPr>
                <w:p w14:paraId="6BA277D4">
                  <w:pPr>
                    <w:jc w:val="center"/>
                    <w:rPr>
                      <w:rFonts w:ascii="Times New Roman" w:hAnsi="Times New Roman" w:eastAsia="宋体" w:cs="Times New Roman"/>
                      <w:bCs/>
                      <w:szCs w:val="21"/>
                    </w:rPr>
                  </w:pPr>
                  <w:r>
                    <w:rPr>
                      <w:rFonts w:hint="eastAsia" w:ascii="Times New Roman" w:hAnsi="Times New Roman" w:eastAsia="宋体" w:cs="Times New Roman"/>
                      <w:bCs/>
                      <w:szCs w:val="21"/>
                    </w:rPr>
                    <w:t>1080</w:t>
                  </w:r>
                </w:p>
              </w:tc>
              <w:tc>
                <w:tcPr>
                  <w:tcW w:w="601" w:type="pct"/>
                  <w:tcBorders>
                    <w:bottom w:val="single" w:color="000000" w:sz="4" w:space="0"/>
                    <w:tl2br w:val="nil"/>
                    <w:tr2bl w:val="nil"/>
                  </w:tcBorders>
                  <w:vAlign w:val="center"/>
                </w:tcPr>
                <w:p w14:paraId="52DC011E">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609" w:type="pct"/>
                  <w:tcBorders>
                    <w:top w:val="single" w:color="000000" w:sz="4" w:space="0"/>
                    <w:bottom w:val="single" w:color="000000" w:sz="4" w:space="0"/>
                    <w:tl2br w:val="nil"/>
                    <w:tr2bl w:val="nil"/>
                  </w:tcBorders>
                  <w:vAlign w:val="center"/>
                </w:tcPr>
                <w:p w14:paraId="5D23B48A">
                  <w:pPr>
                    <w:jc w:val="center"/>
                    <w:rPr>
                      <w:rFonts w:ascii="Times New Roman" w:hAnsi="Times New Roman" w:eastAsia="宋体" w:cs="Times New Roman"/>
                      <w:bCs/>
                      <w:szCs w:val="21"/>
                    </w:rPr>
                  </w:pPr>
                  <w:r>
                    <w:rPr>
                      <w:rFonts w:hint="eastAsia" w:ascii="Times New Roman" w:hAnsi="Times New Roman" w:eastAsia="宋体" w:cs="Times New Roman"/>
                      <w:bCs/>
                      <w:szCs w:val="21"/>
                    </w:rPr>
                    <w:t>1080</w:t>
                  </w:r>
                </w:p>
              </w:tc>
              <w:tc>
                <w:tcPr>
                  <w:tcW w:w="626" w:type="pct"/>
                  <w:tcBorders>
                    <w:top w:val="single" w:color="000000" w:sz="4" w:space="0"/>
                    <w:bottom w:val="single" w:color="000000" w:sz="4" w:space="0"/>
                    <w:tl2br w:val="nil"/>
                    <w:tr2bl w:val="nil"/>
                  </w:tcBorders>
                  <w:vAlign w:val="center"/>
                </w:tcPr>
                <w:p w14:paraId="3DD1E767">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996" w:type="pct"/>
                  <w:tcBorders>
                    <w:top w:val="single" w:color="000000" w:sz="4" w:space="0"/>
                    <w:bottom w:val="single" w:color="000000" w:sz="4" w:space="0"/>
                    <w:tl2br w:val="nil"/>
                    <w:tr2bl w:val="nil"/>
                  </w:tcBorders>
                  <w:vAlign w:val="center"/>
                </w:tcPr>
                <w:p w14:paraId="38A72905">
                  <w:pPr>
                    <w:jc w:val="center"/>
                    <w:rPr>
                      <w:rFonts w:ascii="Times New Roman" w:hAnsi="Times New Roman" w:eastAsia="宋体" w:cs="Times New Roman"/>
                      <w:bCs/>
                      <w:szCs w:val="21"/>
                    </w:rPr>
                  </w:pPr>
                  <w:r>
                    <w:rPr>
                      <w:rFonts w:hint="eastAsia" w:ascii="Times New Roman" w:hAnsi="Times New Roman" w:eastAsia="宋体" w:cs="Times New Roman"/>
                      <w:bCs/>
                      <w:szCs w:val="21"/>
                    </w:rPr>
                    <w:t>损耗</w:t>
                  </w:r>
                </w:p>
              </w:tc>
            </w:tr>
            <w:tr w14:paraId="5310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58" w:type="pct"/>
                  <w:vMerge w:val="continue"/>
                  <w:tcBorders>
                    <w:tl2br w:val="nil"/>
                    <w:tr2bl w:val="nil"/>
                  </w:tcBorders>
                  <w:vAlign w:val="center"/>
                </w:tcPr>
                <w:p w14:paraId="6CAD4318">
                  <w:pPr>
                    <w:jc w:val="center"/>
                    <w:rPr>
                      <w:rFonts w:ascii="Times New Roman" w:hAnsi="Times New Roman" w:eastAsia="宋体" w:cs="Times New Roman"/>
                      <w:bCs/>
                      <w:color w:val="FF0000"/>
                      <w:szCs w:val="21"/>
                    </w:rPr>
                  </w:pPr>
                </w:p>
              </w:tc>
              <w:tc>
                <w:tcPr>
                  <w:tcW w:w="702" w:type="pct"/>
                  <w:tcBorders>
                    <w:top w:val="single" w:color="000000" w:sz="4" w:space="0"/>
                    <w:bottom w:val="single" w:color="auto" w:sz="4" w:space="0"/>
                    <w:tl2br w:val="nil"/>
                    <w:tr2bl w:val="nil"/>
                  </w:tcBorders>
                  <w:vAlign w:val="center"/>
                </w:tcPr>
                <w:p w14:paraId="4DF3D28C">
                  <w:pPr>
                    <w:jc w:val="center"/>
                    <w:rPr>
                      <w:rFonts w:ascii="Times New Roman" w:hAnsi="Times New Roman" w:eastAsia="宋体" w:cs="Times New Roman"/>
                      <w:bCs/>
                      <w:szCs w:val="21"/>
                    </w:rPr>
                  </w:pPr>
                  <w:r>
                    <w:rPr>
                      <w:rFonts w:hint="eastAsia" w:ascii="Times New Roman" w:hAnsi="Times New Roman" w:eastAsia="宋体" w:cs="Times New Roman"/>
                      <w:bCs/>
                      <w:szCs w:val="21"/>
                    </w:rPr>
                    <w:t>移动式雾炮抑尘用水</w:t>
                  </w:r>
                </w:p>
              </w:tc>
              <w:tc>
                <w:tcPr>
                  <w:tcW w:w="593" w:type="pct"/>
                  <w:tcBorders>
                    <w:top w:val="single" w:color="000000" w:sz="4" w:space="0"/>
                    <w:bottom w:val="single" w:color="auto" w:sz="4" w:space="0"/>
                    <w:tl2br w:val="nil"/>
                    <w:tr2bl w:val="nil"/>
                  </w:tcBorders>
                  <w:vAlign w:val="center"/>
                </w:tcPr>
                <w:p w14:paraId="1DE1352E">
                  <w:pPr>
                    <w:jc w:val="center"/>
                    <w:rPr>
                      <w:rFonts w:ascii="Times New Roman" w:hAnsi="Times New Roman" w:eastAsia="宋体" w:cs="Times New Roman"/>
                      <w:bCs/>
                      <w:szCs w:val="21"/>
                    </w:rPr>
                  </w:pPr>
                  <w:r>
                    <w:rPr>
                      <w:rFonts w:hint="eastAsia" w:ascii="Times New Roman" w:hAnsi="Times New Roman" w:eastAsia="宋体" w:cs="Times New Roman"/>
                      <w:bCs/>
                      <w:szCs w:val="21"/>
                    </w:rPr>
                    <w:t>324</w:t>
                  </w:r>
                </w:p>
              </w:tc>
              <w:tc>
                <w:tcPr>
                  <w:tcW w:w="609" w:type="pct"/>
                  <w:tcBorders>
                    <w:top w:val="single" w:color="000000" w:sz="4" w:space="0"/>
                    <w:bottom w:val="single" w:color="auto" w:sz="4" w:space="0"/>
                    <w:tl2br w:val="nil"/>
                    <w:tr2bl w:val="nil"/>
                  </w:tcBorders>
                  <w:vAlign w:val="center"/>
                </w:tcPr>
                <w:p w14:paraId="63C1E3E6">
                  <w:pPr>
                    <w:jc w:val="center"/>
                    <w:rPr>
                      <w:rFonts w:ascii="Times New Roman" w:hAnsi="Times New Roman" w:eastAsia="宋体" w:cs="Times New Roman"/>
                      <w:bCs/>
                      <w:szCs w:val="21"/>
                    </w:rPr>
                  </w:pPr>
                  <w:r>
                    <w:rPr>
                      <w:rFonts w:hint="eastAsia" w:ascii="Times New Roman" w:hAnsi="Times New Roman" w:eastAsia="宋体" w:cs="Times New Roman"/>
                      <w:bCs/>
                      <w:szCs w:val="21"/>
                    </w:rPr>
                    <w:t>324</w:t>
                  </w:r>
                </w:p>
              </w:tc>
              <w:tc>
                <w:tcPr>
                  <w:tcW w:w="601" w:type="pct"/>
                  <w:tcBorders>
                    <w:top w:val="single" w:color="000000" w:sz="4" w:space="0"/>
                    <w:bottom w:val="single" w:color="auto" w:sz="4" w:space="0"/>
                    <w:tl2br w:val="nil"/>
                    <w:tr2bl w:val="nil"/>
                  </w:tcBorders>
                  <w:vAlign w:val="center"/>
                </w:tcPr>
                <w:p w14:paraId="2050E59E">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609" w:type="pct"/>
                  <w:tcBorders>
                    <w:top w:val="single" w:color="000000" w:sz="4" w:space="0"/>
                    <w:bottom w:val="single" w:color="auto" w:sz="4" w:space="0"/>
                    <w:tl2br w:val="nil"/>
                    <w:tr2bl w:val="nil"/>
                  </w:tcBorders>
                  <w:vAlign w:val="center"/>
                </w:tcPr>
                <w:p w14:paraId="5A85A9ED">
                  <w:pPr>
                    <w:jc w:val="center"/>
                    <w:rPr>
                      <w:rFonts w:ascii="Times New Roman" w:hAnsi="Times New Roman" w:eastAsia="宋体" w:cs="Times New Roman"/>
                      <w:bCs/>
                      <w:szCs w:val="21"/>
                    </w:rPr>
                  </w:pPr>
                  <w:r>
                    <w:rPr>
                      <w:rFonts w:hint="eastAsia" w:ascii="Times New Roman" w:hAnsi="Times New Roman" w:eastAsia="宋体" w:cs="Times New Roman"/>
                      <w:bCs/>
                      <w:szCs w:val="21"/>
                    </w:rPr>
                    <w:t>324</w:t>
                  </w:r>
                </w:p>
              </w:tc>
              <w:tc>
                <w:tcPr>
                  <w:tcW w:w="626" w:type="pct"/>
                  <w:tcBorders>
                    <w:top w:val="single" w:color="000000" w:sz="4" w:space="0"/>
                    <w:bottom w:val="single" w:color="auto" w:sz="4" w:space="0"/>
                    <w:tl2br w:val="nil"/>
                    <w:tr2bl w:val="nil"/>
                  </w:tcBorders>
                  <w:vAlign w:val="center"/>
                </w:tcPr>
                <w:p w14:paraId="54D4C688">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996" w:type="pct"/>
                  <w:tcBorders>
                    <w:top w:val="single" w:color="000000" w:sz="4" w:space="0"/>
                    <w:bottom w:val="single" w:color="auto" w:sz="4" w:space="0"/>
                    <w:tl2br w:val="nil"/>
                    <w:tr2bl w:val="nil"/>
                  </w:tcBorders>
                  <w:vAlign w:val="center"/>
                </w:tcPr>
                <w:p w14:paraId="01D13CA8">
                  <w:pPr>
                    <w:jc w:val="center"/>
                    <w:rPr>
                      <w:rFonts w:ascii="Times New Roman" w:hAnsi="Times New Roman" w:eastAsia="宋体" w:cs="Times New Roman"/>
                      <w:bCs/>
                      <w:szCs w:val="21"/>
                    </w:rPr>
                  </w:pPr>
                  <w:r>
                    <w:rPr>
                      <w:rFonts w:hint="eastAsia" w:ascii="Times New Roman" w:hAnsi="Times New Roman" w:eastAsia="宋体" w:cs="Times New Roman"/>
                      <w:bCs/>
                      <w:szCs w:val="21"/>
                    </w:rPr>
                    <w:t>损耗</w:t>
                  </w:r>
                </w:p>
              </w:tc>
            </w:tr>
            <w:tr w14:paraId="58BB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58" w:type="pct"/>
                  <w:vMerge w:val="continue"/>
                  <w:tcBorders>
                    <w:tl2br w:val="nil"/>
                    <w:tr2bl w:val="nil"/>
                  </w:tcBorders>
                  <w:vAlign w:val="center"/>
                </w:tcPr>
                <w:p w14:paraId="40BF9406">
                  <w:pPr>
                    <w:jc w:val="center"/>
                    <w:rPr>
                      <w:rFonts w:ascii="Times New Roman" w:hAnsi="Times New Roman" w:eastAsia="宋体" w:cs="Times New Roman"/>
                      <w:bCs/>
                      <w:color w:val="FF0000"/>
                      <w:szCs w:val="21"/>
                    </w:rPr>
                  </w:pPr>
                </w:p>
              </w:tc>
              <w:tc>
                <w:tcPr>
                  <w:tcW w:w="702" w:type="pct"/>
                  <w:tcBorders>
                    <w:top w:val="single" w:color="auto" w:sz="4" w:space="0"/>
                    <w:tl2br w:val="nil"/>
                    <w:tr2bl w:val="nil"/>
                  </w:tcBorders>
                  <w:vAlign w:val="center"/>
                </w:tcPr>
                <w:p w14:paraId="109E7D5A">
                  <w:pPr>
                    <w:jc w:val="center"/>
                    <w:rPr>
                      <w:rFonts w:ascii="Times New Roman" w:hAnsi="Times New Roman" w:eastAsia="宋体" w:cs="Times New Roman"/>
                      <w:bCs/>
                      <w:szCs w:val="21"/>
                    </w:rPr>
                  </w:pPr>
                  <w:r>
                    <w:rPr>
                      <w:rFonts w:hint="eastAsia" w:ascii="Times New Roman" w:hAnsi="Times New Roman" w:eastAsia="宋体" w:cs="Times New Roman"/>
                      <w:bCs/>
                      <w:szCs w:val="21"/>
                    </w:rPr>
                    <w:t>绿化用水</w:t>
                  </w:r>
                </w:p>
              </w:tc>
              <w:tc>
                <w:tcPr>
                  <w:tcW w:w="593" w:type="pct"/>
                  <w:tcBorders>
                    <w:top w:val="single" w:color="auto" w:sz="4" w:space="0"/>
                    <w:tl2br w:val="nil"/>
                    <w:tr2bl w:val="nil"/>
                  </w:tcBorders>
                  <w:vAlign w:val="center"/>
                </w:tcPr>
                <w:p w14:paraId="2B3BB100">
                  <w:pPr>
                    <w:jc w:val="center"/>
                    <w:rPr>
                      <w:rFonts w:ascii="Times New Roman" w:hAnsi="Times New Roman" w:eastAsia="宋体" w:cs="Times New Roman"/>
                      <w:bCs/>
                      <w:szCs w:val="21"/>
                    </w:rPr>
                  </w:pPr>
                  <w:r>
                    <w:rPr>
                      <w:rFonts w:hint="eastAsia" w:ascii="Times New Roman" w:hAnsi="Times New Roman" w:eastAsia="宋体" w:cs="Times New Roman"/>
                      <w:bCs/>
                      <w:szCs w:val="21"/>
                    </w:rPr>
                    <w:t>33.75</w:t>
                  </w:r>
                </w:p>
              </w:tc>
              <w:tc>
                <w:tcPr>
                  <w:tcW w:w="609" w:type="pct"/>
                  <w:tcBorders>
                    <w:top w:val="single" w:color="auto" w:sz="4" w:space="0"/>
                    <w:tl2br w:val="nil"/>
                    <w:tr2bl w:val="nil"/>
                  </w:tcBorders>
                  <w:vAlign w:val="center"/>
                </w:tcPr>
                <w:p w14:paraId="2C021588">
                  <w:pPr>
                    <w:jc w:val="center"/>
                    <w:rPr>
                      <w:rFonts w:ascii="Times New Roman" w:hAnsi="Times New Roman" w:eastAsia="宋体" w:cs="Times New Roman"/>
                      <w:bCs/>
                      <w:szCs w:val="21"/>
                    </w:rPr>
                  </w:pPr>
                  <w:r>
                    <w:rPr>
                      <w:rFonts w:hint="eastAsia" w:ascii="Times New Roman" w:hAnsi="Times New Roman" w:eastAsia="宋体" w:cs="Times New Roman"/>
                      <w:bCs/>
                      <w:szCs w:val="21"/>
                    </w:rPr>
                    <w:t>33.75</w:t>
                  </w:r>
                </w:p>
              </w:tc>
              <w:tc>
                <w:tcPr>
                  <w:tcW w:w="601" w:type="pct"/>
                  <w:tcBorders>
                    <w:top w:val="single" w:color="auto" w:sz="4" w:space="0"/>
                    <w:tl2br w:val="nil"/>
                    <w:tr2bl w:val="nil"/>
                  </w:tcBorders>
                  <w:vAlign w:val="center"/>
                </w:tcPr>
                <w:p w14:paraId="6700D5A6">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609" w:type="pct"/>
                  <w:tcBorders>
                    <w:top w:val="single" w:color="auto" w:sz="4" w:space="0"/>
                    <w:tl2br w:val="nil"/>
                    <w:tr2bl w:val="nil"/>
                  </w:tcBorders>
                  <w:vAlign w:val="center"/>
                </w:tcPr>
                <w:p w14:paraId="261139F1">
                  <w:pPr>
                    <w:jc w:val="center"/>
                    <w:rPr>
                      <w:rFonts w:ascii="Times New Roman" w:hAnsi="Times New Roman" w:eastAsia="宋体" w:cs="Times New Roman"/>
                      <w:bCs/>
                      <w:szCs w:val="21"/>
                    </w:rPr>
                  </w:pPr>
                  <w:r>
                    <w:rPr>
                      <w:rFonts w:hint="eastAsia" w:ascii="Times New Roman" w:hAnsi="Times New Roman" w:eastAsia="宋体" w:cs="Times New Roman"/>
                      <w:bCs/>
                      <w:szCs w:val="21"/>
                    </w:rPr>
                    <w:t>33.75</w:t>
                  </w:r>
                </w:p>
              </w:tc>
              <w:tc>
                <w:tcPr>
                  <w:tcW w:w="626" w:type="pct"/>
                  <w:tcBorders>
                    <w:top w:val="single" w:color="auto" w:sz="4" w:space="0"/>
                    <w:tl2br w:val="nil"/>
                    <w:tr2bl w:val="nil"/>
                  </w:tcBorders>
                  <w:vAlign w:val="center"/>
                </w:tcPr>
                <w:p w14:paraId="7DE896F5">
                  <w:pPr>
                    <w:jc w:val="center"/>
                    <w:rPr>
                      <w:rFonts w:ascii="Times New Roman" w:hAnsi="Times New Roman" w:eastAsia="宋体" w:cs="Times New Roman"/>
                      <w:bCs/>
                      <w:szCs w:val="21"/>
                    </w:rPr>
                  </w:pPr>
                  <w:r>
                    <w:rPr>
                      <w:rFonts w:hint="eastAsia" w:ascii="Times New Roman" w:hAnsi="Times New Roman" w:eastAsia="宋体" w:cs="Times New Roman"/>
                      <w:bCs/>
                      <w:szCs w:val="21"/>
                    </w:rPr>
                    <w:t>0</w:t>
                  </w:r>
                </w:p>
              </w:tc>
              <w:tc>
                <w:tcPr>
                  <w:tcW w:w="996" w:type="pct"/>
                  <w:tcBorders>
                    <w:top w:val="single" w:color="auto" w:sz="4" w:space="0"/>
                    <w:tl2br w:val="nil"/>
                    <w:tr2bl w:val="nil"/>
                  </w:tcBorders>
                  <w:vAlign w:val="center"/>
                </w:tcPr>
                <w:p w14:paraId="5EF42EFC">
                  <w:pPr>
                    <w:jc w:val="center"/>
                    <w:rPr>
                      <w:rFonts w:ascii="Times New Roman" w:hAnsi="Times New Roman" w:eastAsia="宋体" w:cs="Times New Roman"/>
                      <w:bCs/>
                      <w:szCs w:val="21"/>
                    </w:rPr>
                  </w:pPr>
                  <w:r>
                    <w:rPr>
                      <w:rFonts w:hint="eastAsia" w:ascii="Times New Roman" w:hAnsi="Times New Roman" w:eastAsia="宋体" w:cs="Times New Roman"/>
                      <w:bCs/>
                      <w:szCs w:val="21"/>
                    </w:rPr>
                    <w:t>损耗</w:t>
                  </w:r>
                </w:p>
              </w:tc>
            </w:tr>
            <w:tr w14:paraId="6C03C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61" w:type="pct"/>
                  <w:gridSpan w:val="2"/>
                  <w:tcBorders>
                    <w:tl2br w:val="nil"/>
                    <w:tr2bl w:val="nil"/>
                  </w:tcBorders>
                  <w:vAlign w:val="center"/>
                </w:tcPr>
                <w:p w14:paraId="29911F90">
                  <w:pPr>
                    <w:ind w:firstLine="482"/>
                    <w:rPr>
                      <w:rFonts w:ascii="Times New Roman" w:hAnsi="Times New Roman" w:eastAsia="宋体" w:cs="Times New Roman"/>
                      <w:b/>
                      <w:color w:val="FF0000"/>
                      <w:szCs w:val="21"/>
                    </w:rPr>
                  </w:pPr>
                  <w:r>
                    <w:rPr>
                      <w:rFonts w:hint="eastAsia" w:ascii="Times New Roman" w:hAnsi="Times New Roman" w:eastAsia="宋体" w:cs="Times New Roman"/>
                      <w:b/>
                      <w:color w:val="000000" w:themeColor="text1"/>
                      <w:szCs w:val="21"/>
                      <w14:textFill>
                        <w14:solidFill>
                          <w14:schemeClr w14:val="tx1"/>
                        </w14:solidFill>
                      </w14:textFill>
                    </w:rPr>
                    <w:t>小计</w:t>
                  </w:r>
                </w:p>
              </w:tc>
              <w:tc>
                <w:tcPr>
                  <w:tcW w:w="593" w:type="pct"/>
                  <w:tcBorders>
                    <w:tl2br w:val="nil"/>
                    <w:tr2bl w:val="nil"/>
                  </w:tcBorders>
                  <w:vAlign w:val="center"/>
                </w:tcPr>
                <w:p w14:paraId="3F74ACCE">
                  <w:pPr>
                    <w:jc w:val="center"/>
                    <w:rPr>
                      <w:rFonts w:ascii="Times New Roman" w:hAnsi="Times New Roman" w:eastAsia="宋体" w:cs="Times New Roman"/>
                      <w:b/>
                      <w:szCs w:val="21"/>
                    </w:rPr>
                  </w:pPr>
                  <w:r>
                    <w:rPr>
                      <w:rFonts w:hint="eastAsia" w:ascii="Times New Roman" w:hAnsi="Times New Roman" w:eastAsia="宋体" w:cs="Times New Roman"/>
                      <w:b/>
                      <w:szCs w:val="21"/>
                    </w:rPr>
                    <w:t>90347.64</w:t>
                  </w:r>
                </w:p>
              </w:tc>
              <w:tc>
                <w:tcPr>
                  <w:tcW w:w="609" w:type="pct"/>
                  <w:tcBorders>
                    <w:tl2br w:val="nil"/>
                    <w:tr2bl w:val="nil"/>
                  </w:tcBorders>
                  <w:vAlign w:val="center"/>
                </w:tcPr>
                <w:p w14:paraId="7A163E56">
                  <w:pPr>
                    <w:jc w:val="center"/>
                    <w:rPr>
                      <w:rFonts w:ascii="Times New Roman" w:hAnsi="Times New Roman" w:eastAsia="宋体" w:cs="Times New Roman"/>
                      <w:b/>
                      <w:szCs w:val="21"/>
                    </w:rPr>
                  </w:pPr>
                  <w:r>
                    <w:rPr>
                      <w:rFonts w:hint="eastAsia" w:ascii="Times New Roman" w:hAnsi="Times New Roman" w:eastAsia="宋体" w:cs="Times New Roman"/>
                      <w:b/>
                      <w:szCs w:val="21"/>
                    </w:rPr>
                    <w:t>3761.48</w:t>
                  </w:r>
                </w:p>
              </w:tc>
              <w:tc>
                <w:tcPr>
                  <w:tcW w:w="601" w:type="pct"/>
                  <w:tcBorders>
                    <w:tl2br w:val="nil"/>
                    <w:tr2bl w:val="nil"/>
                  </w:tcBorders>
                  <w:vAlign w:val="center"/>
                </w:tcPr>
                <w:p w14:paraId="426271D6">
                  <w:pPr>
                    <w:jc w:val="center"/>
                    <w:rPr>
                      <w:rFonts w:ascii="Times New Roman" w:hAnsi="Times New Roman" w:eastAsia="宋体" w:cs="Times New Roman"/>
                      <w:b/>
                      <w:szCs w:val="21"/>
                    </w:rPr>
                  </w:pPr>
                  <w:r>
                    <w:rPr>
                      <w:rFonts w:hint="eastAsia" w:ascii="Times New Roman" w:hAnsi="Times New Roman" w:eastAsia="宋体" w:cs="Times New Roman"/>
                      <w:b/>
                      <w:szCs w:val="21"/>
                    </w:rPr>
                    <w:t>86586.16</w:t>
                  </w:r>
                </w:p>
              </w:tc>
              <w:tc>
                <w:tcPr>
                  <w:tcW w:w="609" w:type="pct"/>
                  <w:tcBorders>
                    <w:tl2br w:val="nil"/>
                    <w:tr2bl w:val="nil"/>
                  </w:tcBorders>
                  <w:vAlign w:val="center"/>
                </w:tcPr>
                <w:p w14:paraId="55B5FDAD">
                  <w:pPr>
                    <w:jc w:val="center"/>
                    <w:rPr>
                      <w:rFonts w:ascii="Times New Roman" w:hAnsi="Times New Roman" w:eastAsia="宋体" w:cs="Times New Roman"/>
                      <w:b/>
                      <w:szCs w:val="21"/>
                    </w:rPr>
                  </w:pPr>
                  <w:r>
                    <w:rPr>
                      <w:rFonts w:hint="eastAsia" w:ascii="Times New Roman" w:hAnsi="Times New Roman" w:eastAsia="宋体" w:cs="Times New Roman"/>
                      <w:b/>
                      <w:szCs w:val="21"/>
                    </w:rPr>
                    <w:t>3693.08</w:t>
                  </w:r>
                </w:p>
              </w:tc>
              <w:tc>
                <w:tcPr>
                  <w:tcW w:w="626" w:type="pct"/>
                  <w:tcBorders>
                    <w:tl2br w:val="nil"/>
                    <w:tr2bl w:val="nil"/>
                  </w:tcBorders>
                  <w:vAlign w:val="center"/>
                </w:tcPr>
                <w:p w14:paraId="41D1B502">
                  <w:pPr>
                    <w:jc w:val="center"/>
                    <w:rPr>
                      <w:rFonts w:ascii="Times New Roman" w:hAnsi="Times New Roman" w:eastAsia="宋体" w:cs="Times New Roman"/>
                      <w:b/>
                      <w:szCs w:val="21"/>
                    </w:rPr>
                  </w:pPr>
                  <w:r>
                    <w:rPr>
                      <w:rFonts w:hint="eastAsia" w:ascii="Times New Roman" w:hAnsi="Times New Roman" w:eastAsia="宋体" w:cs="Times New Roman"/>
                      <w:b/>
                      <w:szCs w:val="21"/>
                    </w:rPr>
                    <w:t>68.4</w:t>
                  </w:r>
                </w:p>
              </w:tc>
              <w:tc>
                <w:tcPr>
                  <w:tcW w:w="996" w:type="pct"/>
                  <w:tcBorders>
                    <w:tl2br w:val="nil"/>
                    <w:tr2bl w:val="nil"/>
                  </w:tcBorders>
                  <w:vAlign w:val="center"/>
                </w:tcPr>
                <w:p w14:paraId="2519DB6E">
                  <w:pPr>
                    <w:jc w:val="center"/>
                    <w:rPr>
                      <w:rFonts w:ascii="Times New Roman" w:hAnsi="Times New Roman" w:eastAsia="宋体" w:cs="Times New Roman"/>
                      <w:b/>
                      <w:color w:val="auto"/>
                      <w:szCs w:val="21"/>
                    </w:rPr>
                  </w:pPr>
                  <w:r>
                    <w:rPr>
                      <w:rFonts w:ascii="Times New Roman" w:hAnsi="Times New Roman" w:eastAsia="宋体" w:cs="Times New Roman"/>
                      <w:b/>
                      <w:color w:val="auto"/>
                      <w:szCs w:val="21"/>
                    </w:rPr>
                    <w:t>/</w:t>
                  </w:r>
                </w:p>
              </w:tc>
            </w:tr>
            <w:tr w14:paraId="7B04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61" w:type="pct"/>
                  <w:gridSpan w:val="2"/>
                  <w:tcBorders>
                    <w:tl2br w:val="nil"/>
                    <w:tr2bl w:val="nil"/>
                  </w:tcBorders>
                  <w:vAlign w:val="center"/>
                </w:tcPr>
                <w:p w14:paraId="68C1686F">
                  <w:pPr>
                    <w:ind w:firstLine="482"/>
                    <w:rPr>
                      <w:rFonts w:ascii="Times New Roman" w:hAnsi="Times New Roman" w:eastAsia="宋体" w:cs="Times New Roman"/>
                      <w:b/>
                      <w:color w:val="FF0000"/>
                      <w:szCs w:val="21"/>
                    </w:rPr>
                  </w:pPr>
                  <w:r>
                    <w:rPr>
                      <w:rFonts w:hint="eastAsia" w:ascii="Times New Roman" w:hAnsi="Times New Roman" w:eastAsia="宋体" w:cs="Times New Roman"/>
                      <w:b/>
                      <w:color w:val="000000" w:themeColor="text1"/>
                      <w:szCs w:val="21"/>
                      <w14:textFill>
                        <w14:solidFill>
                          <w14:schemeClr w14:val="tx1"/>
                        </w14:solidFill>
                      </w14:textFill>
                    </w:rPr>
                    <w:t>合计</w:t>
                  </w:r>
                </w:p>
              </w:tc>
              <w:tc>
                <w:tcPr>
                  <w:tcW w:w="596" w:type="pct"/>
                  <w:tcBorders>
                    <w:tl2br w:val="nil"/>
                    <w:tr2bl w:val="nil"/>
                  </w:tcBorders>
                  <w:vAlign w:val="center"/>
                </w:tcPr>
                <w:p w14:paraId="5ED048A8">
                  <w:pPr>
                    <w:jc w:val="center"/>
                    <w:rPr>
                      <w:rFonts w:ascii="Times New Roman" w:hAnsi="Times New Roman" w:eastAsia="宋体" w:cs="Times New Roman"/>
                      <w:b/>
                      <w:szCs w:val="21"/>
                    </w:rPr>
                  </w:pPr>
                  <w:r>
                    <w:rPr>
                      <w:rFonts w:hint="eastAsia" w:ascii="Times New Roman" w:hAnsi="Times New Roman" w:eastAsia="宋体" w:cs="Times New Roman"/>
                      <w:b/>
                      <w:szCs w:val="21"/>
                    </w:rPr>
                    <w:t>/</w:t>
                  </w:r>
                </w:p>
              </w:tc>
              <w:tc>
                <w:tcPr>
                  <w:tcW w:w="606" w:type="pct"/>
                  <w:tcBorders>
                    <w:tl2br w:val="nil"/>
                    <w:tr2bl w:val="nil"/>
                  </w:tcBorders>
                  <w:vAlign w:val="center"/>
                </w:tcPr>
                <w:p w14:paraId="7780492B">
                  <w:pPr>
                    <w:jc w:val="center"/>
                    <w:rPr>
                      <w:rFonts w:ascii="Times New Roman" w:hAnsi="Times New Roman" w:eastAsia="宋体" w:cs="Times New Roman"/>
                      <w:b/>
                      <w:szCs w:val="21"/>
                    </w:rPr>
                  </w:pPr>
                  <w:r>
                    <w:rPr>
                      <w:rFonts w:ascii="Times New Roman" w:hAnsi="Times New Roman" w:eastAsia="宋体" w:cs="Times New Roman"/>
                      <w:b/>
                      <w:szCs w:val="21"/>
                    </w:rPr>
                    <w:t>3761.48</w:t>
                  </w:r>
                </w:p>
              </w:tc>
              <w:tc>
                <w:tcPr>
                  <w:tcW w:w="604" w:type="pct"/>
                  <w:tcBorders>
                    <w:tl2br w:val="nil"/>
                    <w:tr2bl w:val="nil"/>
                  </w:tcBorders>
                  <w:vAlign w:val="center"/>
                </w:tcPr>
                <w:p w14:paraId="0F83E54B">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233" w:type="pct"/>
                  <w:gridSpan w:val="2"/>
                  <w:tcBorders>
                    <w:tl2br w:val="nil"/>
                    <w:tr2bl w:val="nil"/>
                  </w:tcBorders>
                  <w:vAlign w:val="center"/>
                </w:tcPr>
                <w:p w14:paraId="52002CA9">
                  <w:pPr>
                    <w:jc w:val="center"/>
                    <w:rPr>
                      <w:rFonts w:ascii="Times New Roman" w:hAnsi="Times New Roman" w:eastAsia="宋体" w:cs="Times New Roman"/>
                      <w:b/>
                      <w:szCs w:val="21"/>
                    </w:rPr>
                  </w:pPr>
                  <w:r>
                    <w:rPr>
                      <w:rFonts w:hint="eastAsia" w:ascii="Times New Roman" w:hAnsi="Times New Roman" w:eastAsia="宋体" w:cs="Times New Roman"/>
                      <w:b/>
                      <w:szCs w:val="21"/>
                    </w:rPr>
                    <w:t>3761.48</w:t>
                  </w:r>
                </w:p>
              </w:tc>
              <w:tc>
                <w:tcPr>
                  <w:tcW w:w="996" w:type="pct"/>
                  <w:tcBorders>
                    <w:tl2br w:val="nil"/>
                    <w:tr2bl w:val="nil"/>
                  </w:tcBorders>
                  <w:vAlign w:val="center"/>
                </w:tcPr>
                <w:p w14:paraId="6BBE34FF">
                  <w:pPr>
                    <w:jc w:val="center"/>
                    <w:rPr>
                      <w:rFonts w:ascii="Times New Roman" w:hAnsi="Times New Roman" w:eastAsia="宋体" w:cs="Times New Roman"/>
                      <w:b/>
                      <w:color w:val="auto"/>
                      <w:szCs w:val="21"/>
                    </w:rPr>
                  </w:pPr>
                  <w:r>
                    <w:rPr>
                      <w:rFonts w:hint="eastAsia" w:ascii="Times New Roman" w:hAnsi="Times New Roman" w:eastAsia="宋体" w:cs="Times New Roman"/>
                      <w:b/>
                      <w:color w:val="auto"/>
                      <w:szCs w:val="21"/>
                    </w:rPr>
                    <w:t>平衡</w:t>
                  </w:r>
                </w:p>
              </w:tc>
            </w:tr>
          </w:tbl>
          <w:p w14:paraId="638729E4">
            <w:pPr>
              <w:jc w:val="center"/>
              <w:rPr>
                <w:rFonts w:ascii="Times New Roman" w:hAnsi="Times New Roman" w:eastAsia="宋体" w:cs="宋体-PUA"/>
                <w:b/>
                <w:color w:val="000000" w:themeColor="text1"/>
                <w:sz w:val="24"/>
                <w:shd w:val="clear" w:color="auto" w:fill="FFFFFF"/>
                <w14:textFill>
                  <w14:solidFill>
                    <w14:schemeClr w14:val="tx1"/>
                  </w14:solidFill>
                </w14:textFill>
              </w:rPr>
            </w:pPr>
            <w:r>
              <w:rPr>
                <w:rFonts w:hint="eastAsia" w:ascii="Times New Roman" w:hAnsi="Times New Roman" w:eastAsia="宋体" w:cs="宋体-PUA"/>
                <w:b/>
                <w:color w:val="000000" w:themeColor="text1"/>
                <w:sz w:val="24"/>
                <w:shd w:val="clear" w:color="auto" w:fill="FFFFFF"/>
                <w14:textFill>
                  <w14:solidFill>
                    <w14:schemeClr w14:val="tx1"/>
                  </w14:solidFill>
                </w14:textFill>
              </w:rPr>
              <w:drawing>
                <wp:inline distT="0" distB="0" distL="114300" distR="114300">
                  <wp:extent cx="3683635" cy="5289550"/>
                  <wp:effectExtent l="0" t="0" r="0" b="0"/>
                  <wp:docPr id="9" name="E657119C-6982-421D-8BA7-E74DEB70A7D9-1" descr="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657119C-6982-421D-8BA7-E74DEB70A7D9-1" descr="wpsoffice"/>
                          <pic:cNvPicPr>
                            <a:picLocks noChangeAspect="1"/>
                          </pic:cNvPicPr>
                        </pic:nvPicPr>
                        <pic:blipFill>
                          <a:blip r:embed="rId9"/>
                          <a:stretch>
                            <a:fillRect/>
                          </a:stretch>
                        </pic:blipFill>
                        <pic:spPr>
                          <a:xfrm>
                            <a:off x="0" y="0"/>
                            <a:ext cx="3683635" cy="5289550"/>
                          </a:xfrm>
                          <a:prstGeom prst="rect">
                            <a:avLst/>
                          </a:prstGeom>
                        </pic:spPr>
                      </pic:pic>
                    </a:graphicData>
                  </a:graphic>
                </wp:inline>
              </w:drawing>
            </w:r>
          </w:p>
          <w:p w14:paraId="535EF98D">
            <w:pPr>
              <w:spacing w:line="360" w:lineRule="auto"/>
              <w:jc w:val="center"/>
              <w:rPr>
                <w:rFonts w:hint="eastAsia" w:ascii="Times New Roman" w:hAnsi="Times New Roman" w:eastAsia="宋体" w:cs="Times New Roman"/>
                <w:b/>
                <w:sz w:val="24"/>
              </w:rPr>
            </w:pPr>
            <w:r>
              <w:rPr>
                <w:rFonts w:ascii="Times New Roman" w:hAnsi="Times New Roman" w:eastAsia="宋体" w:cs="Times New Roman"/>
                <w:b/>
                <w:sz w:val="24"/>
              </w:rPr>
              <w:t>图2-1 本项目水量平衡图 单位：</w:t>
            </w:r>
            <w:r>
              <w:rPr>
                <w:rFonts w:hint="eastAsia" w:ascii="Times New Roman" w:hAnsi="Times New Roman" w:eastAsia="宋体" w:cs="Times New Roman"/>
                <w:b/>
                <w:sz w:val="24"/>
              </w:rPr>
              <w:t>m</w:t>
            </w:r>
            <w:r>
              <w:rPr>
                <w:rFonts w:hint="eastAsia" w:ascii="Times New Roman" w:hAnsi="Times New Roman" w:eastAsia="宋体" w:cs="Times New Roman"/>
                <w:b/>
                <w:sz w:val="24"/>
                <w:vertAlign w:val="superscript"/>
              </w:rPr>
              <w:t>3</w:t>
            </w:r>
            <w:r>
              <w:rPr>
                <w:rFonts w:ascii="Times New Roman" w:hAnsi="Times New Roman" w:eastAsia="宋体" w:cs="Times New Roman"/>
                <w:b/>
                <w:sz w:val="24"/>
              </w:rPr>
              <w:t>/</w:t>
            </w:r>
            <w:r>
              <w:rPr>
                <w:rFonts w:hint="eastAsia" w:ascii="Times New Roman" w:hAnsi="Times New Roman" w:eastAsia="宋体" w:cs="Times New Roman"/>
                <w:b/>
                <w:sz w:val="24"/>
              </w:rPr>
              <w:t>a</w:t>
            </w:r>
          </w:p>
          <w:p w14:paraId="2C3713C5"/>
          <w:p w14:paraId="0A9C55B7"/>
        </w:tc>
      </w:tr>
      <w:tr w14:paraId="7C19F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1" w:hRule="atLeast"/>
          <w:jc w:val="center"/>
        </w:trPr>
        <w:tc>
          <w:tcPr>
            <w:tcW w:w="248" w:type="pct"/>
            <w:tcBorders>
              <w:tl2br w:val="nil"/>
              <w:tr2bl w:val="nil"/>
            </w:tcBorders>
            <w:vAlign w:val="center"/>
          </w:tcPr>
          <w:p w14:paraId="5DC1F3F4">
            <w:pPr>
              <w:pStyle w:val="25"/>
              <w:adjustRightInd w:val="0"/>
              <w:snapToGrid w:val="0"/>
              <w:spacing w:beforeAutospacing="0" w:afterAutospacing="0"/>
              <w:ind w:firstLine="482"/>
              <w:jc w:val="center"/>
              <w:rPr>
                <w:rFonts w:cs="宋体"/>
                <w:b/>
                <w:bCs/>
                <w:szCs w:val="24"/>
              </w:rPr>
            </w:pPr>
            <w:r>
              <w:rPr>
                <w:rFonts w:cs="宋体"/>
                <w:b/>
                <w:bCs/>
                <w:szCs w:val="24"/>
              </w:rPr>
              <w:t>工工艺流程和产排污环节</w:t>
            </w:r>
          </w:p>
        </w:tc>
        <w:tc>
          <w:tcPr>
            <w:tcW w:w="4751" w:type="pct"/>
            <w:tcBorders>
              <w:tl2br w:val="nil"/>
              <w:tr2bl w:val="nil"/>
            </w:tcBorders>
          </w:tcPr>
          <w:p w14:paraId="74B8CF00">
            <w:pPr>
              <w:wordWrap w:val="0"/>
              <w:topLinePunct/>
              <w:snapToGrid w:val="0"/>
              <w:spacing w:line="360" w:lineRule="auto"/>
              <w:rPr>
                <w:rFonts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rPr>
              <w:t>4施工期工艺流程简述</w:t>
            </w:r>
          </w:p>
          <w:p w14:paraId="74538507">
            <w:pPr>
              <w:wordWrap w:val="0"/>
              <w:topLinePunct/>
              <w:snapToGrid w:val="0"/>
              <w:spacing w:line="360" w:lineRule="auto"/>
              <w:ind w:firstLine="482" w:firstLineChars="200"/>
              <w:rPr>
                <w:rFonts w:hint="eastAsia" w:ascii="Times New Roman" w:hAnsi="Times New Roman" w:eastAsia="宋体" w:cs="Times New Roman"/>
                <w:b/>
                <w:bCs/>
                <w:color w:val="1331F5"/>
                <w:sz w:val="24"/>
                <w:highlight w:val="none"/>
                <w:lang w:val="zh-CN"/>
              </w:rPr>
            </w:pPr>
            <w:r>
              <w:rPr>
                <w:rFonts w:hint="eastAsia" w:ascii="Times New Roman" w:hAnsi="Times New Roman" w:eastAsia="宋体" w:cs="Times New Roman"/>
                <w:b/>
                <w:bCs/>
                <w:color w:val="1331F5"/>
                <w:sz w:val="24"/>
                <w:highlight w:val="none"/>
                <w:lang w:val="zh-CN"/>
              </w:rPr>
              <w:t>4.1已建工程施工情况</w:t>
            </w:r>
            <w:r>
              <w:rPr>
                <w:rFonts w:hint="eastAsia" w:ascii="Times New Roman" w:hAnsi="Times New Roman" w:eastAsia="宋体" w:cs="Times New Roman"/>
                <w:b/>
                <w:bCs/>
                <w:color w:val="1331F5"/>
                <w:sz w:val="24"/>
                <w:highlight w:val="none"/>
                <w:lang w:val="en-US" w:eastAsia="zh-CN"/>
              </w:rPr>
              <w:t>调查</w:t>
            </w:r>
            <w:r>
              <w:rPr>
                <w:rFonts w:hint="eastAsia" w:ascii="Times New Roman" w:hAnsi="Times New Roman" w:eastAsia="宋体" w:cs="Times New Roman"/>
                <w:b/>
                <w:bCs/>
                <w:color w:val="1331F5"/>
                <w:sz w:val="24"/>
                <w:highlight w:val="none"/>
                <w:lang w:val="zh-CN"/>
              </w:rPr>
              <w:t>回顾</w:t>
            </w:r>
          </w:p>
          <w:p w14:paraId="4063ECAF">
            <w:pPr>
              <w:wordWrap w:val="0"/>
              <w:topLinePunct/>
              <w:snapToGrid w:val="0"/>
              <w:spacing w:line="360" w:lineRule="auto"/>
              <w:ind w:firstLine="480" w:firstLineChars="200"/>
              <w:rPr>
                <w:rFonts w:hint="eastAsia" w:ascii="Times New Roman" w:hAnsi="Times New Roman" w:eastAsia="宋体" w:cs="Times New Roman"/>
                <w:color w:val="1331F5"/>
                <w:sz w:val="24"/>
                <w:highlight w:val="none"/>
                <w:lang w:val="zh-CN"/>
              </w:rPr>
            </w:pPr>
            <w:r>
              <w:rPr>
                <w:rFonts w:hint="eastAsia" w:ascii="Times New Roman" w:hAnsi="Times New Roman" w:eastAsia="宋体" w:cs="Times New Roman"/>
                <w:color w:val="1331F5"/>
                <w:sz w:val="24"/>
                <w:highlight w:val="none"/>
                <w:lang w:val="zh-CN"/>
              </w:rPr>
              <w:t>本项目主体工程（包括</w:t>
            </w:r>
            <w:r>
              <w:rPr>
                <w:rFonts w:hint="eastAsia" w:ascii="Times New Roman" w:hAnsi="Times New Roman" w:eastAsia="宋体" w:cs="Times New Roman"/>
                <w:color w:val="1331F5"/>
                <w:sz w:val="24"/>
                <w:highlight w:val="none"/>
                <w:lang w:val="en-US" w:eastAsia="zh-CN"/>
              </w:rPr>
              <w:t>1条</w:t>
            </w:r>
            <w:r>
              <w:rPr>
                <w:rFonts w:hint="eastAsia" w:ascii="Times New Roman" w:hAnsi="Times New Roman" w:eastAsia="宋体" w:cs="Times New Roman"/>
                <w:color w:val="1331F5"/>
                <w:sz w:val="24"/>
                <w:highlight w:val="none"/>
                <w:lang w:val="zh-CN"/>
              </w:rPr>
              <w:t>耐候性沥青混凝土生产线（</w:t>
            </w:r>
            <w:r>
              <w:rPr>
                <w:rFonts w:hint="eastAsia" w:ascii="Times New Roman" w:hAnsi="Times New Roman" w:eastAsia="宋体" w:cs="Times New Roman"/>
                <w:color w:val="1331F5"/>
                <w:sz w:val="24"/>
                <w:highlight w:val="none"/>
                <w:lang w:val="en-US" w:eastAsia="zh-CN"/>
              </w:rPr>
              <w:t>沥青拌合楼</w:t>
            </w:r>
            <w:r>
              <w:rPr>
                <w:rFonts w:hint="eastAsia" w:ascii="Times New Roman" w:hAnsi="Times New Roman" w:eastAsia="宋体" w:cs="Times New Roman"/>
                <w:color w:val="1331F5"/>
                <w:sz w:val="24"/>
                <w:highlight w:val="none"/>
                <w:lang w:val="zh-CN"/>
              </w:rPr>
              <w:t>）、</w:t>
            </w:r>
            <w:r>
              <w:rPr>
                <w:rFonts w:hint="eastAsia" w:ascii="Times New Roman" w:hAnsi="Times New Roman" w:eastAsia="宋体" w:cs="Times New Roman"/>
                <w:color w:val="1331F5"/>
                <w:sz w:val="24"/>
                <w:highlight w:val="none"/>
                <w:lang w:val="en-US" w:eastAsia="zh-CN"/>
              </w:rPr>
              <w:t>1条</w:t>
            </w:r>
            <w:r>
              <w:rPr>
                <w:rFonts w:hint="eastAsia" w:ascii="Times New Roman" w:hAnsi="Times New Roman" w:eastAsia="宋体" w:cs="Times New Roman"/>
                <w:color w:val="1331F5"/>
                <w:sz w:val="24"/>
                <w:highlight w:val="none"/>
                <w:lang w:val="zh-CN"/>
              </w:rPr>
              <w:t>乳化沥青生产线及相关配套设施（</w:t>
            </w:r>
            <w:r>
              <w:rPr>
                <w:rFonts w:hint="eastAsia" w:ascii="Times New Roman" w:hAnsi="Times New Roman" w:eastAsia="宋体" w:cs="Times New Roman"/>
                <w:color w:val="1331F5"/>
                <w:sz w:val="24"/>
                <w:highlight w:val="none"/>
                <w:lang w:val="en-US" w:eastAsia="zh-CN"/>
              </w:rPr>
              <w:t>原料堆棚、冷料仓、沥青储罐、柴油储罐、有机热载体炉、废料仓、综合办公区域等</w:t>
            </w:r>
            <w:r>
              <w:rPr>
                <w:rFonts w:hint="eastAsia" w:ascii="Times New Roman" w:hAnsi="Times New Roman" w:eastAsia="宋体" w:cs="Times New Roman"/>
                <w:color w:val="1331F5"/>
                <w:sz w:val="24"/>
                <w:highlight w:val="none"/>
                <w:lang w:val="zh-CN"/>
              </w:rPr>
              <w:t>））已在</w:t>
            </w:r>
            <w:r>
              <w:rPr>
                <w:rFonts w:hint="eastAsia" w:ascii="Times New Roman" w:hAnsi="Times New Roman" w:eastAsia="宋体" w:cs="Times New Roman"/>
                <w:color w:val="1331F5"/>
                <w:sz w:val="24"/>
                <w:highlight w:val="none"/>
                <w:lang w:val="en-US" w:eastAsia="zh-CN"/>
              </w:rPr>
              <w:t>履行本项目环境影响评价手续前建设完成</w:t>
            </w:r>
            <w:r>
              <w:rPr>
                <w:rFonts w:hint="eastAsia" w:ascii="Times New Roman" w:hAnsi="Times New Roman" w:eastAsia="宋体" w:cs="Times New Roman"/>
                <w:color w:val="1331F5"/>
                <w:sz w:val="24"/>
                <w:highlight w:val="none"/>
                <w:lang w:val="zh-CN"/>
              </w:rPr>
              <w:t>；施工期主要施工流程包括施工准备、场地平整、基础工程、主体工程施工建设及设施设备安装等工序，施工人员均为周边居民，施工期</w:t>
            </w:r>
            <w:r>
              <w:rPr>
                <w:rFonts w:hint="eastAsia" w:ascii="Times New Roman" w:hAnsi="Times New Roman" w:eastAsia="宋体" w:cs="Times New Roman"/>
                <w:color w:val="1331F5"/>
                <w:sz w:val="24"/>
                <w:highlight w:val="none"/>
                <w:lang w:val="en-US" w:eastAsia="zh-CN"/>
              </w:rPr>
              <w:t>未</w:t>
            </w:r>
            <w:r>
              <w:rPr>
                <w:rFonts w:hint="eastAsia" w:ascii="Times New Roman" w:hAnsi="Times New Roman" w:eastAsia="宋体" w:cs="Times New Roman"/>
                <w:color w:val="1331F5"/>
                <w:sz w:val="24"/>
                <w:highlight w:val="none"/>
                <w:lang w:val="zh-CN"/>
              </w:rPr>
              <w:t>设置施工营地，</w:t>
            </w:r>
            <w:r>
              <w:rPr>
                <w:rFonts w:hint="eastAsia" w:ascii="Times New Roman" w:hAnsi="Times New Roman" w:eastAsia="宋体" w:cs="Times New Roman"/>
                <w:color w:val="1331F5"/>
                <w:sz w:val="24"/>
                <w:highlight w:val="none"/>
              </w:rPr>
              <w:t>本项目</w:t>
            </w:r>
            <w:r>
              <w:rPr>
                <w:rFonts w:hint="eastAsia" w:ascii="Times New Roman" w:hAnsi="Times New Roman" w:eastAsia="宋体" w:cs="Times New Roman"/>
                <w:color w:val="1331F5"/>
                <w:sz w:val="24"/>
                <w:highlight w:val="none"/>
                <w:lang w:val="en-US" w:eastAsia="zh-CN"/>
              </w:rPr>
              <w:t>建设</w:t>
            </w:r>
            <w:r>
              <w:rPr>
                <w:rFonts w:hint="eastAsia" w:ascii="Times New Roman" w:hAnsi="Times New Roman" w:eastAsia="宋体" w:cs="Times New Roman"/>
                <w:color w:val="1331F5"/>
                <w:sz w:val="24"/>
                <w:highlight w:val="none"/>
              </w:rPr>
              <w:t>场地</w:t>
            </w:r>
            <w:r>
              <w:rPr>
                <w:rFonts w:hint="eastAsia" w:ascii="Times New Roman" w:hAnsi="Times New Roman" w:eastAsia="宋体" w:cs="Times New Roman"/>
                <w:color w:val="1331F5"/>
                <w:sz w:val="24"/>
                <w:highlight w:val="none"/>
                <w:lang w:val="en-US" w:eastAsia="zh-CN"/>
              </w:rPr>
              <w:t>原</w:t>
            </w:r>
            <w:r>
              <w:rPr>
                <w:rFonts w:hint="eastAsia" w:ascii="Times New Roman" w:hAnsi="Times New Roman" w:eastAsia="宋体" w:cs="Times New Roman"/>
                <w:color w:val="1331F5"/>
                <w:sz w:val="24"/>
                <w:highlight w:val="none"/>
              </w:rPr>
              <w:t>为空地，</w:t>
            </w:r>
            <w:r>
              <w:rPr>
                <w:rFonts w:hint="eastAsia" w:ascii="Times New Roman" w:hAnsi="Times New Roman" w:eastAsia="宋体" w:cs="Times New Roman"/>
                <w:color w:val="1331F5"/>
                <w:sz w:val="24"/>
                <w:highlight w:val="none"/>
                <w:lang w:val="zh-CN"/>
              </w:rPr>
              <w:t>无改造、拆除的工程内容。施工过程中产生的污染物主要为：</w:t>
            </w:r>
            <w:r>
              <w:rPr>
                <w:rFonts w:hint="eastAsia" w:ascii="Times New Roman" w:hAnsi="Times New Roman" w:eastAsia="宋体" w:cs="Times New Roman"/>
                <w:color w:val="1331F5"/>
                <w:sz w:val="24"/>
                <w:highlight w:val="none"/>
              </w:rPr>
              <w:t>场地平整、</w:t>
            </w:r>
            <w:r>
              <w:rPr>
                <w:rFonts w:ascii="Times New Roman" w:hAnsi="Times New Roman" w:eastAsia="宋体" w:cs="Times New Roman"/>
                <w:color w:val="1331F5"/>
                <w:sz w:val="24"/>
                <w:highlight w:val="none"/>
              </w:rPr>
              <w:t>基础工程及主体工程施工</w:t>
            </w:r>
            <w:r>
              <w:rPr>
                <w:rFonts w:hint="eastAsia" w:ascii="Times New Roman" w:hAnsi="Times New Roman" w:eastAsia="宋体" w:cs="Times New Roman"/>
                <w:color w:val="1331F5"/>
                <w:sz w:val="24"/>
                <w:highlight w:val="none"/>
                <w:lang w:val="zh-CN"/>
              </w:rPr>
              <w:t>等过程产生的施工扬尘和车辆尾气；施工</w:t>
            </w:r>
            <w:r>
              <w:rPr>
                <w:rFonts w:hint="eastAsia" w:ascii="Times New Roman" w:hAnsi="Times New Roman" w:eastAsia="宋体" w:cs="Times New Roman"/>
                <w:color w:val="1331F5"/>
                <w:sz w:val="24"/>
                <w:highlight w:val="none"/>
              </w:rPr>
              <w:t>噪声、</w:t>
            </w:r>
            <w:r>
              <w:rPr>
                <w:rFonts w:hint="eastAsia" w:ascii="Times New Roman" w:hAnsi="Times New Roman" w:eastAsia="宋体" w:cs="Times New Roman"/>
                <w:color w:val="1331F5"/>
                <w:sz w:val="24"/>
                <w:highlight w:val="none"/>
                <w:lang w:val="zh-CN"/>
              </w:rPr>
              <w:t>机械</w:t>
            </w:r>
            <w:r>
              <w:rPr>
                <w:rFonts w:hint="eastAsia" w:ascii="Times New Roman" w:hAnsi="Times New Roman" w:eastAsia="宋体" w:cs="Times New Roman"/>
                <w:color w:val="1331F5"/>
                <w:sz w:val="24"/>
                <w:highlight w:val="none"/>
              </w:rPr>
              <w:t>设备噪声</w:t>
            </w:r>
            <w:r>
              <w:rPr>
                <w:rFonts w:hint="eastAsia" w:ascii="Times New Roman" w:hAnsi="Times New Roman" w:eastAsia="宋体" w:cs="Times New Roman"/>
                <w:color w:val="1331F5"/>
                <w:sz w:val="24"/>
                <w:highlight w:val="none"/>
                <w:lang w:val="zh-CN"/>
              </w:rPr>
              <w:t>及运输车辆产生的噪声；施工废水；建筑施工垃圾及施工人员生活垃圾等。</w:t>
            </w:r>
          </w:p>
          <w:p w14:paraId="37DA342E">
            <w:pPr>
              <w:wordWrap w:val="0"/>
              <w:topLinePunct/>
              <w:snapToGrid w:val="0"/>
              <w:spacing w:line="360" w:lineRule="auto"/>
              <w:ind w:firstLine="480" w:firstLineChars="200"/>
              <w:rPr>
                <w:rFonts w:hint="default" w:ascii="Times New Roman" w:hAnsi="Times New Roman" w:eastAsia="宋体" w:cs="Times New Roman"/>
                <w:color w:val="1331F5"/>
                <w:sz w:val="24"/>
                <w:highlight w:val="none"/>
                <w:lang w:val="en-US" w:eastAsia="zh-CN"/>
              </w:rPr>
            </w:pPr>
            <w:r>
              <w:rPr>
                <w:rFonts w:hint="eastAsia" w:ascii="Times New Roman" w:hAnsi="Times New Roman" w:eastAsia="宋体" w:cs="Times New Roman"/>
                <w:color w:val="1331F5"/>
                <w:sz w:val="24"/>
                <w:highlight w:val="none"/>
                <w:lang w:val="zh-CN"/>
              </w:rPr>
              <w:t>经现场踏勘</w:t>
            </w:r>
            <w:r>
              <w:rPr>
                <w:rFonts w:hint="eastAsia" w:ascii="Times New Roman" w:hAnsi="Times New Roman" w:eastAsia="宋体" w:cs="Times New Roman"/>
                <w:color w:val="1331F5"/>
                <w:sz w:val="24"/>
                <w:highlight w:val="none"/>
                <w:lang w:val="en-US" w:eastAsia="zh-CN"/>
              </w:rPr>
              <w:t>及调查</w:t>
            </w:r>
            <w:r>
              <w:rPr>
                <w:rFonts w:hint="eastAsia" w:ascii="Times New Roman" w:hAnsi="Times New Roman" w:eastAsia="宋体" w:cs="Times New Roman"/>
                <w:color w:val="1331F5"/>
                <w:sz w:val="24"/>
                <w:highlight w:val="none"/>
                <w:lang w:val="zh-CN"/>
              </w:rPr>
              <w:t>，</w:t>
            </w:r>
            <w:r>
              <w:rPr>
                <w:rFonts w:hint="eastAsia" w:ascii="Times New Roman" w:hAnsi="Times New Roman" w:eastAsia="宋体" w:cs="Times New Roman"/>
                <w:color w:val="1331F5"/>
                <w:sz w:val="24"/>
                <w:highlight w:val="none"/>
                <w:lang w:val="en-US" w:eastAsia="zh-CN"/>
              </w:rPr>
              <w:t>本项目</w:t>
            </w:r>
            <w:r>
              <w:rPr>
                <w:rFonts w:hint="eastAsia" w:ascii="Times New Roman" w:hAnsi="Times New Roman" w:eastAsia="宋体" w:cs="Times New Roman"/>
                <w:color w:val="1331F5"/>
                <w:sz w:val="24"/>
                <w:highlight w:val="none"/>
                <w:lang w:val="zh-CN"/>
              </w:rPr>
              <w:t>施工期较短，施工范围局限于厂区内部，施工期各类污染物均得到合理处置，施工期环境影响随施工结束而</w:t>
            </w:r>
            <w:r>
              <w:rPr>
                <w:rFonts w:hint="eastAsia" w:ascii="Times New Roman" w:hAnsi="Times New Roman" w:eastAsia="宋体" w:cs="Times New Roman"/>
                <w:color w:val="1331F5"/>
                <w:sz w:val="24"/>
                <w:highlight w:val="none"/>
                <w:lang w:val="en-US" w:eastAsia="zh-CN"/>
              </w:rPr>
              <w:t>结束</w:t>
            </w:r>
            <w:r>
              <w:rPr>
                <w:rFonts w:hint="eastAsia" w:ascii="Times New Roman" w:hAnsi="Times New Roman" w:eastAsia="宋体" w:cs="Times New Roman"/>
                <w:color w:val="1331F5"/>
                <w:sz w:val="24"/>
                <w:highlight w:val="none"/>
                <w:lang w:val="zh-CN"/>
              </w:rPr>
              <w:t>。</w:t>
            </w:r>
            <w:r>
              <w:rPr>
                <w:rFonts w:hint="eastAsia" w:ascii="Times New Roman" w:hAnsi="Times New Roman" w:eastAsia="宋体" w:cs="Times New Roman"/>
                <w:color w:val="1331F5"/>
                <w:sz w:val="24"/>
                <w:highlight w:val="none"/>
                <w:lang w:val="en-US" w:eastAsia="zh-CN"/>
              </w:rPr>
              <w:t>本项目现场</w:t>
            </w:r>
            <w:r>
              <w:rPr>
                <w:rFonts w:hint="eastAsia" w:ascii="Times New Roman" w:hAnsi="Times New Roman" w:eastAsia="宋体" w:cs="Times New Roman"/>
                <w:color w:val="1331F5"/>
                <w:sz w:val="24"/>
                <w:highlight w:val="none"/>
                <w:lang w:val="zh-CN"/>
              </w:rPr>
              <w:t>未发现因施工期遗留的环境问题，无环境信访投诉记录；</w:t>
            </w:r>
            <w:r>
              <w:rPr>
                <w:rFonts w:hint="eastAsia" w:ascii="Times New Roman" w:hAnsi="Times New Roman" w:eastAsia="宋体" w:cs="Times New Roman"/>
                <w:color w:val="1331F5"/>
                <w:sz w:val="24"/>
                <w:highlight w:val="none"/>
                <w:lang w:val="en-US" w:eastAsia="zh-CN"/>
              </w:rPr>
              <w:t>根据张掖市生态环境局出具的《张掖市生态环境局不予行政处罚决定书》（张环（临）不罚【2026】4号）载明：“甘肃聚联新型材料有限公司（即本项目主体建设单位）未批先建行为属于违法行为轻微并及时改正，没有造成危害后果的。</w:t>
            </w:r>
          </w:p>
          <w:p w14:paraId="292669E7">
            <w:pPr>
              <w:wordWrap w:val="0"/>
              <w:topLinePunct/>
              <w:snapToGrid w:val="0"/>
              <w:spacing w:line="360" w:lineRule="auto"/>
              <w:ind w:firstLine="480" w:firstLineChars="200"/>
              <w:rPr>
                <w:rFonts w:ascii="Times New Roman" w:hAnsi="Times New Roman" w:eastAsia="宋体" w:cs="Times New Roman"/>
                <w:color w:val="1331F5"/>
                <w:sz w:val="24"/>
                <w:highlight w:val="yellow"/>
                <w:lang w:val="zh-CN"/>
              </w:rPr>
            </w:pPr>
            <w:r>
              <w:rPr>
                <w:rFonts w:hint="eastAsia" w:ascii="Times New Roman" w:hAnsi="Times New Roman" w:eastAsia="宋体" w:cs="Times New Roman"/>
                <w:color w:val="1331F5"/>
                <w:sz w:val="24"/>
                <w:highlight w:val="none"/>
                <w:lang w:val="zh-CN"/>
              </w:rPr>
              <w:t>施工期主要施工流程与产污环节见图2-2。</w:t>
            </w:r>
          </w:p>
          <w:p w14:paraId="29391C8F">
            <w:pPr>
              <w:wordWrap w:val="0"/>
              <w:topLinePunct/>
              <w:snapToGrid w:val="0"/>
              <w:spacing w:line="360" w:lineRule="auto"/>
              <w:jc w:val="center"/>
              <w:rPr>
                <w:rFonts w:hint="eastAsia" w:ascii="Times New Roman" w:hAnsi="Times New Roman" w:eastAsia="宋体" w:cs="Times New Roman"/>
                <w:color w:val="FF0000"/>
                <w:sz w:val="24"/>
                <w:highlight w:val="none"/>
                <w:lang w:val="zh-CN"/>
              </w:rPr>
            </w:pPr>
            <w:r>
              <w:rPr>
                <w:rFonts w:hint="eastAsia" w:ascii="Times New Roman" w:hAnsi="Times New Roman" w:eastAsia="宋体" w:cs="Times New Roman"/>
                <w:color w:val="FF0000"/>
                <w:sz w:val="24"/>
                <w:highlight w:val="none"/>
                <w:lang w:val="zh-CN"/>
              </w:rPr>
              <w:drawing>
                <wp:inline distT="0" distB="0" distL="114300" distR="114300">
                  <wp:extent cx="4906645" cy="1249045"/>
                  <wp:effectExtent l="0" t="0" r="0" b="0"/>
                  <wp:docPr id="2" name="ECB019B1-382A-4266-B25C-5B523AA43C14-2" descr="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B019B1-382A-4266-B25C-5B523AA43C14-2" descr="wpsoffice"/>
                          <pic:cNvPicPr>
                            <a:picLocks noChangeAspect="1"/>
                          </pic:cNvPicPr>
                        </pic:nvPicPr>
                        <pic:blipFill>
                          <a:blip r:embed="rId10"/>
                          <a:stretch>
                            <a:fillRect/>
                          </a:stretch>
                        </pic:blipFill>
                        <pic:spPr>
                          <a:xfrm>
                            <a:off x="0" y="0"/>
                            <a:ext cx="4906645" cy="1249045"/>
                          </a:xfrm>
                          <a:prstGeom prst="rect">
                            <a:avLst/>
                          </a:prstGeom>
                        </pic:spPr>
                      </pic:pic>
                    </a:graphicData>
                  </a:graphic>
                </wp:inline>
              </w:drawing>
            </w:r>
          </w:p>
          <w:p w14:paraId="6FB66E94">
            <w:pPr>
              <w:wordWrap w:val="0"/>
              <w:topLinePunct/>
              <w:snapToGrid w:val="0"/>
              <w:spacing w:line="360" w:lineRule="auto"/>
              <w:jc w:val="center"/>
              <w:rPr>
                <w:rFonts w:hint="eastAsia" w:ascii="Times New Roman" w:hAnsi="Times New Roman" w:eastAsia="宋体" w:cs="Times New Roman"/>
                <w:b/>
                <w:bCs/>
                <w:color w:val="1331F5"/>
                <w:sz w:val="24"/>
              </w:rPr>
            </w:pPr>
            <w:r>
              <w:rPr>
                <w:rFonts w:hint="eastAsia" w:ascii="Times New Roman" w:hAnsi="Times New Roman" w:eastAsia="宋体" w:cs="Times New Roman"/>
                <w:b/>
                <w:bCs/>
                <w:color w:val="1331F5"/>
                <w:sz w:val="24"/>
              </w:rPr>
              <w:t>图2-2  施工期主要工艺流程及产污环节</w:t>
            </w:r>
          </w:p>
          <w:p w14:paraId="165F11E9">
            <w:pPr>
              <w:wordWrap w:val="0"/>
              <w:topLinePunct/>
              <w:snapToGrid w:val="0"/>
              <w:spacing w:line="360" w:lineRule="auto"/>
              <w:ind w:firstLine="482" w:firstLineChars="200"/>
              <w:rPr>
                <w:rFonts w:hint="eastAsia" w:ascii="Times New Roman" w:hAnsi="Times New Roman" w:eastAsia="宋体" w:cs="Times New Roman"/>
                <w:color w:val="1331F5"/>
                <w:sz w:val="24"/>
                <w:lang w:val="zh-CN"/>
              </w:rPr>
            </w:pPr>
            <w:r>
              <w:rPr>
                <w:rFonts w:hint="eastAsia" w:ascii="Times New Roman" w:hAnsi="Times New Roman" w:eastAsia="宋体" w:cs="Times New Roman"/>
                <w:b/>
                <w:bCs/>
                <w:color w:val="1331F5"/>
                <w:sz w:val="24"/>
                <w:lang w:val="zh-CN"/>
              </w:rPr>
              <w:t>4.2待建环保工程</w:t>
            </w:r>
            <w:r>
              <w:rPr>
                <w:rFonts w:hint="eastAsia" w:ascii="Times New Roman" w:hAnsi="Times New Roman" w:eastAsia="宋体" w:cs="Times New Roman"/>
                <w:b/>
                <w:bCs/>
                <w:color w:val="1331F5"/>
                <w:sz w:val="24"/>
                <w:lang w:val="en-US" w:eastAsia="zh-CN"/>
              </w:rPr>
              <w:t>施工期</w:t>
            </w:r>
            <w:r>
              <w:rPr>
                <w:rFonts w:hint="eastAsia" w:ascii="Times New Roman" w:hAnsi="Times New Roman" w:eastAsia="宋体" w:cs="Times New Roman"/>
                <w:b/>
                <w:bCs/>
                <w:color w:val="1331F5"/>
                <w:sz w:val="24"/>
                <w:lang w:val="zh-CN"/>
              </w:rPr>
              <w:t>内容</w:t>
            </w:r>
          </w:p>
          <w:p w14:paraId="1E54E4F1">
            <w:pPr>
              <w:wordWrap w:val="0"/>
              <w:topLinePunct/>
              <w:snapToGrid w:val="0"/>
              <w:spacing w:line="360" w:lineRule="auto"/>
              <w:ind w:firstLine="480" w:firstLineChars="200"/>
              <w:rPr>
                <w:rFonts w:hint="eastAsia" w:ascii="Times New Roman" w:hAnsi="Times New Roman" w:eastAsia="宋体" w:cs="Times New Roman"/>
                <w:color w:val="1331F5"/>
                <w:sz w:val="24"/>
                <w:lang w:val="zh-CN"/>
              </w:rPr>
            </w:pPr>
            <w:r>
              <w:rPr>
                <w:rFonts w:hint="eastAsia" w:ascii="Times New Roman" w:hAnsi="Times New Roman" w:eastAsia="宋体" w:cs="Times New Roman"/>
                <w:color w:val="1331F5"/>
                <w:sz w:val="24"/>
                <w:lang w:val="zh-CN"/>
              </w:rPr>
              <w:t>目前，本项目主体工程均已建成，尚未建设的</w:t>
            </w:r>
            <w:r>
              <w:rPr>
                <w:rFonts w:hint="eastAsia" w:ascii="Times New Roman" w:hAnsi="Times New Roman" w:eastAsia="宋体" w:cs="Times New Roman"/>
                <w:color w:val="1331F5"/>
                <w:sz w:val="24"/>
                <w:lang w:val="en-US" w:eastAsia="zh-CN"/>
              </w:rPr>
              <w:t>工程内容主要为环保工程，</w:t>
            </w:r>
            <w:r>
              <w:rPr>
                <w:rFonts w:hint="eastAsia" w:ascii="Times New Roman" w:hAnsi="Times New Roman" w:eastAsia="宋体" w:cs="Times New Roman"/>
                <w:color w:val="1331F5"/>
                <w:sz w:val="24"/>
                <w:lang w:val="zh-CN"/>
              </w:rPr>
              <w:t>包括：地埋式化粪池，隔油池，</w:t>
            </w:r>
            <w:r>
              <w:rPr>
                <w:rFonts w:hint="eastAsia" w:ascii="Times New Roman" w:hAnsi="Times New Roman" w:eastAsia="宋体" w:cs="Times New Roman"/>
                <w:color w:val="1331F5"/>
                <w:sz w:val="24"/>
                <w:lang w:val="en-US" w:eastAsia="zh-CN"/>
              </w:rPr>
              <w:t>危废贮存点</w:t>
            </w:r>
            <w:r>
              <w:rPr>
                <w:rFonts w:hint="eastAsia" w:ascii="Times New Roman" w:hAnsi="Times New Roman" w:eastAsia="宋体" w:cs="Times New Roman"/>
                <w:color w:val="1331F5"/>
                <w:sz w:val="24"/>
                <w:lang w:val="zh-CN"/>
              </w:rPr>
              <w:t>，一般</w:t>
            </w:r>
            <w:r>
              <w:rPr>
                <w:rFonts w:hint="eastAsia" w:ascii="Times New Roman" w:hAnsi="Times New Roman" w:eastAsia="宋体" w:cs="Times New Roman"/>
                <w:color w:val="1331F5"/>
                <w:sz w:val="24"/>
                <w:lang w:val="en-US" w:eastAsia="zh-CN"/>
              </w:rPr>
              <w:t>工业</w:t>
            </w:r>
            <w:r>
              <w:rPr>
                <w:rFonts w:hint="eastAsia" w:ascii="Times New Roman" w:hAnsi="Times New Roman" w:eastAsia="宋体" w:cs="Times New Roman"/>
                <w:color w:val="1331F5"/>
                <w:sz w:val="24"/>
                <w:lang w:val="zh-CN"/>
              </w:rPr>
              <w:t>固体废物暂存间及</w:t>
            </w:r>
            <w:r>
              <w:rPr>
                <w:rFonts w:hint="eastAsia" w:ascii="Times New Roman" w:hAnsi="Times New Roman" w:eastAsia="宋体" w:cs="Times New Roman"/>
                <w:color w:val="1331F5"/>
                <w:sz w:val="24"/>
                <w:lang w:val="en-US" w:eastAsia="zh-CN"/>
              </w:rPr>
              <w:t>各污染治理设施（如除尘系统、</w:t>
            </w:r>
            <w:r>
              <w:rPr>
                <w:rFonts w:hint="eastAsia" w:ascii="Times New Roman" w:hAnsi="Times New Roman" w:eastAsia="宋体" w:cs="Times New Roman"/>
                <w:color w:val="1331F5"/>
                <w:sz w:val="24"/>
                <w:lang w:val="zh-CN"/>
              </w:rPr>
              <w:t>沥青烟气处理设施</w:t>
            </w:r>
            <w:r>
              <w:rPr>
                <w:rFonts w:hint="eastAsia" w:ascii="Times New Roman" w:hAnsi="Times New Roman" w:eastAsia="宋体" w:cs="Times New Roman"/>
                <w:color w:val="1331F5"/>
                <w:sz w:val="24"/>
                <w:lang w:val="en-US" w:eastAsia="zh-CN"/>
              </w:rPr>
              <w:t>及各排气筒等）</w:t>
            </w:r>
            <w:r>
              <w:rPr>
                <w:rFonts w:hint="eastAsia" w:ascii="Times New Roman" w:hAnsi="Times New Roman" w:eastAsia="宋体" w:cs="Times New Roman"/>
                <w:color w:val="1331F5"/>
                <w:sz w:val="24"/>
                <w:lang w:val="zh-CN"/>
              </w:rPr>
              <w:t>。上述待建环保工程的施工内容主要为</w:t>
            </w:r>
            <w:r>
              <w:rPr>
                <w:rFonts w:hint="eastAsia" w:ascii="Times New Roman" w:hAnsi="Times New Roman" w:eastAsia="宋体" w:cs="Times New Roman"/>
                <w:color w:val="1331F5"/>
                <w:sz w:val="24"/>
                <w:lang w:val="en-US" w:eastAsia="zh-CN"/>
              </w:rPr>
              <w:t>少量</w:t>
            </w:r>
            <w:r>
              <w:rPr>
                <w:rFonts w:hint="eastAsia" w:ascii="Times New Roman" w:hAnsi="Times New Roman" w:eastAsia="宋体" w:cs="Times New Roman"/>
                <w:color w:val="1331F5"/>
                <w:sz w:val="24"/>
                <w:lang w:val="zh-CN"/>
              </w:rPr>
              <w:t>土方开挖、基础浇筑、设备安装及管线连接等，施工量较小，施工周期较短。施工过程中</w:t>
            </w:r>
            <w:r>
              <w:rPr>
                <w:rFonts w:hint="eastAsia" w:ascii="Times New Roman" w:hAnsi="Times New Roman" w:eastAsia="宋体" w:cs="Times New Roman"/>
                <w:color w:val="1331F5"/>
                <w:sz w:val="24"/>
                <w:lang w:val="en-US" w:eastAsia="zh-CN"/>
              </w:rPr>
              <w:t>建设单位</w:t>
            </w:r>
            <w:r>
              <w:rPr>
                <w:rFonts w:hint="eastAsia" w:ascii="Times New Roman" w:hAnsi="Times New Roman" w:eastAsia="宋体" w:cs="Times New Roman"/>
                <w:color w:val="1331F5"/>
                <w:sz w:val="24"/>
                <w:lang w:val="zh-CN"/>
              </w:rPr>
              <w:t>将采取洒水抑尘、合理安排作业时间、施工废水沉淀回用、建筑垃圾分类收集处置等</w:t>
            </w:r>
            <w:r>
              <w:rPr>
                <w:rFonts w:hint="eastAsia" w:ascii="Times New Roman" w:hAnsi="Times New Roman" w:eastAsia="宋体" w:cs="Times New Roman"/>
                <w:color w:val="1331F5"/>
                <w:sz w:val="24"/>
                <w:lang w:val="en-US" w:eastAsia="zh-CN"/>
              </w:rPr>
              <w:t>施工期</w:t>
            </w:r>
            <w:r>
              <w:rPr>
                <w:rFonts w:hint="eastAsia" w:ascii="Times New Roman" w:hAnsi="Times New Roman" w:eastAsia="宋体" w:cs="Times New Roman"/>
                <w:color w:val="1331F5"/>
                <w:sz w:val="24"/>
                <w:lang w:val="zh-CN"/>
              </w:rPr>
              <w:t>污染防治措施，确保施工期环境影响可控。</w:t>
            </w:r>
          </w:p>
          <w:p w14:paraId="62F4085E">
            <w:pPr>
              <w:widowControl/>
              <w:spacing w:line="360" w:lineRule="auto"/>
              <w:rPr>
                <w:rFonts w:hint="eastAsia" w:ascii="Times New Roman" w:hAnsi="Times New Roman" w:eastAsia="宋体" w:cs="Times New Roman"/>
                <w:b/>
                <w:bCs/>
                <w:color w:val="auto"/>
                <w:kern w:val="0"/>
                <w:sz w:val="24"/>
                <w:highlight w:val="none"/>
                <w:shd w:val="clear" w:color="auto" w:fill="FFFFFF"/>
                <w:lang w:val="zh-CN"/>
              </w:rPr>
            </w:pPr>
            <w:r>
              <w:rPr>
                <w:rFonts w:hint="eastAsia" w:ascii="Times New Roman" w:hAnsi="Times New Roman" w:eastAsia="宋体" w:cs="Times New Roman"/>
                <w:b/>
                <w:bCs/>
                <w:color w:val="auto"/>
                <w:kern w:val="0"/>
                <w:sz w:val="24"/>
                <w:highlight w:val="none"/>
                <w:shd w:val="clear" w:color="auto" w:fill="FFFFFF"/>
              </w:rPr>
              <w:t>5</w:t>
            </w:r>
            <w:r>
              <w:rPr>
                <w:rFonts w:hint="eastAsia" w:ascii="Times New Roman" w:hAnsi="Times New Roman" w:eastAsia="宋体" w:cs="Times New Roman"/>
                <w:b/>
                <w:bCs/>
                <w:color w:val="auto"/>
                <w:kern w:val="0"/>
                <w:sz w:val="24"/>
                <w:highlight w:val="none"/>
                <w:shd w:val="clear" w:color="auto" w:fill="FFFFFF"/>
                <w:lang w:val="zh-CN"/>
              </w:rPr>
              <w:t>运营期工艺流程简述</w:t>
            </w:r>
          </w:p>
          <w:p w14:paraId="236770B8">
            <w:pPr>
              <w:pStyle w:val="2"/>
              <w:ind w:firstLine="482" w:firstLineChars="200"/>
              <w:rPr>
                <w:color w:val="auto"/>
                <w:lang w:val="zh-CN"/>
              </w:rPr>
            </w:pPr>
            <w:r>
              <w:rPr>
                <w:rFonts w:hint="eastAsia" w:ascii="Times New Roman" w:hAnsi="Times New Roman" w:eastAsia="宋体" w:cs="Times New Roman"/>
                <w:b/>
                <w:bCs/>
                <w:color w:val="auto"/>
                <w:sz w:val="24"/>
              </w:rPr>
              <w:t>5.1沥青混凝土生产线工艺流程</w:t>
            </w:r>
          </w:p>
          <w:p w14:paraId="46F1FAE7">
            <w:pPr>
              <w:pStyle w:val="2"/>
              <w:jc w:val="center"/>
              <w:rPr>
                <w:rFonts w:ascii="Times New Roman" w:hAnsi="Times New Roman" w:eastAsia="宋体" w:cs="Times New Roman"/>
                <w:b/>
                <w:kern w:val="0"/>
                <w:sz w:val="24"/>
                <w:shd w:val="clear" w:color="auto" w:fill="FFFFFF"/>
                <w:lang w:val="zh-CN"/>
              </w:rPr>
            </w:pPr>
            <w:r>
              <w:rPr>
                <w:rFonts w:ascii="Times New Roman" w:hAnsi="Times New Roman" w:eastAsia="宋体" w:cs="Times New Roman"/>
                <w:b/>
                <w:kern w:val="0"/>
                <w:sz w:val="24"/>
                <w:shd w:val="clear" w:color="auto" w:fill="FFFFFF"/>
                <w:lang w:val="zh-CN"/>
              </w:rPr>
              <w:drawing>
                <wp:inline distT="0" distB="0" distL="114300" distR="114300">
                  <wp:extent cx="5003165" cy="3369310"/>
                  <wp:effectExtent l="0" t="0" r="0" b="8890"/>
                  <wp:docPr id="3" name="E657119C-6982-421D-8BA7-E74DEB70A7D9-3" descr="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657119C-6982-421D-8BA7-E74DEB70A7D9-3" descr="wpsoffice"/>
                          <pic:cNvPicPr>
                            <a:picLocks noChangeAspect="1"/>
                          </pic:cNvPicPr>
                        </pic:nvPicPr>
                        <pic:blipFill>
                          <a:blip r:embed="rId11"/>
                          <a:stretch>
                            <a:fillRect/>
                          </a:stretch>
                        </pic:blipFill>
                        <pic:spPr>
                          <a:xfrm>
                            <a:off x="0" y="0"/>
                            <a:ext cx="5003165" cy="3369310"/>
                          </a:xfrm>
                          <a:prstGeom prst="rect">
                            <a:avLst/>
                          </a:prstGeom>
                        </pic:spPr>
                      </pic:pic>
                    </a:graphicData>
                  </a:graphic>
                </wp:inline>
              </w:drawing>
            </w:r>
          </w:p>
          <w:p w14:paraId="4C335A51">
            <w:pPr>
              <w:adjustRightInd w:val="0"/>
              <w:snapToGrid w:val="0"/>
              <w:spacing w:line="360" w:lineRule="auto"/>
              <w:jc w:val="center"/>
              <w:rPr>
                <w:rFonts w:ascii="Times New Roman" w:hAnsi="Times New Roman" w:eastAsia="宋体" w:cs="Times New Roman"/>
                <w:b/>
                <w:bCs/>
                <w:color w:val="FF0000"/>
                <w:sz w:val="24"/>
                <w:highlight w:val="none"/>
              </w:rPr>
            </w:pPr>
            <w:bookmarkStart w:id="8" w:name="_Ref43737161"/>
            <w:r>
              <w:rPr>
                <w:rFonts w:ascii="Times New Roman" w:hAnsi="Times New Roman" w:eastAsia="宋体" w:cs="Times New Roman"/>
                <w:b/>
                <w:bCs/>
                <w:color w:val="FF0000"/>
                <w:sz w:val="24"/>
                <w:highlight w:val="none"/>
              </w:rPr>
              <w:t xml:space="preserve">图2-3 </w:t>
            </w:r>
            <w:r>
              <w:rPr>
                <w:rFonts w:hint="eastAsia" w:ascii="Times New Roman" w:hAnsi="Times New Roman" w:eastAsia="宋体" w:cs="Times New Roman"/>
                <w:b/>
                <w:bCs/>
                <w:color w:val="FF0000"/>
                <w:sz w:val="24"/>
                <w:highlight w:val="none"/>
              </w:rPr>
              <w:t>沥青</w:t>
            </w:r>
            <w:r>
              <w:rPr>
                <w:rFonts w:hint="eastAsia" w:ascii="Times New Roman" w:hAnsi="Times New Roman" w:eastAsia="宋体" w:cs="Times New Roman"/>
                <w:b/>
                <w:bCs/>
                <w:color w:val="FF0000"/>
                <w:sz w:val="24"/>
                <w:highlight w:val="none"/>
                <w:lang w:val="en-US" w:eastAsia="zh-CN"/>
              </w:rPr>
              <w:t>混凝土</w:t>
            </w:r>
            <w:r>
              <w:rPr>
                <w:rFonts w:ascii="Times New Roman" w:hAnsi="Times New Roman" w:eastAsia="宋体" w:cs="Times New Roman"/>
                <w:b/>
                <w:bCs/>
                <w:color w:val="FF0000"/>
                <w:sz w:val="24"/>
                <w:highlight w:val="none"/>
              </w:rPr>
              <w:t>生产工艺流程及产污环节图</w:t>
            </w:r>
            <w:bookmarkEnd w:id="8"/>
          </w:p>
          <w:p w14:paraId="691CAC91">
            <w:pPr>
              <w:wordWrap w:val="0"/>
              <w:topLinePunct/>
              <w:snapToGrid w:val="0"/>
              <w:spacing w:line="360" w:lineRule="auto"/>
              <w:ind w:firstLine="482" w:firstLineChars="200"/>
              <w:rPr>
                <w:rFonts w:hint="default" w:ascii="Times New Roman" w:hAnsi="Times New Roman" w:eastAsia="宋体" w:cs="Times New Roman"/>
                <w:b/>
                <w:bCs/>
                <w:sz w:val="24"/>
                <w:lang w:val="en-US"/>
              </w:rPr>
            </w:pPr>
            <w:r>
              <w:rPr>
                <w:rStyle w:val="36"/>
                <w:rFonts w:hint="eastAsia" w:ascii="Times New Roman" w:hAnsi="Times New Roman" w:eastAsia="宋体" w:cs="Times New Roman"/>
                <w:b/>
                <w:bCs/>
                <w:sz w:val="24"/>
                <w:szCs w:val="24"/>
                <w:lang w:val="en-US" w:eastAsia="zh-CN"/>
              </w:rPr>
              <w:t>工艺流程简述：</w:t>
            </w:r>
          </w:p>
          <w:p w14:paraId="0C151A09">
            <w:pPr>
              <w:wordWrap w:val="0"/>
              <w:topLinePunct/>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①冷料斗：通过铲车将不同粒径的骨料送入冷料斗内，随后冷料斗内冷料通过皮带输送被送到烘干滚筒内。</w:t>
            </w:r>
          </w:p>
          <w:p w14:paraId="20947934">
            <w:pPr>
              <w:wordWrap w:val="0"/>
              <w:topLinePunct/>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②烘干：碎石由输送装置送至密闭式烘干滚筒内进行烘干，输送带及落料点均采取全密闭，烘干滚筒出料口一端安装有燃烧器，燃烧器燃料为轻质柴油，燃烧产生的热气流进入干滚筒将物料烘干，即为沥青混凝土骨料，烘干滚筒采用逆料流加热方式，燃烧器火焰自烘干滚筒出料口一端喷入，热气流逆着料流方向穿过滚筒时被骨料吸走热量。逆流加热时的烟温度约350℃为了使骨料受热均匀，烘干滚筒不停的转动，滚筒内的提升叶片将入筒内的冷骨料不断的升起和抛下（骨料在烘干滚筒内的停留时间为30min左右，尾气温度在120℃左右）。</w:t>
            </w:r>
          </w:p>
          <w:p w14:paraId="7AFA80A0">
            <w:pPr>
              <w:wordWrap w:val="0"/>
              <w:topLinePunct/>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③提升：将加热的骨料通过密闭式骨料提升机送到位于搅拌机顶部的密闭式振动筛。</w:t>
            </w:r>
          </w:p>
          <w:p w14:paraId="772577ED">
            <w:pPr>
              <w:wordWrap w:val="0"/>
              <w:topLinePunct/>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④振动筛分：提升机输送至震动筛，筛分合格的骨料进入热料仓，按比例进行计量配料，进入搅拌机内搅拌。不合格石料经专门出口排出。</w:t>
            </w:r>
          </w:p>
          <w:p w14:paraId="7376BE66">
            <w:pPr>
              <w:wordWrap w:val="0"/>
              <w:topLinePunct/>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⑤沥青加热、保温：沥青是石油气工厂热解石油气原料时得到的副产品，由专用沥青运输车将沥青通过密闭沥青管道送至沥青储罐，使用导热油炉（有机热载体炉）将其加热至150～180℃，由沥青泵输送到沥青计量器，按一定的配比重量后通过专门管道送入沥青混凝土搅拌主楼的搅拌机内与石料、矿粉混合。</w:t>
            </w:r>
          </w:p>
          <w:p w14:paraId="2D734046">
            <w:pPr>
              <w:wordWrap w:val="0"/>
              <w:topLinePunct/>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⑥计量、拌合：沥青、矿粉、碎石骨料通过计量系统自动计量，按照比例进入搅拌机，混合拌料过程中搅拌机全程密闭，沥青在高速拌料、高温时会产生沥青烟气，在卸料阀开启卸料装车过程中会散发出废气。</w:t>
            </w:r>
          </w:p>
          <w:p w14:paraId="39758297">
            <w:pPr>
              <w:wordWrap w:val="0"/>
              <w:topLinePunct/>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⑦出仓、运输：项目成品仓高度低于拌合系统，因此成品经过自身重力作用降落至成品仓，整个生产工艺在密闭系统中进行。</w:t>
            </w:r>
          </w:p>
          <w:p w14:paraId="5A92F3C0">
            <w:pPr>
              <w:pStyle w:val="2"/>
              <w:ind w:firstLine="482" w:firstLineChars="200"/>
              <w:rPr>
                <w:color w:val="1331F5"/>
                <w:lang w:val="zh-CN"/>
              </w:rPr>
            </w:pPr>
            <w:r>
              <w:rPr>
                <w:rFonts w:hint="eastAsia" w:ascii="Times New Roman" w:hAnsi="Times New Roman" w:eastAsia="宋体" w:cs="Times New Roman"/>
                <w:b/>
                <w:bCs/>
                <w:color w:val="1331F5"/>
                <w:sz w:val="24"/>
              </w:rPr>
              <w:t>5.1</w:t>
            </w:r>
            <w:r>
              <w:rPr>
                <w:rFonts w:hint="eastAsia" w:ascii="Times New Roman" w:hAnsi="Times New Roman" w:eastAsia="宋体" w:cs="Times New Roman"/>
                <w:b/>
                <w:bCs/>
                <w:color w:val="1331F5"/>
                <w:sz w:val="24"/>
                <w:lang w:val="en-US" w:eastAsia="zh-CN"/>
              </w:rPr>
              <w:t>乳化沥青</w:t>
            </w:r>
            <w:r>
              <w:rPr>
                <w:rFonts w:hint="eastAsia" w:ascii="Times New Roman" w:hAnsi="Times New Roman" w:eastAsia="宋体" w:cs="Times New Roman"/>
                <w:b/>
                <w:bCs/>
                <w:color w:val="1331F5"/>
                <w:sz w:val="24"/>
              </w:rPr>
              <w:t>生产线工艺流程</w:t>
            </w:r>
          </w:p>
          <w:p w14:paraId="7BEA3570">
            <w:pPr>
              <w:wordWrap w:val="0"/>
              <w:topLinePunct/>
              <w:snapToGrid w:val="0"/>
              <w:spacing w:line="360" w:lineRule="auto"/>
              <w:jc w:val="center"/>
              <w:rPr>
                <w:rFonts w:hint="eastAsia" w:ascii="Times New Roman" w:hAnsi="Times New Roman" w:eastAsia="宋体" w:cs="Times New Roman"/>
                <w:sz w:val="24"/>
              </w:rPr>
            </w:pPr>
            <w:r>
              <w:drawing>
                <wp:inline distT="0" distB="0" distL="114300" distR="114300">
                  <wp:extent cx="4250690" cy="3141345"/>
                  <wp:effectExtent l="0" t="0" r="16510" b="8255"/>
                  <wp:docPr id="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
                          <pic:cNvPicPr>
                            <a:picLocks noChangeAspect="1"/>
                          </pic:cNvPicPr>
                        </pic:nvPicPr>
                        <pic:blipFill>
                          <a:blip r:embed="rId12"/>
                          <a:stretch>
                            <a:fillRect/>
                          </a:stretch>
                        </pic:blipFill>
                        <pic:spPr>
                          <a:xfrm>
                            <a:off x="0" y="0"/>
                            <a:ext cx="4250690" cy="3141345"/>
                          </a:xfrm>
                          <a:prstGeom prst="rect">
                            <a:avLst/>
                          </a:prstGeom>
                          <a:noFill/>
                          <a:ln>
                            <a:noFill/>
                          </a:ln>
                        </pic:spPr>
                      </pic:pic>
                    </a:graphicData>
                  </a:graphic>
                </wp:inline>
              </w:drawing>
            </w:r>
          </w:p>
          <w:p w14:paraId="16595C17">
            <w:pPr>
              <w:adjustRightInd w:val="0"/>
              <w:snapToGrid w:val="0"/>
              <w:spacing w:line="360" w:lineRule="auto"/>
              <w:jc w:val="center"/>
              <w:rPr>
                <w:rFonts w:ascii="Times New Roman" w:hAnsi="Times New Roman" w:eastAsia="宋体" w:cs="Times New Roman"/>
                <w:b/>
                <w:bCs/>
                <w:color w:val="1331F5"/>
                <w:sz w:val="24"/>
              </w:rPr>
            </w:pPr>
            <w:r>
              <w:rPr>
                <w:rFonts w:ascii="Times New Roman" w:hAnsi="Times New Roman" w:eastAsia="宋体" w:cs="Times New Roman"/>
                <w:b/>
                <w:bCs/>
                <w:color w:val="1331F5"/>
                <w:sz w:val="24"/>
              </w:rPr>
              <w:t>图2-</w:t>
            </w:r>
            <w:r>
              <w:rPr>
                <w:rFonts w:hint="eastAsia" w:ascii="Times New Roman" w:hAnsi="Times New Roman" w:eastAsia="宋体" w:cs="Times New Roman"/>
                <w:b/>
                <w:bCs/>
                <w:color w:val="1331F5"/>
                <w:sz w:val="24"/>
                <w:lang w:val="en-US" w:eastAsia="zh-CN"/>
              </w:rPr>
              <w:t>4</w:t>
            </w:r>
            <w:r>
              <w:rPr>
                <w:rFonts w:ascii="Times New Roman" w:hAnsi="Times New Roman" w:eastAsia="宋体" w:cs="Times New Roman"/>
                <w:b/>
                <w:bCs/>
                <w:color w:val="1331F5"/>
                <w:sz w:val="24"/>
              </w:rPr>
              <w:t xml:space="preserve"> </w:t>
            </w:r>
            <w:r>
              <w:rPr>
                <w:rFonts w:hint="eastAsia" w:ascii="Times New Roman" w:hAnsi="Times New Roman" w:eastAsia="宋体" w:cs="Times New Roman"/>
                <w:b/>
                <w:bCs/>
                <w:color w:val="1331F5"/>
                <w:sz w:val="24"/>
                <w:lang w:val="en-US" w:eastAsia="zh-CN"/>
              </w:rPr>
              <w:t xml:space="preserve"> 乳化沥青</w:t>
            </w:r>
            <w:r>
              <w:rPr>
                <w:rFonts w:ascii="Times New Roman" w:hAnsi="Times New Roman" w:eastAsia="宋体" w:cs="Times New Roman"/>
                <w:b/>
                <w:bCs/>
                <w:color w:val="1331F5"/>
                <w:sz w:val="24"/>
              </w:rPr>
              <w:t>生产工艺流程及产污环节图</w:t>
            </w:r>
          </w:p>
          <w:p w14:paraId="78D1E5E6">
            <w:pPr>
              <w:wordWrap w:val="0"/>
              <w:topLinePunct/>
              <w:snapToGrid w:val="0"/>
              <w:spacing w:line="360" w:lineRule="auto"/>
              <w:ind w:firstLine="482" w:firstLineChars="200"/>
              <w:rPr>
                <w:rFonts w:hint="default" w:ascii="Times New Roman" w:hAnsi="Times New Roman" w:eastAsia="宋体" w:cs="Times New Roman"/>
                <w:b/>
                <w:bCs/>
                <w:color w:val="1331F5"/>
                <w:sz w:val="24"/>
                <w:lang w:val="en-US" w:eastAsia="zh-CN"/>
              </w:rPr>
            </w:pPr>
            <w:r>
              <w:rPr>
                <w:rFonts w:hint="eastAsia" w:ascii="Times New Roman" w:hAnsi="Times New Roman" w:eastAsia="宋体" w:cs="Times New Roman"/>
                <w:b/>
                <w:bCs/>
                <w:color w:val="1331F5"/>
                <w:sz w:val="24"/>
                <w:lang w:val="en-US" w:eastAsia="zh-CN"/>
              </w:rPr>
              <w:t>工艺流程简述：</w:t>
            </w:r>
          </w:p>
          <w:p w14:paraId="6B9FA6B0">
            <w:pPr>
              <w:wordWrap w:val="0"/>
              <w:topLinePunct/>
              <w:snapToGrid w:val="0"/>
              <w:spacing w:line="360" w:lineRule="auto"/>
              <w:ind w:firstLine="480" w:firstLineChars="200"/>
              <w:rPr>
                <w:rFonts w:hint="eastAsia" w:ascii="Times New Roman" w:hAnsi="Times New Roman" w:eastAsia="宋体" w:cs="Times New Roman"/>
                <w:color w:val="1331F5"/>
                <w:sz w:val="24"/>
              </w:rPr>
            </w:pPr>
            <w:r>
              <w:rPr>
                <w:rFonts w:hint="eastAsia" w:ascii="Times New Roman" w:hAnsi="Times New Roman" w:eastAsia="宋体" w:cs="Times New Roman"/>
                <w:color w:val="1331F5"/>
                <w:sz w:val="24"/>
              </w:rPr>
              <w:t>乳化沥青的生产是将两种互不相融的液体（沥青和水）强行</w:t>
            </w:r>
            <w:r>
              <w:rPr>
                <w:rFonts w:hint="eastAsia" w:ascii="Times New Roman" w:hAnsi="Times New Roman" w:eastAsia="宋体" w:cs="Times New Roman"/>
                <w:color w:val="1331F5"/>
                <w:sz w:val="24"/>
                <w:lang w:eastAsia="zh-CN"/>
              </w:rPr>
              <w:t>“</w:t>
            </w:r>
            <w:r>
              <w:rPr>
                <w:rFonts w:hint="eastAsia" w:ascii="Times New Roman" w:hAnsi="Times New Roman" w:eastAsia="宋体" w:cs="Times New Roman"/>
                <w:color w:val="1331F5"/>
                <w:sz w:val="24"/>
              </w:rPr>
              <w:t>融合</w:t>
            </w:r>
            <w:r>
              <w:rPr>
                <w:rFonts w:hint="eastAsia" w:ascii="Times New Roman" w:hAnsi="Times New Roman" w:eastAsia="宋体" w:cs="Times New Roman"/>
                <w:color w:val="1331F5"/>
                <w:sz w:val="24"/>
                <w:lang w:eastAsia="zh-CN"/>
              </w:rPr>
              <w:t>”</w:t>
            </w:r>
            <w:r>
              <w:rPr>
                <w:rFonts w:hint="eastAsia" w:ascii="Times New Roman" w:hAnsi="Times New Roman" w:eastAsia="宋体" w:cs="Times New Roman"/>
                <w:color w:val="1331F5"/>
                <w:sz w:val="24"/>
              </w:rPr>
              <w:t>在一起，核心在于胶体磨的机械剪切和乳化剂的化学作用。</w:t>
            </w:r>
          </w:p>
          <w:p w14:paraId="7C1EA4F9">
            <w:pPr>
              <w:wordWrap w:val="0"/>
              <w:topLinePunct/>
              <w:snapToGrid w:val="0"/>
              <w:spacing w:line="360" w:lineRule="auto"/>
              <w:ind w:firstLine="480" w:firstLineChars="200"/>
              <w:rPr>
                <w:rFonts w:hint="eastAsia" w:ascii="Times New Roman" w:hAnsi="Times New Roman" w:eastAsia="宋体" w:cs="Times New Roman"/>
                <w:b w:val="0"/>
                <w:bCs w:val="0"/>
                <w:color w:val="1331F5"/>
                <w:sz w:val="24"/>
              </w:rPr>
            </w:pPr>
            <w:r>
              <w:rPr>
                <w:rFonts w:hint="eastAsia" w:ascii="Times New Roman" w:hAnsi="Times New Roman" w:eastAsia="宋体" w:cs="Times New Roman"/>
                <w:b w:val="0"/>
                <w:bCs w:val="0"/>
                <w:color w:val="1331F5"/>
                <w:sz w:val="24"/>
              </w:rPr>
              <w:t>主要流程为：</w:t>
            </w:r>
          </w:p>
          <w:p w14:paraId="4E367176">
            <w:pPr>
              <w:wordWrap w:val="0"/>
              <w:topLinePunct/>
              <w:snapToGrid w:val="0"/>
              <w:spacing w:line="360" w:lineRule="auto"/>
              <w:ind w:firstLine="482" w:firstLineChars="200"/>
              <w:rPr>
                <w:rFonts w:hint="eastAsia" w:ascii="Times New Roman" w:hAnsi="Times New Roman" w:eastAsia="宋体" w:cs="Times New Roman"/>
                <w:color w:val="1331F5"/>
                <w:sz w:val="24"/>
              </w:rPr>
            </w:pPr>
            <w:r>
              <w:rPr>
                <w:rFonts w:hint="eastAsia" w:ascii="Times New Roman" w:hAnsi="Times New Roman" w:eastAsia="宋体" w:cs="Times New Roman"/>
                <w:b/>
                <w:bCs/>
                <w:color w:val="1331F5"/>
                <w:sz w:val="24"/>
              </w:rPr>
              <w:fldChar w:fldCharType="begin"/>
            </w:r>
            <w:r>
              <w:rPr>
                <w:rFonts w:hint="eastAsia" w:ascii="Times New Roman" w:hAnsi="Times New Roman" w:eastAsia="宋体" w:cs="Times New Roman"/>
                <w:b/>
                <w:bCs/>
                <w:color w:val="1331F5"/>
                <w:sz w:val="24"/>
              </w:rPr>
              <w:instrText xml:space="preserve"> = 1 \* GB3 \* MERGEFORMAT </w:instrText>
            </w:r>
            <w:r>
              <w:rPr>
                <w:rFonts w:hint="eastAsia" w:ascii="Times New Roman" w:hAnsi="Times New Roman" w:eastAsia="宋体" w:cs="Times New Roman"/>
                <w:b/>
                <w:bCs/>
                <w:color w:val="1331F5"/>
                <w:sz w:val="24"/>
              </w:rPr>
              <w:fldChar w:fldCharType="separate"/>
            </w:r>
            <w:r>
              <w:rPr>
                <w:rFonts w:hint="eastAsia" w:ascii="Times New Roman" w:hAnsi="Times New Roman" w:eastAsia="宋体" w:cs="Times New Roman"/>
                <w:b/>
                <w:bCs/>
                <w:color w:val="1331F5"/>
                <w:sz w:val="24"/>
              </w:rPr>
              <w:t>①</w:t>
            </w:r>
            <w:r>
              <w:rPr>
                <w:rFonts w:hint="eastAsia" w:ascii="Times New Roman" w:hAnsi="Times New Roman" w:eastAsia="宋体" w:cs="Times New Roman"/>
                <w:b/>
                <w:bCs/>
                <w:color w:val="1331F5"/>
                <w:sz w:val="24"/>
              </w:rPr>
              <w:fldChar w:fldCharType="end"/>
            </w:r>
            <w:r>
              <w:rPr>
                <w:rFonts w:hint="eastAsia" w:ascii="Times New Roman" w:hAnsi="Times New Roman" w:eastAsia="宋体" w:cs="Times New Roman"/>
                <w:b/>
                <w:bCs/>
                <w:color w:val="1331F5"/>
                <w:sz w:val="24"/>
              </w:rPr>
              <w:t>皂液制备：</w:t>
            </w:r>
            <w:r>
              <w:rPr>
                <w:rFonts w:hint="eastAsia" w:ascii="Times New Roman" w:hAnsi="Times New Roman" w:eastAsia="宋体" w:cs="Times New Roman"/>
                <w:color w:val="1331F5"/>
                <w:sz w:val="24"/>
              </w:rPr>
              <w:t>将水加热至60-65℃，加入乳化剂，充分搅拌形成均匀的乳化液。</w:t>
            </w:r>
          </w:p>
          <w:p w14:paraId="12ABC874">
            <w:pPr>
              <w:wordWrap w:val="0"/>
              <w:topLinePunct/>
              <w:snapToGrid w:val="0"/>
              <w:spacing w:line="360" w:lineRule="auto"/>
              <w:ind w:firstLine="482" w:firstLineChars="200"/>
              <w:rPr>
                <w:rFonts w:hint="eastAsia" w:ascii="Times New Roman" w:hAnsi="Times New Roman" w:eastAsia="宋体" w:cs="Times New Roman"/>
                <w:sz w:val="24"/>
              </w:rPr>
            </w:pPr>
            <w:r>
              <w:rPr>
                <w:rFonts w:hint="eastAsia" w:ascii="Times New Roman" w:hAnsi="Times New Roman" w:eastAsia="宋体" w:cs="Times New Roman"/>
                <w:b/>
                <w:bCs/>
                <w:color w:val="1331F5"/>
                <w:sz w:val="24"/>
              </w:rPr>
              <w:fldChar w:fldCharType="begin"/>
            </w:r>
            <w:r>
              <w:rPr>
                <w:rFonts w:hint="eastAsia" w:ascii="Times New Roman" w:hAnsi="Times New Roman" w:eastAsia="宋体" w:cs="Times New Roman"/>
                <w:b/>
                <w:bCs/>
                <w:color w:val="1331F5"/>
                <w:sz w:val="24"/>
              </w:rPr>
              <w:instrText xml:space="preserve"> = 2 \* GB3 \* MERGEFORMAT </w:instrText>
            </w:r>
            <w:r>
              <w:rPr>
                <w:rFonts w:hint="eastAsia" w:ascii="Times New Roman" w:hAnsi="Times New Roman" w:eastAsia="宋体" w:cs="Times New Roman"/>
                <w:b/>
                <w:bCs/>
                <w:color w:val="1331F5"/>
                <w:sz w:val="24"/>
              </w:rPr>
              <w:fldChar w:fldCharType="separate"/>
            </w:r>
            <w:r>
              <w:rPr>
                <w:rFonts w:hint="eastAsia" w:ascii="Times New Roman" w:hAnsi="Times New Roman" w:eastAsia="宋体" w:cs="Times New Roman"/>
                <w:b/>
                <w:bCs/>
                <w:color w:val="1331F5"/>
                <w:sz w:val="24"/>
              </w:rPr>
              <w:t>②</w:t>
            </w:r>
            <w:r>
              <w:rPr>
                <w:rFonts w:hint="eastAsia" w:ascii="Times New Roman" w:hAnsi="Times New Roman" w:eastAsia="宋体" w:cs="Times New Roman"/>
                <w:b/>
                <w:bCs/>
                <w:color w:val="1331F5"/>
                <w:sz w:val="24"/>
              </w:rPr>
              <w:fldChar w:fldCharType="end"/>
            </w:r>
            <w:r>
              <w:rPr>
                <w:rFonts w:hint="eastAsia" w:ascii="Times New Roman" w:hAnsi="Times New Roman" w:eastAsia="宋体" w:cs="Times New Roman"/>
                <w:b/>
                <w:bCs/>
                <w:color w:val="1331F5"/>
                <w:sz w:val="24"/>
              </w:rPr>
              <w:t>熔化沥青：</w:t>
            </w:r>
            <w:r>
              <w:rPr>
                <w:rFonts w:hint="eastAsia" w:ascii="Times New Roman" w:hAnsi="Times New Roman" w:eastAsia="宋体" w:cs="Times New Roman"/>
                <w:color w:val="1331F5"/>
                <w:sz w:val="24"/>
              </w:rPr>
              <w:t>将基质沥青加热至140-150℃，使其变为流动的热熔状态</w:t>
            </w:r>
            <w:r>
              <w:rPr>
                <w:rFonts w:hint="eastAsia" w:ascii="Times New Roman" w:hAnsi="Times New Roman" w:eastAsia="宋体" w:cs="Times New Roman"/>
                <w:color w:val="1331F5"/>
                <w:sz w:val="24"/>
                <w:lang w:eastAsia="zh-CN"/>
              </w:rPr>
              <w:t>（</w:t>
            </w:r>
            <w:r>
              <w:rPr>
                <w:rFonts w:hint="eastAsia" w:ascii="Times New Roman" w:hAnsi="Times New Roman" w:eastAsia="宋体" w:cs="Times New Roman"/>
                <w:color w:val="1331F5"/>
                <w:sz w:val="24"/>
                <w:lang w:val="en-US" w:eastAsia="zh-CN"/>
              </w:rPr>
              <w:t>与沥青混凝土生产线共用</w:t>
            </w:r>
            <w:r>
              <w:rPr>
                <w:rFonts w:hint="eastAsia" w:ascii="Times New Roman" w:hAnsi="Times New Roman" w:eastAsia="宋体" w:cs="Times New Roman"/>
                <w:color w:val="1331F5"/>
                <w:sz w:val="24"/>
                <w:lang w:eastAsia="zh-CN"/>
              </w:rPr>
              <w:t>）</w:t>
            </w:r>
            <w:r>
              <w:rPr>
                <w:rFonts w:hint="eastAsia" w:ascii="Times New Roman" w:hAnsi="Times New Roman" w:eastAsia="宋体" w:cs="Times New Roman"/>
                <w:color w:val="1331F5"/>
                <w:sz w:val="24"/>
              </w:rPr>
              <w:t>。</w:t>
            </w:r>
          </w:p>
          <w:p w14:paraId="2DDC7F5F">
            <w:pPr>
              <w:wordWrap w:val="0"/>
              <w:topLinePunct/>
              <w:snapToGrid w:val="0"/>
              <w:spacing w:line="360" w:lineRule="auto"/>
              <w:ind w:firstLine="482" w:firstLineChars="200"/>
              <w:rPr>
                <w:rFonts w:hint="eastAsia" w:ascii="Times New Roman" w:hAnsi="Times New Roman" w:eastAsia="宋体" w:cs="Times New Roman"/>
                <w:b w:val="0"/>
                <w:bCs w:val="0"/>
                <w:color w:val="1331F5"/>
                <w:sz w:val="24"/>
              </w:rPr>
            </w:pPr>
            <w:r>
              <w:rPr>
                <w:rFonts w:hint="eastAsia" w:ascii="Times New Roman" w:hAnsi="Times New Roman" w:eastAsia="宋体" w:cs="Times New Roman"/>
                <w:b/>
                <w:bCs/>
                <w:color w:val="1331F5"/>
                <w:sz w:val="24"/>
              </w:rPr>
              <w:fldChar w:fldCharType="begin"/>
            </w:r>
            <w:r>
              <w:rPr>
                <w:rFonts w:hint="eastAsia" w:ascii="Times New Roman" w:hAnsi="Times New Roman" w:eastAsia="宋体" w:cs="Times New Roman"/>
                <w:b/>
                <w:bCs/>
                <w:color w:val="1331F5"/>
                <w:sz w:val="24"/>
              </w:rPr>
              <w:instrText xml:space="preserve"> = 3 \* GB3 \* MERGEFORMAT </w:instrText>
            </w:r>
            <w:r>
              <w:rPr>
                <w:rFonts w:hint="eastAsia" w:ascii="Times New Roman" w:hAnsi="Times New Roman" w:eastAsia="宋体" w:cs="Times New Roman"/>
                <w:b/>
                <w:bCs/>
                <w:color w:val="1331F5"/>
                <w:sz w:val="24"/>
              </w:rPr>
              <w:fldChar w:fldCharType="separate"/>
            </w:r>
            <w:r>
              <w:rPr>
                <w:rFonts w:hint="eastAsia" w:ascii="Times New Roman" w:hAnsi="Times New Roman" w:eastAsia="宋体" w:cs="Times New Roman"/>
                <w:b/>
                <w:bCs/>
                <w:color w:val="1331F5"/>
                <w:sz w:val="24"/>
              </w:rPr>
              <w:t>③</w:t>
            </w:r>
            <w:r>
              <w:rPr>
                <w:rFonts w:hint="eastAsia" w:ascii="Times New Roman" w:hAnsi="Times New Roman" w:eastAsia="宋体" w:cs="Times New Roman"/>
                <w:b/>
                <w:bCs/>
                <w:color w:val="1331F5"/>
                <w:sz w:val="24"/>
              </w:rPr>
              <w:fldChar w:fldCharType="end"/>
            </w:r>
            <w:r>
              <w:rPr>
                <w:rFonts w:hint="eastAsia" w:ascii="Times New Roman" w:hAnsi="Times New Roman" w:eastAsia="宋体" w:cs="Times New Roman"/>
                <w:b/>
                <w:bCs/>
                <w:color w:val="1331F5"/>
                <w:sz w:val="24"/>
              </w:rPr>
              <w:t>胶体磨乳化：</w:t>
            </w:r>
            <w:r>
              <w:rPr>
                <w:rFonts w:hint="eastAsia" w:ascii="Times New Roman" w:hAnsi="Times New Roman" w:eastAsia="宋体" w:cs="Times New Roman"/>
                <w:b w:val="0"/>
                <w:bCs w:val="0"/>
                <w:color w:val="1331F5"/>
                <w:sz w:val="24"/>
              </w:rPr>
              <w:t>将热沥青与皂液按比例同时倒入胶体磨。胶体磨通过高速旋转将其强制混合</w:t>
            </w:r>
            <w:r>
              <w:rPr>
                <w:rFonts w:hint="eastAsia" w:ascii="Times New Roman" w:hAnsi="Times New Roman" w:eastAsia="宋体" w:cs="Times New Roman"/>
                <w:b w:val="0"/>
                <w:bCs w:val="0"/>
                <w:color w:val="1331F5"/>
                <w:sz w:val="24"/>
                <w:lang w:eastAsia="zh-CN"/>
              </w:rPr>
              <w:t>、</w:t>
            </w:r>
            <w:r>
              <w:rPr>
                <w:rFonts w:hint="eastAsia" w:ascii="Times New Roman" w:hAnsi="Times New Roman" w:eastAsia="宋体" w:cs="Times New Roman"/>
                <w:b w:val="0"/>
                <w:bCs w:val="0"/>
                <w:color w:val="1331F5"/>
                <w:sz w:val="24"/>
              </w:rPr>
              <w:t>剪切</w:t>
            </w:r>
            <w:r>
              <w:rPr>
                <w:rFonts w:hint="eastAsia" w:ascii="Times New Roman" w:hAnsi="Times New Roman" w:eastAsia="宋体" w:cs="Times New Roman"/>
                <w:b w:val="0"/>
                <w:bCs w:val="0"/>
                <w:color w:val="1331F5"/>
                <w:sz w:val="24"/>
                <w:lang w:eastAsia="zh-CN"/>
              </w:rPr>
              <w:t>，</w:t>
            </w:r>
            <w:r>
              <w:rPr>
                <w:rFonts w:hint="eastAsia" w:ascii="Times New Roman" w:hAnsi="Times New Roman" w:eastAsia="宋体" w:cs="Times New Roman"/>
                <w:b w:val="0"/>
                <w:bCs w:val="0"/>
                <w:color w:val="1331F5"/>
                <w:sz w:val="24"/>
              </w:rPr>
              <w:t>瞬间形成油滴均匀分散在水中的乳液。根据用途</w:t>
            </w:r>
            <w:r>
              <w:rPr>
                <w:rFonts w:hint="eastAsia" w:ascii="Times New Roman" w:hAnsi="Times New Roman" w:eastAsia="宋体" w:cs="Times New Roman"/>
                <w:b w:val="0"/>
                <w:bCs w:val="0"/>
                <w:color w:val="1331F5"/>
                <w:sz w:val="24"/>
                <w:lang w:eastAsia="zh-CN"/>
              </w:rPr>
              <w:t>，</w:t>
            </w:r>
            <w:r>
              <w:rPr>
                <w:rFonts w:hint="eastAsia" w:ascii="Times New Roman" w:hAnsi="Times New Roman" w:eastAsia="宋体" w:cs="Times New Roman"/>
                <w:b w:val="0"/>
                <w:bCs w:val="0"/>
                <w:color w:val="1331F5"/>
                <w:sz w:val="24"/>
              </w:rPr>
              <w:t>还可加入SBS、SBR胶乳等改性剂。</w:t>
            </w:r>
          </w:p>
          <w:p w14:paraId="25F5E69A">
            <w:pPr>
              <w:wordWrap w:val="0"/>
              <w:topLinePunct/>
              <w:snapToGrid w:val="0"/>
              <w:spacing w:line="360" w:lineRule="auto"/>
              <w:ind w:firstLine="480" w:firstLineChars="200"/>
              <w:rPr>
                <w:rFonts w:hint="default" w:ascii="Times New Roman" w:hAnsi="Times New Roman" w:eastAsia="宋体" w:cs="Times New Roman"/>
                <w:b w:val="0"/>
                <w:bCs w:val="0"/>
                <w:color w:val="1331F5"/>
                <w:sz w:val="24"/>
                <w:lang w:val="en-US" w:eastAsia="zh-CN"/>
              </w:rPr>
            </w:pPr>
            <w:r>
              <w:rPr>
                <w:rFonts w:hint="eastAsia" w:ascii="Times New Roman" w:hAnsi="Times New Roman" w:eastAsia="宋体" w:cs="Times New Roman"/>
                <w:b w:val="0"/>
                <w:bCs w:val="0"/>
                <w:color w:val="1331F5"/>
                <w:sz w:val="24"/>
                <w:lang w:val="en-US" w:eastAsia="zh-CN"/>
              </w:rPr>
              <w:t>经胶体磨后的乳化沥青直接装车外运供施工使用。</w:t>
            </w:r>
          </w:p>
          <w:p w14:paraId="6C1FA76E">
            <w:pPr>
              <w:spacing w:line="360" w:lineRule="auto"/>
              <w:rPr>
                <w:rFonts w:ascii="Times New Roman" w:hAnsi="Times New Roman" w:eastAsia="宋体" w:cs="Times New Roman"/>
                <w:b/>
                <w:sz w:val="24"/>
              </w:rPr>
            </w:pPr>
            <w:r>
              <w:rPr>
                <w:rFonts w:hint="eastAsia" w:ascii="Times New Roman" w:hAnsi="Times New Roman" w:eastAsia="宋体" w:cs="Times New Roman"/>
                <w:b/>
                <w:sz w:val="24"/>
              </w:rPr>
              <w:t>6 产污环节分析</w:t>
            </w:r>
          </w:p>
          <w:p w14:paraId="1567193B">
            <w:pPr>
              <w:widowControl/>
              <w:wordWrap w:val="0"/>
              <w:topLinePunct/>
              <w:spacing w:line="360" w:lineRule="auto"/>
              <w:ind w:firstLine="480" w:firstLineChars="200"/>
              <w:rPr>
                <w:rFonts w:ascii="Times New Roman" w:hAnsi="Times New Roman" w:eastAsia="宋体" w:cs="Times New Roman"/>
                <w:kern w:val="0"/>
                <w:sz w:val="24"/>
                <w:shd w:val="clear" w:color="auto" w:fill="FFFFFF"/>
              </w:rPr>
            </w:pPr>
            <w:r>
              <w:rPr>
                <w:rFonts w:hint="eastAsia" w:ascii="Times New Roman" w:hAnsi="Times New Roman" w:eastAsia="宋体" w:cs="Times New Roman"/>
                <w:kern w:val="0"/>
                <w:sz w:val="24"/>
                <w:shd w:val="clear" w:color="auto" w:fill="FFFFFF"/>
              </w:rPr>
              <w:t>运营期工艺排污节点及治理措施见表2-9。</w:t>
            </w:r>
          </w:p>
          <w:p w14:paraId="2F3FA00F">
            <w:pPr>
              <w:widowControl/>
              <w:wordWrap w:val="0"/>
              <w:topLinePunct/>
              <w:spacing w:line="360" w:lineRule="auto"/>
              <w:ind w:firstLine="482"/>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表2-9  本项目运营期产污节点表</w:t>
            </w:r>
          </w:p>
          <w:tbl>
            <w:tblPr>
              <w:tblStyle w:val="28"/>
              <w:tblW w:w="79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1803"/>
              <w:gridCol w:w="3004"/>
              <w:gridCol w:w="1761"/>
              <w:gridCol w:w="911"/>
            </w:tblGrid>
            <w:tr w14:paraId="3820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tcBorders>
                    <w:tl2br w:val="nil"/>
                    <w:tr2bl w:val="nil"/>
                  </w:tcBorders>
                  <w:vAlign w:val="center"/>
                </w:tcPr>
                <w:p w14:paraId="36EC3F0F">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类别</w:t>
                  </w:r>
                </w:p>
              </w:tc>
              <w:tc>
                <w:tcPr>
                  <w:tcW w:w="1140" w:type="pct"/>
                  <w:tcBorders>
                    <w:tl2br w:val="nil"/>
                    <w:tr2bl w:val="nil"/>
                  </w:tcBorders>
                  <w:vAlign w:val="center"/>
                </w:tcPr>
                <w:p w14:paraId="203BF399">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产污环节</w:t>
                  </w:r>
                </w:p>
              </w:tc>
              <w:tc>
                <w:tcPr>
                  <w:tcW w:w="1900" w:type="pct"/>
                  <w:tcBorders>
                    <w:tl2br w:val="nil"/>
                    <w:tr2bl w:val="nil"/>
                  </w:tcBorders>
                  <w:vAlign w:val="center"/>
                </w:tcPr>
                <w:p w14:paraId="36FD038F">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污染源</w:t>
                  </w:r>
                </w:p>
              </w:tc>
              <w:tc>
                <w:tcPr>
                  <w:tcW w:w="1113" w:type="pct"/>
                  <w:tcBorders>
                    <w:tl2br w:val="nil"/>
                    <w:tr2bl w:val="nil"/>
                  </w:tcBorders>
                  <w:vAlign w:val="center"/>
                </w:tcPr>
                <w:p w14:paraId="237E49A9">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主要污染物</w:t>
                  </w:r>
                </w:p>
              </w:tc>
              <w:tc>
                <w:tcPr>
                  <w:tcW w:w="576" w:type="pct"/>
                  <w:tcBorders>
                    <w:tl2br w:val="nil"/>
                    <w:tr2bl w:val="nil"/>
                  </w:tcBorders>
                  <w:vAlign w:val="center"/>
                </w:tcPr>
                <w:p w14:paraId="3EDCA186">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产污</w:t>
                  </w:r>
                </w:p>
                <w:p w14:paraId="312D764F">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特征</w:t>
                  </w:r>
                </w:p>
              </w:tc>
            </w:tr>
            <w:tr w14:paraId="1D729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restart"/>
                  <w:tcBorders>
                    <w:tl2br w:val="nil"/>
                    <w:tr2bl w:val="nil"/>
                  </w:tcBorders>
                  <w:vAlign w:val="center"/>
                </w:tcPr>
                <w:p w14:paraId="53B5B98E">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废气</w:t>
                  </w:r>
                </w:p>
              </w:tc>
              <w:tc>
                <w:tcPr>
                  <w:tcW w:w="1140" w:type="pct"/>
                  <w:tcBorders>
                    <w:tl2br w:val="nil"/>
                    <w:tr2bl w:val="nil"/>
                  </w:tcBorders>
                  <w:vAlign w:val="center"/>
                </w:tcPr>
                <w:p w14:paraId="7D9C5A65">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物料运输</w:t>
                  </w:r>
                </w:p>
              </w:tc>
              <w:tc>
                <w:tcPr>
                  <w:tcW w:w="1900" w:type="pct"/>
                  <w:tcBorders>
                    <w:tl2br w:val="nil"/>
                    <w:tr2bl w:val="nil"/>
                  </w:tcBorders>
                  <w:vAlign w:val="center"/>
                </w:tcPr>
                <w:p w14:paraId="7244BE6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车辆道路运输</w:t>
                  </w:r>
                </w:p>
              </w:tc>
              <w:tc>
                <w:tcPr>
                  <w:tcW w:w="1113" w:type="pct"/>
                  <w:tcBorders>
                    <w:tl2br w:val="nil"/>
                    <w:tr2bl w:val="nil"/>
                  </w:tcBorders>
                  <w:vAlign w:val="center"/>
                </w:tcPr>
                <w:p w14:paraId="5249CDBC">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颗粒物</w:t>
                  </w:r>
                </w:p>
              </w:tc>
              <w:tc>
                <w:tcPr>
                  <w:tcW w:w="576" w:type="pct"/>
                  <w:tcBorders>
                    <w:tl2br w:val="nil"/>
                    <w:tr2bl w:val="nil"/>
                  </w:tcBorders>
                  <w:vAlign w:val="center"/>
                </w:tcPr>
                <w:p w14:paraId="74668E6B">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155EB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50649833">
                  <w:pPr>
                    <w:jc w:val="center"/>
                    <w:rPr>
                      <w:rFonts w:ascii="Times New Roman" w:hAnsi="Times New Roman" w:eastAsia="宋体" w:cs="Times New Roman"/>
                      <w:b/>
                      <w:color w:val="000000" w:themeColor="text1"/>
                      <w:szCs w:val="21"/>
                      <w14:textFill>
                        <w14:solidFill>
                          <w14:schemeClr w14:val="tx1"/>
                        </w14:solidFill>
                      </w14:textFill>
                    </w:rPr>
                  </w:pPr>
                </w:p>
              </w:tc>
              <w:tc>
                <w:tcPr>
                  <w:tcW w:w="1140" w:type="pct"/>
                  <w:tcBorders>
                    <w:tl2br w:val="nil"/>
                    <w:tr2bl w:val="nil"/>
                  </w:tcBorders>
                  <w:vAlign w:val="center"/>
                </w:tcPr>
                <w:p w14:paraId="3E2FB86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szCs w:val="21"/>
                    </w:rPr>
                    <w:t>原料堆棚物料堆存</w:t>
                  </w:r>
                </w:p>
              </w:tc>
              <w:tc>
                <w:tcPr>
                  <w:tcW w:w="1900" w:type="pct"/>
                  <w:tcBorders>
                    <w:tl2br w:val="nil"/>
                    <w:tr2bl w:val="nil"/>
                  </w:tcBorders>
                  <w:vAlign w:val="center"/>
                </w:tcPr>
                <w:p w14:paraId="47C1A25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原料堆棚</w:t>
                  </w:r>
                </w:p>
              </w:tc>
              <w:tc>
                <w:tcPr>
                  <w:tcW w:w="1113" w:type="pct"/>
                  <w:tcBorders>
                    <w:tl2br w:val="nil"/>
                    <w:tr2bl w:val="nil"/>
                  </w:tcBorders>
                  <w:vAlign w:val="center"/>
                </w:tcPr>
                <w:p w14:paraId="6A7D4DB9">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颗粒物</w:t>
                  </w:r>
                </w:p>
              </w:tc>
              <w:tc>
                <w:tcPr>
                  <w:tcW w:w="576" w:type="pct"/>
                  <w:tcBorders>
                    <w:tl2br w:val="nil"/>
                    <w:tr2bl w:val="nil"/>
                  </w:tcBorders>
                  <w:vAlign w:val="center"/>
                </w:tcPr>
                <w:p w14:paraId="641BB0E9">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连续</w:t>
                  </w:r>
                </w:p>
              </w:tc>
            </w:tr>
            <w:tr w14:paraId="448AB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6E21E080">
                  <w:pPr>
                    <w:jc w:val="center"/>
                    <w:rPr>
                      <w:rFonts w:ascii="Times New Roman" w:hAnsi="Times New Roman" w:eastAsia="宋体" w:cs="Times New Roman"/>
                      <w:b/>
                      <w:color w:val="000000" w:themeColor="text1"/>
                      <w:szCs w:val="21"/>
                      <w14:textFill>
                        <w14:solidFill>
                          <w14:schemeClr w14:val="tx1"/>
                        </w14:solidFill>
                      </w14:textFill>
                    </w:rPr>
                  </w:pPr>
                </w:p>
              </w:tc>
              <w:tc>
                <w:tcPr>
                  <w:tcW w:w="1140" w:type="pct"/>
                  <w:tcBorders>
                    <w:tl2br w:val="nil"/>
                    <w:tr2bl w:val="nil"/>
                  </w:tcBorders>
                  <w:vAlign w:val="center"/>
                </w:tcPr>
                <w:p w14:paraId="24AE7B99">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szCs w:val="21"/>
                    </w:rPr>
                    <w:t>石料卸料</w:t>
                  </w:r>
                </w:p>
              </w:tc>
              <w:tc>
                <w:tcPr>
                  <w:tcW w:w="1900" w:type="pct"/>
                  <w:tcBorders>
                    <w:tl2br w:val="nil"/>
                    <w:tr2bl w:val="nil"/>
                  </w:tcBorders>
                  <w:vAlign w:val="center"/>
                </w:tcPr>
                <w:p w14:paraId="54C8620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原料堆棚物料装卸</w:t>
                  </w:r>
                </w:p>
              </w:tc>
              <w:tc>
                <w:tcPr>
                  <w:tcW w:w="1113" w:type="pct"/>
                  <w:tcBorders>
                    <w:tl2br w:val="nil"/>
                    <w:tr2bl w:val="nil"/>
                  </w:tcBorders>
                  <w:vAlign w:val="center"/>
                </w:tcPr>
                <w:p w14:paraId="26660216">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颗粒物</w:t>
                  </w:r>
                </w:p>
              </w:tc>
              <w:tc>
                <w:tcPr>
                  <w:tcW w:w="576" w:type="pct"/>
                  <w:tcBorders>
                    <w:tl2br w:val="nil"/>
                    <w:tr2bl w:val="nil"/>
                  </w:tcBorders>
                  <w:vAlign w:val="center"/>
                </w:tcPr>
                <w:p w14:paraId="326AC169">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746B0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183D9C81">
                  <w:pPr>
                    <w:jc w:val="center"/>
                    <w:rPr>
                      <w:rFonts w:ascii="Times New Roman" w:hAnsi="Times New Roman" w:eastAsia="宋体" w:cs="Times New Roman"/>
                      <w:b/>
                      <w:color w:val="000000" w:themeColor="text1"/>
                      <w:szCs w:val="21"/>
                      <w14:textFill>
                        <w14:solidFill>
                          <w14:schemeClr w14:val="tx1"/>
                        </w14:solidFill>
                      </w14:textFill>
                    </w:rPr>
                  </w:pPr>
                </w:p>
              </w:tc>
              <w:tc>
                <w:tcPr>
                  <w:tcW w:w="1140" w:type="pct"/>
                  <w:tcBorders>
                    <w:bottom w:val="single" w:color="000000" w:sz="4" w:space="0"/>
                    <w:tl2br w:val="nil"/>
                    <w:tr2bl w:val="nil"/>
                  </w:tcBorders>
                  <w:vAlign w:val="center"/>
                </w:tcPr>
                <w:p w14:paraId="0EA9D071">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szCs w:val="21"/>
                    </w:rPr>
                    <w:t>冷料上料</w:t>
                  </w:r>
                </w:p>
              </w:tc>
              <w:tc>
                <w:tcPr>
                  <w:tcW w:w="1900" w:type="pct"/>
                  <w:tcBorders>
                    <w:bottom w:val="single" w:color="000000" w:sz="4" w:space="0"/>
                    <w:tl2br w:val="nil"/>
                    <w:tr2bl w:val="nil"/>
                  </w:tcBorders>
                  <w:vAlign w:val="center"/>
                </w:tcPr>
                <w:p w14:paraId="23AE2EC8">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冷料仓上料过程</w:t>
                  </w:r>
                </w:p>
              </w:tc>
              <w:tc>
                <w:tcPr>
                  <w:tcW w:w="1113" w:type="pct"/>
                  <w:tcBorders>
                    <w:bottom w:val="single" w:color="000000" w:sz="4" w:space="0"/>
                    <w:tl2br w:val="nil"/>
                    <w:tr2bl w:val="nil"/>
                  </w:tcBorders>
                  <w:vAlign w:val="center"/>
                </w:tcPr>
                <w:p w14:paraId="6C457D2E">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颗粒物</w:t>
                  </w:r>
                </w:p>
              </w:tc>
              <w:tc>
                <w:tcPr>
                  <w:tcW w:w="576" w:type="pct"/>
                  <w:tcBorders>
                    <w:bottom w:val="single" w:color="000000" w:sz="4" w:space="0"/>
                    <w:tl2br w:val="nil"/>
                    <w:tr2bl w:val="nil"/>
                  </w:tcBorders>
                  <w:vAlign w:val="center"/>
                </w:tcPr>
                <w:p w14:paraId="40E03556">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连续</w:t>
                  </w:r>
                </w:p>
              </w:tc>
            </w:tr>
            <w:tr w14:paraId="2FA58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48D8AF55">
                  <w:pPr>
                    <w:jc w:val="center"/>
                    <w:rPr>
                      <w:rFonts w:ascii="Times New Roman" w:hAnsi="Times New Roman" w:eastAsia="宋体" w:cs="Times New Roman"/>
                      <w:b/>
                      <w:color w:val="000000" w:themeColor="text1"/>
                      <w:szCs w:val="21"/>
                      <w14:textFill>
                        <w14:solidFill>
                          <w14:schemeClr w14:val="tx1"/>
                        </w14:solidFill>
                      </w14:textFill>
                    </w:rPr>
                  </w:pPr>
                </w:p>
              </w:tc>
              <w:tc>
                <w:tcPr>
                  <w:tcW w:w="1140" w:type="pct"/>
                  <w:tcBorders>
                    <w:top w:val="single" w:color="000000" w:sz="4" w:space="0"/>
                    <w:bottom w:val="single" w:color="000000" w:sz="4" w:space="0"/>
                    <w:tl2br w:val="nil"/>
                    <w:tr2bl w:val="nil"/>
                  </w:tcBorders>
                  <w:vAlign w:val="center"/>
                </w:tcPr>
                <w:p w14:paraId="3BCB38B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物料输送</w:t>
                  </w:r>
                </w:p>
              </w:tc>
              <w:tc>
                <w:tcPr>
                  <w:tcW w:w="1900" w:type="pct"/>
                  <w:tcBorders>
                    <w:top w:val="single" w:color="000000" w:sz="4" w:space="0"/>
                    <w:bottom w:val="single" w:color="000000" w:sz="4" w:space="0"/>
                    <w:tl2br w:val="nil"/>
                    <w:tr2bl w:val="nil"/>
                  </w:tcBorders>
                  <w:vAlign w:val="center"/>
                </w:tcPr>
                <w:p w14:paraId="7E4B2FA6">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Bold" w:hAnsi="Times New Roman Bold" w:eastAsia="宋体" w:cs="Times New Roman Bold"/>
                      <w:color w:val="000000"/>
                      <w:szCs w:val="21"/>
                    </w:rPr>
                    <w:t>皮带运输</w:t>
                  </w:r>
                </w:p>
              </w:tc>
              <w:tc>
                <w:tcPr>
                  <w:tcW w:w="1113" w:type="pct"/>
                  <w:tcBorders>
                    <w:top w:val="single" w:color="000000" w:sz="4" w:space="0"/>
                    <w:bottom w:val="single" w:color="000000" w:sz="4" w:space="0"/>
                    <w:tl2br w:val="nil"/>
                    <w:tr2bl w:val="nil"/>
                  </w:tcBorders>
                  <w:vAlign w:val="center"/>
                </w:tcPr>
                <w:p w14:paraId="256FE07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颗粒物</w:t>
                  </w:r>
                </w:p>
              </w:tc>
              <w:tc>
                <w:tcPr>
                  <w:tcW w:w="576" w:type="pct"/>
                  <w:tcBorders>
                    <w:top w:val="single" w:color="000000" w:sz="4" w:space="0"/>
                    <w:bottom w:val="single" w:color="000000" w:sz="4" w:space="0"/>
                    <w:tl2br w:val="nil"/>
                    <w:tr2bl w:val="nil"/>
                  </w:tcBorders>
                  <w:vAlign w:val="center"/>
                </w:tcPr>
                <w:p w14:paraId="500374D2">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连续</w:t>
                  </w:r>
                </w:p>
              </w:tc>
            </w:tr>
            <w:tr w14:paraId="7A9CA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7C4F6386">
                  <w:pPr>
                    <w:jc w:val="center"/>
                    <w:rPr>
                      <w:rFonts w:ascii="Times New Roman" w:hAnsi="Times New Roman" w:eastAsia="宋体" w:cs="Times New Roman"/>
                      <w:b/>
                      <w:color w:val="000000" w:themeColor="text1"/>
                      <w:szCs w:val="21"/>
                      <w14:textFill>
                        <w14:solidFill>
                          <w14:schemeClr w14:val="tx1"/>
                        </w14:solidFill>
                      </w14:textFill>
                    </w:rPr>
                  </w:pPr>
                </w:p>
              </w:tc>
              <w:tc>
                <w:tcPr>
                  <w:tcW w:w="1140" w:type="pct"/>
                  <w:tcBorders>
                    <w:top w:val="single" w:color="000000" w:sz="4" w:space="0"/>
                    <w:bottom w:val="single" w:color="000000" w:sz="4" w:space="0"/>
                    <w:tl2br w:val="nil"/>
                    <w:tr2bl w:val="nil"/>
                  </w:tcBorders>
                  <w:vAlign w:val="center"/>
                </w:tcPr>
                <w:p w14:paraId="0CAA0A50">
                  <w:pPr>
                    <w:jc w:val="center"/>
                    <w:rPr>
                      <w:rFonts w:ascii="Times New Roman" w:hAnsi="Times New Roman" w:eastAsia="宋体" w:cs="Times New Roman"/>
                      <w:color w:val="000000"/>
                      <w:szCs w:val="21"/>
                    </w:rPr>
                  </w:pPr>
                  <w:r>
                    <w:rPr>
                      <w:rFonts w:hint="eastAsia" w:ascii="Times New Roman Bold" w:hAnsi="Times New Roman Bold" w:eastAsia="宋体" w:cs="Times New Roman Bold"/>
                      <w:szCs w:val="21"/>
                    </w:rPr>
                    <w:t>矿粉立仓粉尘</w:t>
                  </w:r>
                </w:p>
              </w:tc>
              <w:tc>
                <w:tcPr>
                  <w:tcW w:w="1900" w:type="pct"/>
                  <w:tcBorders>
                    <w:top w:val="single" w:color="000000" w:sz="4" w:space="0"/>
                    <w:bottom w:val="single" w:color="000000" w:sz="4" w:space="0"/>
                    <w:tl2br w:val="nil"/>
                    <w:tr2bl w:val="nil"/>
                  </w:tcBorders>
                  <w:vAlign w:val="center"/>
                </w:tcPr>
                <w:p w14:paraId="725A51A3">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矿粉罐</w:t>
                  </w:r>
                </w:p>
              </w:tc>
              <w:tc>
                <w:tcPr>
                  <w:tcW w:w="1113" w:type="pct"/>
                  <w:tcBorders>
                    <w:top w:val="single" w:color="000000" w:sz="4" w:space="0"/>
                    <w:bottom w:val="single" w:color="000000" w:sz="4" w:space="0"/>
                    <w:tl2br w:val="nil"/>
                    <w:tr2bl w:val="nil"/>
                  </w:tcBorders>
                  <w:vAlign w:val="center"/>
                </w:tcPr>
                <w:p w14:paraId="0DFACB5C">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颗粒物</w:t>
                  </w:r>
                </w:p>
              </w:tc>
              <w:tc>
                <w:tcPr>
                  <w:tcW w:w="576" w:type="pct"/>
                  <w:tcBorders>
                    <w:top w:val="single" w:color="000000" w:sz="4" w:space="0"/>
                    <w:bottom w:val="single" w:color="000000" w:sz="4" w:space="0"/>
                    <w:tl2br w:val="nil"/>
                    <w:tr2bl w:val="nil"/>
                  </w:tcBorders>
                  <w:vAlign w:val="center"/>
                </w:tcPr>
                <w:p w14:paraId="695846AF">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411B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6689F2B7">
                  <w:pPr>
                    <w:jc w:val="center"/>
                    <w:rPr>
                      <w:rFonts w:ascii="Times New Roman" w:hAnsi="Times New Roman" w:eastAsia="宋体" w:cs="Times New Roman"/>
                      <w:b/>
                      <w:color w:val="000000" w:themeColor="text1"/>
                      <w:szCs w:val="21"/>
                      <w14:textFill>
                        <w14:solidFill>
                          <w14:schemeClr w14:val="tx1"/>
                        </w14:solidFill>
                      </w14:textFill>
                    </w:rPr>
                  </w:pPr>
                </w:p>
              </w:tc>
              <w:tc>
                <w:tcPr>
                  <w:tcW w:w="1140" w:type="pct"/>
                  <w:tcBorders>
                    <w:top w:val="single" w:color="000000" w:sz="4" w:space="0"/>
                    <w:bottom w:val="single" w:color="000000" w:sz="4" w:space="0"/>
                    <w:tl2br w:val="nil"/>
                    <w:tr2bl w:val="nil"/>
                  </w:tcBorders>
                  <w:vAlign w:val="center"/>
                </w:tcPr>
                <w:p w14:paraId="5531345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柴油贮存</w:t>
                  </w:r>
                </w:p>
              </w:tc>
              <w:tc>
                <w:tcPr>
                  <w:tcW w:w="1900" w:type="pct"/>
                  <w:tcBorders>
                    <w:top w:val="single" w:color="000000" w:sz="4" w:space="0"/>
                    <w:bottom w:val="single" w:color="000000" w:sz="4" w:space="0"/>
                    <w:tl2br w:val="nil"/>
                    <w:tr2bl w:val="nil"/>
                  </w:tcBorders>
                  <w:vAlign w:val="center"/>
                </w:tcPr>
                <w:p w14:paraId="5BB2C47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szCs w:val="21"/>
                    </w:rPr>
                    <w:t>柴油储罐大小呼吸废气、动静密封点废气</w:t>
                  </w:r>
                </w:p>
              </w:tc>
              <w:tc>
                <w:tcPr>
                  <w:tcW w:w="1113" w:type="pct"/>
                  <w:tcBorders>
                    <w:top w:val="single" w:color="000000" w:sz="4" w:space="0"/>
                    <w:bottom w:val="single" w:color="000000" w:sz="4" w:space="0"/>
                    <w:tl2br w:val="nil"/>
                    <w:tr2bl w:val="nil"/>
                  </w:tcBorders>
                  <w:vAlign w:val="center"/>
                </w:tcPr>
                <w:p w14:paraId="74285D59">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非甲烷总烃</w:t>
                  </w:r>
                </w:p>
              </w:tc>
              <w:tc>
                <w:tcPr>
                  <w:tcW w:w="576" w:type="pct"/>
                  <w:tcBorders>
                    <w:top w:val="single" w:color="000000" w:sz="4" w:space="0"/>
                    <w:bottom w:val="single" w:color="000000" w:sz="4" w:space="0"/>
                    <w:tl2br w:val="nil"/>
                    <w:tr2bl w:val="nil"/>
                  </w:tcBorders>
                  <w:vAlign w:val="center"/>
                </w:tcPr>
                <w:p w14:paraId="4B922827">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连续</w:t>
                  </w:r>
                </w:p>
              </w:tc>
            </w:tr>
            <w:tr w14:paraId="085C3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4AB5C59C">
                  <w:pPr>
                    <w:jc w:val="center"/>
                    <w:rPr>
                      <w:rFonts w:ascii="Times New Roman" w:hAnsi="Times New Roman" w:eastAsia="宋体" w:cs="Times New Roman"/>
                      <w:b/>
                      <w:color w:val="000000" w:themeColor="text1"/>
                      <w:szCs w:val="21"/>
                      <w14:textFill>
                        <w14:solidFill>
                          <w14:schemeClr w14:val="tx1"/>
                        </w14:solidFill>
                      </w14:textFill>
                    </w:rPr>
                  </w:pPr>
                </w:p>
              </w:tc>
              <w:tc>
                <w:tcPr>
                  <w:tcW w:w="1140" w:type="pct"/>
                  <w:tcBorders>
                    <w:top w:val="single" w:color="000000" w:sz="4" w:space="0"/>
                    <w:bottom w:val="single" w:color="000000" w:sz="4" w:space="0"/>
                    <w:tl2br w:val="nil"/>
                    <w:tr2bl w:val="nil"/>
                  </w:tcBorders>
                  <w:vAlign w:val="center"/>
                </w:tcPr>
                <w:p w14:paraId="3A6ABC6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骨料烘干</w:t>
                  </w:r>
                </w:p>
              </w:tc>
              <w:tc>
                <w:tcPr>
                  <w:tcW w:w="1900" w:type="pct"/>
                  <w:tcBorders>
                    <w:top w:val="single" w:color="000000" w:sz="4" w:space="0"/>
                    <w:bottom w:val="single" w:color="000000" w:sz="4" w:space="0"/>
                    <w:tl2br w:val="nil"/>
                    <w:tr2bl w:val="nil"/>
                  </w:tcBorders>
                  <w:vAlign w:val="center"/>
                </w:tcPr>
                <w:p w14:paraId="2BC98C63">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szCs w:val="21"/>
                    </w:rPr>
                    <w:t>烘干滚筒燃烧器燃油废气</w:t>
                  </w:r>
                </w:p>
              </w:tc>
              <w:tc>
                <w:tcPr>
                  <w:tcW w:w="1113" w:type="pct"/>
                  <w:tcBorders>
                    <w:top w:val="single" w:color="000000" w:sz="4" w:space="0"/>
                    <w:bottom w:val="single" w:color="000000" w:sz="4" w:space="0"/>
                    <w:tl2br w:val="nil"/>
                    <w:tr2bl w:val="nil"/>
                  </w:tcBorders>
                  <w:vAlign w:val="center"/>
                </w:tcPr>
                <w:p w14:paraId="6E1B7FD0">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szCs w:val="21"/>
                    </w:rPr>
                    <w:t>颗粒物、SO</w:t>
                  </w:r>
                  <w:r>
                    <w:rPr>
                      <w:rFonts w:hint="eastAsia" w:ascii="Times New Roman" w:hAnsi="Times New Roman" w:eastAsia="宋体" w:cs="Times New Roman"/>
                      <w:szCs w:val="21"/>
                      <w:vertAlign w:val="subscript"/>
                    </w:rPr>
                    <w:t>2</w:t>
                  </w:r>
                  <w:r>
                    <w:rPr>
                      <w:rFonts w:hint="eastAsia" w:ascii="Times New Roman" w:hAnsi="Times New Roman" w:eastAsia="宋体" w:cs="Times New Roman"/>
                      <w:szCs w:val="21"/>
                    </w:rPr>
                    <w:t>、NO</w:t>
                  </w:r>
                  <w:r>
                    <w:rPr>
                      <w:rFonts w:hint="eastAsia" w:ascii="Times New Roman" w:hAnsi="Times New Roman" w:eastAsia="宋体" w:cs="Times New Roman"/>
                      <w:szCs w:val="21"/>
                      <w:vertAlign w:val="subscript"/>
                    </w:rPr>
                    <w:t>X</w:t>
                  </w:r>
                </w:p>
              </w:tc>
              <w:tc>
                <w:tcPr>
                  <w:tcW w:w="576" w:type="pct"/>
                  <w:tcBorders>
                    <w:top w:val="single" w:color="000000" w:sz="4" w:space="0"/>
                    <w:bottom w:val="single" w:color="000000" w:sz="4" w:space="0"/>
                    <w:tl2br w:val="nil"/>
                    <w:tr2bl w:val="nil"/>
                  </w:tcBorders>
                  <w:vAlign w:val="center"/>
                </w:tcPr>
                <w:p w14:paraId="3003443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连续</w:t>
                  </w:r>
                </w:p>
              </w:tc>
            </w:tr>
            <w:tr w14:paraId="377D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550D85EC">
                  <w:pPr>
                    <w:jc w:val="center"/>
                    <w:rPr>
                      <w:rFonts w:ascii="Times New Roman" w:hAnsi="Times New Roman" w:eastAsia="宋体" w:cs="Times New Roman"/>
                      <w:b/>
                      <w:color w:val="000000" w:themeColor="text1"/>
                      <w:szCs w:val="21"/>
                      <w14:textFill>
                        <w14:solidFill>
                          <w14:schemeClr w14:val="tx1"/>
                        </w14:solidFill>
                      </w14:textFill>
                    </w:rPr>
                  </w:pPr>
                </w:p>
              </w:tc>
              <w:tc>
                <w:tcPr>
                  <w:tcW w:w="1140" w:type="pct"/>
                  <w:tcBorders>
                    <w:top w:val="single" w:color="000000" w:sz="4" w:space="0"/>
                    <w:bottom w:val="single" w:color="000000" w:sz="4" w:space="0"/>
                    <w:tl2br w:val="nil"/>
                    <w:tr2bl w:val="nil"/>
                  </w:tcBorders>
                  <w:vAlign w:val="center"/>
                </w:tcPr>
                <w:p w14:paraId="02D78CA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烘干工序、筛分工序及热骨料仓</w:t>
                  </w:r>
                </w:p>
              </w:tc>
              <w:tc>
                <w:tcPr>
                  <w:tcW w:w="1900" w:type="pct"/>
                  <w:tcBorders>
                    <w:top w:val="single" w:color="000000" w:sz="4" w:space="0"/>
                    <w:bottom w:val="single" w:color="000000" w:sz="4" w:space="0"/>
                    <w:tl2br w:val="nil"/>
                    <w:tr2bl w:val="nil"/>
                  </w:tcBorders>
                  <w:vAlign w:val="center"/>
                </w:tcPr>
                <w:p w14:paraId="223A7A18">
                  <w:pPr>
                    <w:jc w:val="center"/>
                    <w:rPr>
                      <w:rFonts w:ascii="Times New Roman" w:hAnsi="Times New Roman" w:eastAsia="宋体" w:cs="Times New Roman"/>
                      <w:szCs w:val="21"/>
                    </w:rPr>
                  </w:pPr>
                  <w:r>
                    <w:rPr>
                      <w:rFonts w:ascii="Times New Roman" w:hAnsi="Times New Roman" w:eastAsia="宋体" w:cs="Times New Roman"/>
                      <w:szCs w:val="21"/>
                    </w:rPr>
                    <w:t>烘干、筛分、热骨料仓</w:t>
                  </w:r>
                  <w:r>
                    <w:rPr>
                      <w:rFonts w:hint="eastAsia" w:ascii="Times New Roman" w:hAnsi="Times New Roman" w:eastAsia="宋体" w:cs="Times New Roman"/>
                      <w:szCs w:val="21"/>
                    </w:rPr>
                    <w:t>粉尘</w:t>
                  </w:r>
                </w:p>
              </w:tc>
              <w:tc>
                <w:tcPr>
                  <w:tcW w:w="1113" w:type="pct"/>
                  <w:tcBorders>
                    <w:top w:val="single" w:color="000000" w:sz="4" w:space="0"/>
                    <w:bottom w:val="single" w:color="000000" w:sz="4" w:space="0"/>
                    <w:tl2br w:val="nil"/>
                    <w:tr2bl w:val="nil"/>
                  </w:tcBorders>
                  <w:vAlign w:val="center"/>
                </w:tcPr>
                <w:p w14:paraId="386AA564">
                  <w:pPr>
                    <w:jc w:val="center"/>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576" w:type="pct"/>
                  <w:tcBorders>
                    <w:top w:val="single" w:color="000000" w:sz="4" w:space="0"/>
                    <w:bottom w:val="single" w:color="000000" w:sz="4" w:space="0"/>
                    <w:tl2br w:val="nil"/>
                    <w:tr2bl w:val="nil"/>
                  </w:tcBorders>
                  <w:vAlign w:val="center"/>
                </w:tcPr>
                <w:p w14:paraId="6E57C06C">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连续</w:t>
                  </w:r>
                </w:p>
              </w:tc>
            </w:tr>
            <w:tr w14:paraId="192F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721E7279">
                  <w:pPr>
                    <w:jc w:val="center"/>
                    <w:rPr>
                      <w:rFonts w:ascii="Times New Roman" w:hAnsi="Times New Roman" w:eastAsia="宋体" w:cs="Times New Roman"/>
                      <w:b/>
                      <w:color w:val="000000" w:themeColor="text1"/>
                      <w:szCs w:val="21"/>
                      <w14:textFill>
                        <w14:solidFill>
                          <w14:schemeClr w14:val="tx1"/>
                        </w14:solidFill>
                      </w14:textFill>
                    </w:rPr>
                  </w:pPr>
                </w:p>
              </w:tc>
              <w:tc>
                <w:tcPr>
                  <w:tcW w:w="1140" w:type="pct"/>
                  <w:tcBorders>
                    <w:top w:val="single" w:color="000000" w:sz="4" w:space="0"/>
                    <w:bottom w:val="single" w:color="000000" w:sz="4" w:space="0"/>
                    <w:tl2br w:val="nil"/>
                    <w:tr2bl w:val="nil"/>
                  </w:tcBorders>
                  <w:vAlign w:val="center"/>
                </w:tcPr>
                <w:p w14:paraId="151A853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搅拌工序</w:t>
                  </w:r>
                </w:p>
              </w:tc>
              <w:tc>
                <w:tcPr>
                  <w:tcW w:w="1900" w:type="pct"/>
                  <w:tcBorders>
                    <w:top w:val="single" w:color="000000" w:sz="4" w:space="0"/>
                    <w:bottom w:val="single" w:color="000000" w:sz="4" w:space="0"/>
                    <w:tl2br w:val="nil"/>
                    <w:tr2bl w:val="nil"/>
                  </w:tcBorders>
                  <w:vAlign w:val="center"/>
                </w:tcPr>
                <w:p w14:paraId="35747EBF">
                  <w:pPr>
                    <w:jc w:val="center"/>
                    <w:rPr>
                      <w:rFonts w:ascii="Times New Roman" w:hAnsi="Times New Roman" w:eastAsia="宋体" w:cs="Times New Roman"/>
                      <w:szCs w:val="21"/>
                    </w:rPr>
                  </w:pPr>
                  <w:r>
                    <w:rPr>
                      <w:rFonts w:hint="eastAsia" w:ascii="Times New Roman" w:hAnsi="Times New Roman" w:eastAsia="宋体" w:cs="Times New Roman"/>
                      <w:szCs w:val="21"/>
                    </w:rPr>
                    <w:t>搅拌粉尘</w:t>
                  </w:r>
                </w:p>
              </w:tc>
              <w:tc>
                <w:tcPr>
                  <w:tcW w:w="1113" w:type="pct"/>
                  <w:tcBorders>
                    <w:top w:val="single" w:color="000000" w:sz="4" w:space="0"/>
                    <w:bottom w:val="single" w:color="000000" w:sz="4" w:space="0"/>
                    <w:tl2br w:val="nil"/>
                    <w:tr2bl w:val="nil"/>
                  </w:tcBorders>
                  <w:vAlign w:val="center"/>
                </w:tcPr>
                <w:p w14:paraId="512F25F9">
                  <w:pPr>
                    <w:jc w:val="center"/>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576" w:type="pct"/>
                  <w:tcBorders>
                    <w:top w:val="single" w:color="000000" w:sz="4" w:space="0"/>
                    <w:bottom w:val="single" w:color="000000" w:sz="4" w:space="0"/>
                    <w:tl2br w:val="nil"/>
                    <w:tr2bl w:val="nil"/>
                  </w:tcBorders>
                  <w:vAlign w:val="center"/>
                </w:tcPr>
                <w:p w14:paraId="18D0B15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连续</w:t>
                  </w:r>
                </w:p>
              </w:tc>
            </w:tr>
            <w:tr w14:paraId="48F9F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52D73366">
                  <w:pPr>
                    <w:jc w:val="center"/>
                    <w:rPr>
                      <w:rFonts w:ascii="Times New Roman" w:hAnsi="Times New Roman" w:eastAsia="宋体" w:cs="Times New Roman"/>
                      <w:b/>
                      <w:color w:val="000000" w:themeColor="text1"/>
                      <w:szCs w:val="21"/>
                      <w14:textFill>
                        <w14:solidFill>
                          <w14:schemeClr w14:val="tx1"/>
                        </w14:solidFill>
                      </w14:textFill>
                    </w:rPr>
                  </w:pPr>
                </w:p>
              </w:tc>
              <w:tc>
                <w:tcPr>
                  <w:tcW w:w="1140" w:type="pct"/>
                  <w:tcBorders>
                    <w:top w:val="single" w:color="000000" w:sz="4" w:space="0"/>
                    <w:bottom w:val="single" w:color="000000" w:sz="4" w:space="0"/>
                    <w:tl2br w:val="nil"/>
                    <w:tr2bl w:val="nil"/>
                  </w:tcBorders>
                  <w:vAlign w:val="center"/>
                </w:tcPr>
                <w:p w14:paraId="24DBBFB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14:textFill>
                        <w14:solidFill>
                          <w14:schemeClr w14:val="tx1"/>
                        </w14:solidFill>
                      </w14:textFill>
                    </w:rPr>
                    <w:t>混合搅拌、成品出料</w:t>
                  </w:r>
                </w:p>
              </w:tc>
              <w:tc>
                <w:tcPr>
                  <w:tcW w:w="1900" w:type="pct"/>
                  <w:tcBorders>
                    <w:top w:val="single" w:color="000000" w:sz="4" w:space="0"/>
                    <w:bottom w:val="single" w:color="000000" w:sz="4" w:space="0"/>
                    <w:tl2br w:val="nil"/>
                    <w:tr2bl w:val="nil"/>
                  </w:tcBorders>
                  <w:vAlign w:val="center"/>
                </w:tcPr>
                <w:p w14:paraId="1D56023B">
                  <w:pPr>
                    <w:jc w:val="center"/>
                    <w:rPr>
                      <w:rFonts w:ascii="Times New Roman" w:hAnsi="Times New Roman" w:eastAsia="宋体"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混合搅拌、成品出料沥青烟气</w:t>
                  </w:r>
                </w:p>
              </w:tc>
              <w:tc>
                <w:tcPr>
                  <w:tcW w:w="1113" w:type="pct"/>
                  <w:tcBorders>
                    <w:top w:val="single" w:color="000000" w:sz="4" w:space="0"/>
                    <w:bottom w:val="single" w:color="000000" w:sz="4" w:space="0"/>
                    <w:tl2br w:val="nil"/>
                    <w:tr2bl w:val="nil"/>
                  </w:tcBorders>
                  <w:vAlign w:val="center"/>
                </w:tcPr>
                <w:p w14:paraId="07A060DD">
                  <w:pPr>
                    <w:jc w:val="center"/>
                    <w:rPr>
                      <w:rFonts w:ascii="Times New Roman" w:hAnsi="Times New Roman" w:eastAsia="宋体" w:cs="Times New Roman"/>
                      <w:szCs w:val="21"/>
                    </w:rPr>
                  </w:pPr>
                  <w:r>
                    <w:rPr>
                      <w:rFonts w:hint="eastAsia" w:ascii="Times New Roman" w:hAnsi="Times New Roman" w:cs="Times New Roman"/>
                      <w:szCs w:val="21"/>
                    </w:rPr>
                    <w:t>沥青烟、</w:t>
                  </w:r>
                  <w:r>
                    <w:rPr>
                      <w:rFonts w:ascii="Times New Roman" w:hAnsi="Times New Roman" w:cs="Times New Roman"/>
                      <w:szCs w:val="21"/>
                    </w:rPr>
                    <w:t>苯并[a]芘</w:t>
                  </w:r>
                  <w:r>
                    <w:rPr>
                      <w:rFonts w:hint="eastAsia" w:ascii="Times New Roman" w:hAnsi="Times New Roman" w:cs="Times New Roman"/>
                      <w:szCs w:val="21"/>
                    </w:rPr>
                    <w:t>、非甲烷总烃</w:t>
                  </w:r>
                </w:p>
              </w:tc>
              <w:tc>
                <w:tcPr>
                  <w:tcW w:w="576" w:type="pct"/>
                  <w:tcBorders>
                    <w:top w:val="single" w:color="000000" w:sz="4" w:space="0"/>
                    <w:bottom w:val="single" w:color="000000" w:sz="4" w:space="0"/>
                    <w:tl2br w:val="nil"/>
                    <w:tr2bl w:val="nil"/>
                  </w:tcBorders>
                  <w:vAlign w:val="center"/>
                </w:tcPr>
                <w:p w14:paraId="2EB0A01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连续</w:t>
                  </w:r>
                </w:p>
              </w:tc>
            </w:tr>
            <w:tr w14:paraId="1F56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386077C9">
                  <w:pPr>
                    <w:jc w:val="center"/>
                    <w:rPr>
                      <w:rFonts w:ascii="Times New Roman" w:hAnsi="Times New Roman" w:eastAsia="宋体" w:cs="Times New Roman"/>
                      <w:b/>
                      <w:color w:val="000000" w:themeColor="text1"/>
                      <w:szCs w:val="21"/>
                      <w14:textFill>
                        <w14:solidFill>
                          <w14:schemeClr w14:val="tx1"/>
                        </w14:solidFill>
                      </w14:textFill>
                    </w:rPr>
                  </w:pPr>
                </w:p>
              </w:tc>
              <w:tc>
                <w:tcPr>
                  <w:tcW w:w="1140" w:type="pct"/>
                  <w:tcBorders>
                    <w:top w:val="single" w:color="000000" w:sz="4" w:space="0"/>
                    <w:bottom w:val="single" w:color="000000" w:sz="4" w:space="0"/>
                    <w:tl2br w:val="nil"/>
                    <w:tr2bl w:val="nil"/>
                  </w:tcBorders>
                  <w:vAlign w:val="center"/>
                </w:tcPr>
                <w:p w14:paraId="67E01C8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沥青储罐</w:t>
                  </w:r>
                </w:p>
              </w:tc>
              <w:tc>
                <w:tcPr>
                  <w:tcW w:w="1900" w:type="pct"/>
                  <w:tcBorders>
                    <w:top w:val="single" w:color="000000" w:sz="4" w:space="0"/>
                    <w:bottom w:val="single" w:color="000000" w:sz="4" w:space="0"/>
                    <w:tl2br w:val="nil"/>
                    <w:tr2bl w:val="nil"/>
                  </w:tcBorders>
                  <w:vAlign w:val="center"/>
                </w:tcPr>
                <w:p w14:paraId="1BB458D1">
                  <w:pPr>
                    <w:jc w:val="center"/>
                    <w:rPr>
                      <w:rFonts w:ascii="Times New Roman" w:hAnsi="Times New Roman" w:eastAsia="宋体"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沥青储罐呼吸废气</w:t>
                  </w:r>
                </w:p>
              </w:tc>
              <w:tc>
                <w:tcPr>
                  <w:tcW w:w="1113" w:type="pct"/>
                  <w:tcBorders>
                    <w:top w:val="single" w:color="000000" w:sz="4" w:space="0"/>
                    <w:bottom w:val="single" w:color="000000" w:sz="4" w:space="0"/>
                    <w:tl2br w:val="nil"/>
                    <w:tr2bl w:val="nil"/>
                  </w:tcBorders>
                  <w:vAlign w:val="center"/>
                </w:tcPr>
                <w:p w14:paraId="70C00C9C">
                  <w:pPr>
                    <w:jc w:val="center"/>
                    <w:rPr>
                      <w:rFonts w:ascii="Times New Roman" w:hAnsi="Times New Roman" w:eastAsia="宋体" w:cs="Times New Roman"/>
                      <w:szCs w:val="21"/>
                    </w:rPr>
                  </w:pPr>
                  <w:r>
                    <w:rPr>
                      <w:rFonts w:hint="eastAsia" w:ascii="Times New Roman" w:hAnsi="Times New Roman" w:cs="Times New Roman"/>
                      <w:szCs w:val="21"/>
                    </w:rPr>
                    <w:t>沥青烟、</w:t>
                  </w:r>
                  <w:r>
                    <w:rPr>
                      <w:rFonts w:ascii="Times New Roman" w:hAnsi="Times New Roman" w:cs="Times New Roman"/>
                      <w:szCs w:val="21"/>
                    </w:rPr>
                    <w:t>苯并[a]芘</w:t>
                  </w:r>
                  <w:r>
                    <w:rPr>
                      <w:rFonts w:hint="eastAsia" w:ascii="Times New Roman" w:hAnsi="Times New Roman" w:cs="Times New Roman"/>
                      <w:szCs w:val="21"/>
                    </w:rPr>
                    <w:t>、非甲烷总烃</w:t>
                  </w:r>
                </w:p>
              </w:tc>
              <w:tc>
                <w:tcPr>
                  <w:tcW w:w="576" w:type="pct"/>
                  <w:tcBorders>
                    <w:top w:val="single" w:color="000000" w:sz="4" w:space="0"/>
                    <w:bottom w:val="single" w:color="000000" w:sz="4" w:space="0"/>
                    <w:tl2br w:val="nil"/>
                    <w:tr2bl w:val="nil"/>
                  </w:tcBorders>
                  <w:vAlign w:val="center"/>
                </w:tcPr>
                <w:p w14:paraId="12B0AFD7">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连续</w:t>
                  </w:r>
                </w:p>
              </w:tc>
            </w:tr>
            <w:tr w14:paraId="3326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55511FA5">
                  <w:pPr>
                    <w:jc w:val="center"/>
                    <w:rPr>
                      <w:rFonts w:ascii="Times New Roman" w:hAnsi="Times New Roman" w:eastAsia="宋体" w:cs="Times New Roman"/>
                      <w:b/>
                      <w:color w:val="000000" w:themeColor="text1"/>
                      <w:szCs w:val="21"/>
                      <w14:textFill>
                        <w14:solidFill>
                          <w14:schemeClr w14:val="tx1"/>
                        </w14:solidFill>
                      </w14:textFill>
                    </w:rPr>
                  </w:pPr>
                </w:p>
              </w:tc>
              <w:tc>
                <w:tcPr>
                  <w:tcW w:w="1140" w:type="pct"/>
                  <w:tcBorders>
                    <w:top w:val="single" w:color="000000" w:sz="4" w:space="0"/>
                    <w:bottom w:val="single" w:color="000000" w:sz="4" w:space="0"/>
                    <w:tl2br w:val="nil"/>
                    <w:tr2bl w:val="nil"/>
                  </w:tcBorders>
                  <w:vAlign w:val="center"/>
                </w:tcPr>
                <w:p w14:paraId="2437D29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乳化沥青出料、胶磨工序</w:t>
                  </w:r>
                </w:p>
              </w:tc>
              <w:tc>
                <w:tcPr>
                  <w:tcW w:w="1900" w:type="pct"/>
                  <w:tcBorders>
                    <w:top w:val="single" w:color="000000" w:sz="4" w:space="0"/>
                    <w:bottom w:val="single" w:color="000000" w:sz="4" w:space="0"/>
                    <w:tl2br w:val="nil"/>
                    <w:tr2bl w:val="nil"/>
                  </w:tcBorders>
                  <w:vAlign w:val="center"/>
                </w:tcPr>
                <w:p w14:paraId="0C968F93">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乳化沥青出料、</w:t>
                  </w:r>
                  <w:r>
                    <w:rPr>
                      <w:rFonts w:hint="eastAsia" w:ascii="Times New Roman" w:hAnsi="Times New Roman" w:eastAsia="宋体" w:cs="Times New Roman"/>
                      <w:color w:val="000000"/>
                      <w:szCs w:val="21"/>
                    </w:rPr>
                    <w:t>胶磨废气</w:t>
                  </w:r>
                </w:p>
              </w:tc>
              <w:tc>
                <w:tcPr>
                  <w:tcW w:w="1113" w:type="pct"/>
                  <w:tcBorders>
                    <w:top w:val="single" w:color="000000" w:sz="4" w:space="0"/>
                    <w:bottom w:val="single" w:color="000000" w:sz="4" w:space="0"/>
                    <w:tl2br w:val="nil"/>
                    <w:tr2bl w:val="nil"/>
                  </w:tcBorders>
                  <w:vAlign w:val="center"/>
                </w:tcPr>
                <w:p w14:paraId="070EAE08">
                  <w:pPr>
                    <w:jc w:val="center"/>
                    <w:rPr>
                      <w:rFonts w:ascii="Times New Roman" w:hAnsi="Times New Roman" w:cs="Times New Roman"/>
                      <w:szCs w:val="21"/>
                    </w:rPr>
                  </w:pPr>
                  <w:r>
                    <w:rPr>
                      <w:rFonts w:hint="eastAsia" w:ascii="Times New Roman" w:hAnsi="Times New Roman" w:cs="Times New Roman"/>
                      <w:szCs w:val="21"/>
                    </w:rPr>
                    <w:t>沥青烟、</w:t>
                  </w:r>
                  <w:r>
                    <w:rPr>
                      <w:rFonts w:ascii="Times New Roman" w:hAnsi="Times New Roman" w:cs="Times New Roman"/>
                      <w:szCs w:val="21"/>
                    </w:rPr>
                    <w:t>苯并[a]芘</w:t>
                  </w:r>
                  <w:r>
                    <w:rPr>
                      <w:rFonts w:hint="eastAsia" w:ascii="Times New Roman" w:hAnsi="Times New Roman" w:cs="Times New Roman"/>
                      <w:szCs w:val="21"/>
                    </w:rPr>
                    <w:t>、非甲烷总烃</w:t>
                  </w:r>
                </w:p>
              </w:tc>
              <w:tc>
                <w:tcPr>
                  <w:tcW w:w="576" w:type="pct"/>
                  <w:tcBorders>
                    <w:top w:val="single" w:color="000000" w:sz="4" w:space="0"/>
                    <w:bottom w:val="single" w:color="000000" w:sz="4" w:space="0"/>
                    <w:tl2br w:val="nil"/>
                    <w:tr2bl w:val="nil"/>
                  </w:tcBorders>
                  <w:vAlign w:val="center"/>
                </w:tcPr>
                <w:p w14:paraId="59372226">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23EE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269" w:type="pct"/>
                  <w:vMerge w:val="continue"/>
                  <w:tcBorders>
                    <w:tl2br w:val="nil"/>
                    <w:tr2bl w:val="nil"/>
                  </w:tcBorders>
                  <w:vAlign w:val="center"/>
                </w:tcPr>
                <w:p w14:paraId="545A0966">
                  <w:pPr>
                    <w:jc w:val="center"/>
                    <w:rPr>
                      <w:rFonts w:ascii="Times New Roman" w:hAnsi="Times New Roman" w:eastAsia="宋体" w:cs="Times New Roman"/>
                      <w:b/>
                      <w:color w:val="000000" w:themeColor="text1"/>
                      <w:szCs w:val="21"/>
                      <w14:textFill>
                        <w14:solidFill>
                          <w14:schemeClr w14:val="tx1"/>
                        </w14:solidFill>
                      </w14:textFill>
                    </w:rPr>
                  </w:pPr>
                </w:p>
              </w:tc>
              <w:tc>
                <w:tcPr>
                  <w:tcW w:w="1140" w:type="pct"/>
                  <w:tcBorders>
                    <w:top w:val="single" w:color="000000" w:sz="4" w:space="0"/>
                    <w:bottom w:val="single" w:color="000000" w:sz="4" w:space="0"/>
                    <w:tl2br w:val="nil"/>
                    <w:tr2bl w:val="nil"/>
                  </w:tcBorders>
                  <w:vAlign w:val="center"/>
                </w:tcPr>
                <w:p w14:paraId="1D27792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themeColor="text1"/>
                      <w:szCs w:val="21"/>
                      <w14:textFill>
                        <w14:solidFill>
                          <w14:schemeClr w14:val="tx1"/>
                        </w14:solidFill>
                      </w14:textFill>
                    </w:rPr>
                    <w:t>有机热载体炉</w:t>
                  </w:r>
                </w:p>
              </w:tc>
              <w:tc>
                <w:tcPr>
                  <w:tcW w:w="1900" w:type="pct"/>
                  <w:tcBorders>
                    <w:top w:val="single" w:color="000000" w:sz="4" w:space="0"/>
                    <w:bottom w:val="single" w:color="000000" w:sz="4" w:space="0"/>
                    <w:tl2br w:val="nil"/>
                    <w:tr2bl w:val="nil"/>
                  </w:tcBorders>
                  <w:vAlign w:val="center"/>
                </w:tcPr>
                <w:p w14:paraId="0E5EB01F">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有机热载体炉燃烧废气</w:t>
                  </w:r>
                </w:p>
              </w:tc>
              <w:tc>
                <w:tcPr>
                  <w:tcW w:w="1113" w:type="pct"/>
                  <w:tcBorders>
                    <w:top w:val="single" w:color="000000" w:sz="4" w:space="0"/>
                    <w:bottom w:val="single" w:color="000000" w:sz="4" w:space="0"/>
                    <w:tl2br w:val="nil"/>
                    <w:tr2bl w:val="nil"/>
                  </w:tcBorders>
                  <w:vAlign w:val="center"/>
                </w:tcPr>
                <w:p w14:paraId="61975387">
                  <w:pPr>
                    <w:jc w:val="center"/>
                    <w:rPr>
                      <w:rFonts w:ascii="Times New Roman" w:hAnsi="Times New Roman" w:cs="Times New Roman"/>
                      <w:szCs w:val="21"/>
                    </w:rPr>
                  </w:pPr>
                  <w:r>
                    <w:rPr>
                      <w:rFonts w:hint="eastAsia" w:ascii="Times New Roman" w:hAnsi="Times New Roman" w:eastAsia="宋体" w:cs="Times New Roman"/>
                      <w:szCs w:val="21"/>
                    </w:rPr>
                    <w:t>颗粒物、SO</w:t>
                  </w:r>
                  <w:r>
                    <w:rPr>
                      <w:rFonts w:hint="eastAsia" w:ascii="Times New Roman" w:hAnsi="Times New Roman" w:eastAsia="宋体" w:cs="Times New Roman"/>
                      <w:szCs w:val="21"/>
                      <w:vertAlign w:val="subscript"/>
                    </w:rPr>
                    <w:t>2</w:t>
                  </w:r>
                  <w:r>
                    <w:rPr>
                      <w:rFonts w:hint="eastAsia" w:ascii="Times New Roman" w:hAnsi="Times New Roman" w:eastAsia="宋体" w:cs="Times New Roman"/>
                      <w:szCs w:val="21"/>
                    </w:rPr>
                    <w:t>、NO</w:t>
                  </w:r>
                  <w:r>
                    <w:rPr>
                      <w:rFonts w:hint="eastAsia" w:ascii="Times New Roman" w:hAnsi="Times New Roman" w:eastAsia="宋体" w:cs="Times New Roman"/>
                      <w:szCs w:val="21"/>
                      <w:vertAlign w:val="subscript"/>
                    </w:rPr>
                    <w:t>X</w:t>
                  </w:r>
                </w:p>
              </w:tc>
              <w:tc>
                <w:tcPr>
                  <w:tcW w:w="576" w:type="pct"/>
                  <w:tcBorders>
                    <w:top w:val="single" w:color="000000" w:sz="4" w:space="0"/>
                    <w:bottom w:val="single" w:color="000000" w:sz="4" w:space="0"/>
                    <w:tl2br w:val="nil"/>
                    <w:tr2bl w:val="nil"/>
                  </w:tcBorders>
                  <w:vAlign w:val="center"/>
                </w:tcPr>
                <w:p w14:paraId="056C39B7">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54881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19A96C7E">
                  <w:pPr>
                    <w:jc w:val="center"/>
                    <w:rPr>
                      <w:rFonts w:ascii="Times New Roman" w:hAnsi="Times New Roman" w:eastAsia="宋体" w:cs="Times New Roman"/>
                      <w:b/>
                      <w:color w:val="000000" w:themeColor="text1"/>
                      <w:szCs w:val="21"/>
                      <w14:textFill>
                        <w14:solidFill>
                          <w14:schemeClr w14:val="tx1"/>
                        </w14:solidFill>
                      </w14:textFill>
                    </w:rPr>
                  </w:pPr>
                </w:p>
              </w:tc>
              <w:tc>
                <w:tcPr>
                  <w:tcW w:w="1140" w:type="pct"/>
                  <w:tcBorders>
                    <w:top w:val="single" w:color="000000" w:sz="4" w:space="0"/>
                    <w:tl2br w:val="nil"/>
                    <w:tr2bl w:val="nil"/>
                  </w:tcBorders>
                  <w:vAlign w:val="center"/>
                </w:tcPr>
                <w:p w14:paraId="13B3E12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食堂</w:t>
                  </w:r>
                </w:p>
              </w:tc>
              <w:tc>
                <w:tcPr>
                  <w:tcW w:w="1900" w:type="pct"/>
                  <w:tcBorders>
                    <w:top w:val="single" w:color="000000" w:sz="4" w:space="0"/>
                    <w:tl2br w:val="nil"/>
                    <w:tr2bl w:val="nil"/>
                  </w:tcBorders>
                  <w:vAlign w:val="center"/>
                </w:tcPr>
                <w:p w14:paraId="76D0BA80">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食堂油烟</w:t>
                  </w:r>
                </w:p>
              </w:tc>
              <w:tc>
                <w:tcPr>
                  <w:tcW w:w="1113" w:type="pct"/>
                  <w:tcBorders>
                    <w:top w:val="single" w:color="000000" w:sz="4" w:space="0"/>
                    <w:tl2br w:val="nil"/>
                    <w:tr2bl w:val="nil"/>
                  </w:tcBorders>
                  <w:vAlign w:val="center"/>
                </w:tcPr>
                <w:p w14:paraId="408FC8F2">
                  <w:pPr>
                    <w:jc w:val="center"/>
                    <w:rPr>
                      <w:rFonts w:ascii="Times New Roman" w:hAnsi="Times New Roman" w:cs="Times New Roman"/>
                      <w:szCs w:val="21"/>
                    </w:rPr>
                  </w:pPr>
                  <w:r>
                    <w:rPr>
                      <w:rFonts w:hint="eastAsia" w:ascii="Times New Roman" w:hAnsi="Times New Roman" w:cs="Times New Roman"/>
                      <w:szCs w:val="21"/>
                    </w:rPr>
                    <w:t>油烟</w:t>
                  </w:r>
                </w:p>
              </w:tc>
              <w:tc>
                <w:tcPr>
                  <w:tcW w:w="576" w:type="pct"/>
                  <w:tcBorders>
                    <w:top w:val="single" w:color="000000" w:sz="4" w:space="0"/>
                    <w:tl2br w:val="nil"/>
                    <w:tr2bl w:val="nil"/>
                  </w:tcBorders>
                  <w:vAlign w:val="center"/>
                </w:tcPr>
                <w:p w14:paraId="671CBCE9">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6099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tcBorders>
                    <w:tl2br w:val="nil"/>
                    <w:tr2bl w:val="nil"/>
                  </w:tcBorders>
                  <w:vAlign w:val="center"/>
                </w:tcPr>
                <w:p w14:paraId="04F57F51">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废水</w:t>
                  </w:r>
                </w:p>
              </w:tc>
              <w:tc>
                <w:tcPr>
                  <w:tcW w:w="1140" w:type="pct"/>
                  <w:tcBorders>
                    <w:bottom w:val="single" w:color="000000" w:sz="4" w:space="0"/>
                    <w:tl2br w:val="nil"/>
                    <w:tr2bl w:val="nil"/>
                  </w:tcBorders>
                  <w:vAlign w:val="center"/>
                </w:tcPr>
                <w:p w14:paraId="5921E871">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职工生活</w:t>
                  </w:r>
                </w:p>
              </w:tc>
              <w:tc>
                <w:tcPr>
                  <w:tcW w:w="1900" w:type="pct"/>
                  <w:tcBorders>
                    <w:bottom w:val="single" w:color="000000" w:sz="4" w:space="0"/>
                    <w:tl2br w:val="nil"/>
                    <w:tr2bl w:val="nil"/>
                  </w:tcBorders>
                  <w:vAlign w:val="center"/>
                </w:tcPr>
                <w:p w14:paraId="04DF22B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生活污水（含食堂废水）</w:t>
                  </w:r>
                </w:p>
              </w:tc>
              <w:tc>
                <w:tcPr>
                  <w:tcW w:w="1113" w:type="pct"/>
                  <w:tcBorders>
                    <w:bottom w:val="single" w:color="000000" w:sz="4" w:space="0"/>
                    <w:tl2br w:val="nil"/>
                    <w:tr2bl w:val="nil"/>
                  </w:tcBorders>
                  <w:vAlign w:val="center"/>
                </w:tcPr>
                <w:p w14:paraId="7F43EDB8">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szCs w:val="21"/>
                    </w:rPr>
                    <w:t>COD、SS、NH</w:t>
                  </w:r>
                  <w:r>
                    <w:rPr>
                      <w:rFonts w:ascii="Times New Roman" w:hAnsi="Times New Roman" w:eastAsia="宋体" w:cs="Times New Roman"/>
                      <w:szCs w:val="21"/>
                      <w:vertAlign w:val="subscript"/>
                    </w:rPr>
                    <w:t>3</w:t>
                  </w:r>
                  <w:r>
                    <w:rPr>
                      <w:rFonts w:ascii="Times New Roman" w:hAnsi="Times New Roman" w:eastAsia="宋体" w:cs="Times New Roman"/>
                      <w:szCs w:val="21"/>
                    </w:rPr>
                    <w:t>-N、TP、TN</w:t>
                  </w:r>
                  <w:r>
                    <w:rPr>
                      <w:rFonts w:hint="eastAsia" w:ascii="Times New Roman" w:hAnsi="Times New Roman" w:eastAsia="宋体" w:cs="Times New Roman"/>
                      <w:szCs w:val="21"/>
                    </w:rPr>
                    <w:t>、</w:t>
                  </w:r>
                  <w:r>
                    <w:rPr>
                      <w:rFonts w:ascii="Times New Roman" w:hAnsi="Times New Roman" w:eastAsia="宋体" w:cs="Times New Roman"/>
                      <w:szCs w:val="21"/>
                    </w:rPr>
                    <w:t>LAS、动植物油、BOD</w:t>
                  </w:r>
                  <w:r>
                    <w:rPr>
                      <w:rFonts w:ascii="Times New Roman" w:hAnsi="Times New Roman" w:eastAsia="宋体" w:cs="Times New Roman"/>
                      <w:szCs w:val="21"/>
                      <w:vertAlign w:val="subscript"/>
                    </w:rPr>
                    <w:t>5</w:t>
                  </w:r>
                </w:p>
              </w:tc>
              <w:tc>
                <w:tcPr>
                  <w:tcW w:w="576" w:type="pct"/>
                  <w:tcBorders>
                    <w:bottom w:val="single" w:color="000000" w:sz="4" w:space="0"/>
                    <w:tl2br w:val="nil"/>
                    <w:tr2bl w:val="nil"/>
                  </w:tcBorders>
                  <w:vAlign w:val="center"/>
                </w:tcPr>
                <w:p w14:paraId="6C0395DD">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4A48B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restart"/>
                  <w:tcBorders>
                    <w:tl2br w:val="nil"/>
                    <w:tr2bl w:val="nil"/>
                  </w:tcBorders>
                  <w:vAlign w:val="center"/>
                </w:tcPr>
                <w:p w14:paraId="7247EE9A">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噪声</w:t>
                  </w:r>
                </w:p>
              </w:tc>
              <w:tc>
                <w:tcPr>
                  <w:tcW w:w="1140" w:type="pct"/>
                  <w:tcBorders>
                    <w:tl2br w:val="nil"/>
                    <w:tr2bl w:val="nil"/>
                  </w:tcBorders>
                  <w:vAlign w:val="bottom"/>
                </w:tcPr>
                <w:p w14:paraId="4C99859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生产过程</w:t>
                  </w:r>
                </w:p>
              </w:tc>
              <w:tc>
                <w:tcPr>
                  <w:tcW w:w="1900" w:type="pct"/>
                  <w:tcBorders>
                    <w:tl2br w:val="nil"/>
                    <w:tr2bl w:val="nil"/>
                  </w:tcBorders>
                  <w:vAlign w:val="bottom"/>
                </w:tcPr>
                <w:p w14:paraId="38A64D8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生产机械设备噪声</w:t>
                  </w:r>
                </w:p>
              </w:tc>
              <w:tc>
                <w:tcPr>
                  <w:tcW w:w="1113" w:type="pct"/>
                  <w:tcBorders>
                    <w:tl2br w:val="nil"/>
                    <w:tr2bl w:val="nil"/>
                  </w:tcBorders>
                  <w:vAlign w:val="bottom"/>
                </w:tcPr>
                <w:p w14:paraId="5EF8971E">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Leq(A)</w:t>
                  </w:r>
                </w:p>
              </w:tc>
              <w:tc>
                <w:tcPr>
                  <w:tcW w:w="576" w:type="pct"/>
                  <w:tcBorders>
                    <w:tl2br w:val="nil"/>
                    <w:tr2bl w:val="nil"/>
                  </w:tcBorders>
                  <w:vAlign w:val="bottom"/>
                </w:tcPr>
                <w:p w14:paraId="01CA55C2">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19AC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61AC7FA1">
                  <w:pPr>
                    <w:jc w:val="center"/>
                    <w:rPr>
                      <w:rFonts w:ascii="Times New Roman" w:hAnsi="Times New Roman" w:eastAsia="宋体" w:cs="Times New Roman"/>
                      <w:b/>
                      <w:color w:val="000000" w:themeColor="text1"/>
                      <w:szCs w:val="21"/>
                      <w14:textFill>
                        <w14:solidFill>
                          <w14:schemeClr w14:val="tx1"/>
                        </w14:solidFill>
                      </w14:textFill>
                    </w:rPr>
                  </w:pPr>
                </w:p>
              </w:tc>
              <w:tc>
                <w:tcPr>
                  <w:tcW w:w="1140" w:type="pct"/>
                  <w:tcBorders>
                    <w:tl2br w:val="nil"/>
                    <w:tr2bl w:val="nil"/>
                  </w:tcBorders>
                  <w:vAlign w:val="bottom"/>
                </w:tcPr>
                <w:p w14:paraId="31A9395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运输车辆</w:t>
                  </w:r>
                </w:p>
              </w:tc>
              <w:tc>
                <w:tcPr>
                  <w:tcW w:w="1900" w:type="pct"/>
                  <w:tcBorders>
                    <w:tl2br w:val="nil"/>
                    <w:tr2bl w:val="nil"/>
                  </w:tcBorders>
                  <w:vAlign w:val="bottom"/>
                </w:tcPr>
                <w:p w14:paraId="440A00D2">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车辆噪声</w:t>
                  </w:r>
                </w:p>
              </w:tc>
              <w:tc>
                <w:tcPr>
                  <w:tcW w:w="1113" w:type="pct"/>
                  <w:tcBorders>
                    <w:tl2br w:val="nil"/>
                    <w:tr2bl w:val="nil"/>
                  </w:tcBorders>
                  <w:vAlign w:val="bottom"/>
                </w:tcPr>
                <w:p w14:paraId="4ECE4AEF">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Leq(A)</w:t>
                  </w:r>
                </w:p>
              </w:tc>
              <w:tc>
                <w:tcPr>
                  <w:tcW w:w="576" w:type="pct"/>
                  <w:tcBorders>
                    <w:tl2br w:val="nil"/>
                    <w:tr2bl w:val="nil"/>
                  </w:tcBorders>
                  <w:vAlign w:val="bottom"/>
                </w:tcPr>
                <w:p w14:paraId="5B1D9A13">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7CBB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restart"/>
                  <w:tcBorders>
                    <w:tl2br w:val="nil"/>
                    <w:tr2bl w:val="nil"/>
                  </w:tcBorders>
                  <w:vAlign w:val="center"/>
                </w:tcPr>
                <w:p w14:paraId="10F38AC8">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固体废物</w:t>
                  </w:r>
                </w:p>
              </w:tc>
              <w:tc>
                <w:tcPr>
                  <w:tcW w:w="1140" w:type="pct"/>
                  <w:tcBorders>
                    <w:tl2br w:val="nil"/>
                    <w:tr2bl w:val="nil"/>
                  </w:tcBorders>
                  <w:vAlign w:val="center"/>
                </w:tcPr>
                <w:p w14:paraId="6A1FDF37">
                  <w:pPr>
                    <w:adjustRightInd w:val="0"/>
                    <w:spacing w:line="240" w:lineRule="exact"/>
                    <w:jc w:val="center"/>
                    <w:textAlignment w:val="baseline"/>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除尘系统</w:t>
                  </w:r>
                </w:p>
              </w:tc>
              <w:tc>
                <w:tcPr>
                  <w:tcW w:w="1900" w:type="pct"/>
                  <w:tcBorders>
                    <w:tl2br w:val="nil"/>
                    <w:tr2bl w:val="nil"/>
                  </w:tcBorders>
                  <w:vAlign w:val="center"/>
                </w:tcPr>
                <w:p w14:paraId="63C32289">
                  <w:pPr>
                    <w:adjustRightInd w:val="0"/>
                    <w:spacing w:line="240" w:lineRule="exact"/>
                    <w:jc w:val="center"/>
                    <w:textAlignment w:val="baseline"/>
                    <w:rPr>
                      <w:rFonts w:ascii="Times New Roman" w:hAnsi="Times New Roman" w:eastAsia="宋体" w:cs="Times New Roman"/>
                      <w:bCs/>
                      <w:color w:val="auto"/>
                      <w:szCs w:val="21"/>
                    </w:rPr>
                  </w:pPr>
                  <w:r>
                    <w:rPr>
                      <w:rFonts w:hint="eastAsia" w:ascii="Times New Roman" w:hAnsi="Times New Roman" w:eastAsia="宋体" w:cs="Times New Roman"/>
                      <w:color w:val="auto"/>
                      <w:szCs w:val="21"/>
                    </w:rPr>
                    <w:t>除尘灰</w:t>
                  </w:r>
                </w:p>
              </w:tc>
              <w:tc>
                <w:tcPr>
                  <w:tcW w:w="1113" w:type="pct"/>
                  <w:vMerge w:val="restart"/>
                  <w:tcBorders>
                    <w:tl2br w:val="nil"/>
                    <w:tr2bl w:val="nil"/>
                  </w:tcBorders>
                  <w:vAlign w:val="center"/>
                </w:tcPr>
                <w:p w14:paraId="5010CEA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一般工业固体废物</w:t>
                  </w:r>
                </w:p>
              </w:tc>
              <w:tc>
                <w:tcPr>
                  <w:tcW w:w="576" w:type="pct"/>
                  <w:tcBorders>
                    <w:tl2br w:val="nil"/>
                    <w:tr2bl w:val="nil"/>
                  </w:tcBorders>
                  <w:vAlign w:val="center"/>
                </w:tcPr>
                <w:p w14:paraId="2FD4407F">
                  <w:pPr>
                    <w:jc w:val="center"/>
                    <w:rPr>
                      <w:rFonts w:ascii="Times New Roman" w:hAnsi="Times New Roman" w:eastAsia="宋体" w:cs="Times New Roman"/>
                      <w:bCs/>
                      <w:color w:val="FF0000"/>
                      <w:szCs w:val="21"/>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3D861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305E5927">
                  <w:pPr>
                    <w:jc w:val="center"/>
                    <w:rPr>
                      <w:rFonts w:ascii="Times New Roman" w:hAnsi="Times New Roman" w:eastAsia="宋体" w:cs="Times New Roman"/>
                      <w:bCs/>
                      <w:color w:val="000000" w:themeColor="text1"/>
                      <w:szCs w:val="21"/>
                      <w14:textFill>
                        <w14:solidFill>
                          <w14:schemeClr w14:val="tx1"/>
                        </w14:solidFill>
                      </w14:textFill>
                    </w:rPr>
                  </w:pPr>
                </w:p>
              </w:tc>
              <w:tc>
                <w:tcPr>
                  <w:tcW w:w="1140" w:type="pct"/>
                  <w:tcBorders>
                    <w:tl2br w:val="nil"/>
                    <w:tr2bl w:val="nil"/>
                  </w:tcBorders>
                  <w:vAlign w:val="center"/>
                </w:tcPr>
                <w:p w14:paraId="2E8EECEF">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筛分系统</w:t>
                  </w:r>
                </w:p>
              </w:tc>
              <w:tc>
                <w:tcPr>
                  <w:tcW w:w="1900" w:type="pct"/>
                  <w:tcBorders>
                    <w:tl2br w:val="nil"/>
                    <w:tr2bl w:val="nil"/>
                  </w:tcBorders>
                  <w:vAlign w:val="center"/>
                </w:tcPr>
                <w:p w14:paraId="3C245668">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szCs w:val="21"/>
                    </w:rPr>
                    <w:t>不合格石料</w:t>
                  </w:r>
                </w:p>
              </w:tc>
              <w:tc>
                <w:tcPr>
                  <w:tcW w:w="1113" w:type="pct"/>
                  <w:vMerge w:val="continue"/>
                  <w:tcBorders>
                    <w:tl2br w:val="nil"/>
                    <w:tr2bl w:val="nil"/>
                  </w:tcBorders>
                  <w:vAlign w:val="center"/>
                </w:tcPr>
                <w:p w14:paraId="5913957E">
                  <w:pPr>
                    <w:jc w:val="center"/>
                    <w:rPr>
                      <w:rFonts w:ascii="Times New Roman" w:hAnsi="Times New Roman" w:eastAsia="宋体" w:cs="Times New Roman"/>
                      <w:bCs/>
                      <w:color w:val="000000" w:themeColor="text1"/>
                      <w:szCs w:val="21"/>
                      <w14:textFill>
                        <w14:solidFill>
                          <w14:schemeClr w14:val="tx1"/>
                        </w14:solidFill>
                      </w14:textFill>
                    </w:rPr>
                  </w:pPr>
                </w:p>
              </w:tc>
              <w:tc>
                <w:tcPr>
                  <w:tcW w:w="576" w:type="pct"/>
                  <w:tcBorders>
                    <w:tl2br w:val="nil"/>
                    <w:tr2bl w:val="nil"/>
                  </w:tcBorders>
                  <w:vAlign w:val="center"/>
                </w:tcPr>
                <w:p w14:paraId="5F5AE813">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06571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5B43F66A">
                  <w:pPr>
                    <w:jc w:val="center"/>
                    <w:rPr>
                      <w:rFonts w:ascii="Times New Roman" w:hAnsi="Times New Roman" w:eastAsia="宋体" w:cs="Times New Roman"/>
                      <w:bCs/>
                      <w:color w:val="000000" w:themeColor="text1"/>
                      <w:szCs w:val="21"/>
                      <w14:textFill>
                        <w14:solidFill>
                          <w14:schemeClr w14:val="tx1"/>
                        </w14:solidFill>
                      </w14:textFill>
                    </w:rPr>
                  </w:pPr>
                </w:p>
              </w:tc>
              <w:tc>
                <w:tcPr>
                  <w:tcW w:w="1140" w:type="pct"/>
                  <w:tcBorders>
                    <w:tl2br w:val="nil"/>
                    <w:tr2bl w:val="nil"/>
                  </w:tcBorders>
                  <w:vAlign w:val="center"/>
                </w:tcPr>
                <w:p w14:paraId="595121B0">
                  <w:pPr>
                    <w:adjustRightInd w:val="0"/>
                    <w:spacing w:line="240" w:lineRule="exact"/>
                    <w:jc w:val="center"/>
                    <w:textAlignment w:val="baseline"/>
                    <w:rPr>
                      <w:rFonts w:ascii="Times New Roman" w:hAnsi="Times New Roman" w:eastAsia="宋体" w:cs="Times New Roman"/>
                      <w:bCs/>
                      <w:color w:val="FF0000"/>
                      <w:szCs w:val="21"/>
                    </w:rPr>
                  </w:pPr>
                  <w:r>
                    <w:rPr>
                      <w:rFonts w:hint="eastAsia" w:ascii="Times New Roman" w:hAnsi="Times New Roman" w:eastAsia="宋体" w:cs="Times New Roman"/>
                      <w:szCs w:val="21"/>
                    </w:rPr>
                    <w:t>运输车辆轮胎冲洗过程</w:t>
                  </w:r>
                </w:p>
              </w:tc>
              <w:tc>
                <w:tcPr>
                  <w:tcW w:w="1900" w:type="pct"/>
                  <w:tcBorders>
                    <w:tl2br w:val="nil"/>
                    <w:tr2bl w:val="nil"/>
                  </w:tcBorders>
                  <w:vAlign w:val="center"/>
                </w:tcPr>
                <w:p w14:paraId="18864D55">
                  <w:pPr>
                    <w:adjustRightInd w:val="0"/>
                    <w:spacing w:line="240" w:lineRule="exact"/>
                    <w:jc w:val="center"/>
                    <w:textAlignment w:val="baseline"/>
                    <w:rPr>
                      <w:rFonts w:ascii="Times New Roman" w:hAnsi="Times New Roman" w:eastAsia="宋体" w:cs="Times New Roman"/>
                      <w:bCs/>
                      <w:color w:val="FF0000"/>
                      <w:szCs w:val="21"/>
                    </w:rPr>
                  </w:pPr>
                  <w:r>
                    <w:rPr>
                      <w:rFonts w:ascii="Times New Roman" w:hAnsi="Times New Roman" w:eastAsia="宋体" w:cs="Times New Roman"/>
                      <w:szCs w:val="21"/>
                    </w:rPr>
                    <w:t>车辆冲洗废水沉淀池沉渣</w:t>
                  </w:r>
                </w:p>
              </w:tc>
              <w:tc>
                <w:tcPr>
                  <w:tcW w:w="1113" w:type="pct"/>
                  <w:vMerge w:val="continue"/>
                  <w:tcBorders>
                    <w:tl2br w:val="nil"/>
                    <w:tr2bl w:val="nil"/>
                  </w:tcBorders>
                  <w:vAlign w:val="center"/>
                </w:tcPr>
                <w:p w14:paraId="73517B09">
                  <w:pPr>
                    <w:jc w:val="center"/>
                    <w:rPr>
                      <w:rFonts w:ascii="Times New Roman" w:hAnsi="Times New Roman" w:eastAsia="宋体" w:cs="Times New Roman"/>
                      <w:bCs/>
                      <w:color w:val="000000" w:themeColor="text1"/>
                      <w:szCs w:val="21"/>
                      <w14:textFill>
                        <w14:solidFill>
                          <w14:schemeClr w14:val="tx1"/>
                        </w14:solidFill>
                      </w14:textFill>
                    </w:rPr>
                  </w:pPr>
                </w:p>
              </w:tc>
              <w:tc>
                <w:tcPr>
                  <w:tcW w:w="576" w:type="pct"/>
                  <w:tcBorders>
                    <w:tl2br w:val="nil"/>
                    <w:tr2bl w:val="nil"/>
                  </w:tcBorders>
                  <w:vAlign w:val="center"/>
                </w:tcPr>
                <w:p w14:paraId="17E9FB36">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36932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557411F9">
                  <w:pPr>
                    <w:jc w:val="center"/>
                    <w:rPr>
                      <w:rFonts w:ascii="Times New Roman" w:hAnsi="Times New Roman" w:eastAsia="宋体" w:cs="Times New Roman"/>
                      <w:bCs/>
                      <w:color w:val="000000" w:themeColor="text1"/>
                      <w:szCs w:val="21"/>
                      <w14:textFill>
                        <w14:solidFill>
                          <w14:schemeClr w14:val="tx1"/>
                        </w14:solidFill>
                      </w14:textFill>
                    </w:rPr>
                  </w:pPr>
                </w:p>
              </w:tc>
              <w:tc>
                <w:tcPr>
                  <w:tcW w:w="1140" w:type="pct"/>
                  <w:tcBorders>
                    <w:tl2br w:val="nil"/>
                    <w:tr2bl w:val="nil"/>
                  </w:tcBorders>
                  <w:vAlign w:val="center"/>
                </w:tcPr>
                <w:p w14:paraId="60E24DDA">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szCs w:val="21"/>
                    </w:rPr>
                    <w:t>除尘系统粉尘捕集过程</w:t>
                  </w:r>
                </w:p>
              </w:tc>
              <w:tc>
                <w:tcPr>
                  <w:tcW w:w="1900" w:type="pct"/>
                  <w:tcBorders>
                    <w:tl2br w:val="nil"/>
                    <w:tr2bl w:val="nil"/>
                  </w:tcBorders>
                  <w:vAlign w:val="center"/>
                </w:tcPr>
                <w:p w14:paraId="64D1A093">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szCs w:val="21"/>
                    </w:rPr>
                    <w:t>废布袋、废滤芯</w:t>
                  </w:r>
                </w:p>
              </w:tc>
              <w:tc>
                <w:tcPr>
                  <w:tcW w:w="1113" w:type="pct"/>
                  <w:vMerge w:val="continue"/>
                  <w:tcBorders>
                    <w:tl2br w:val="nil"/>
                    <w:tr2bl w:val="nil"/>
                  </w:tcBorders>
                  <w:vAlign w:val="center"/>
                </w:tcPr>
                <w:p w14:paraId="590A1552">
                  <w:pPr>
                    <w:jc w:val="center"/>
                    <w:rPr>
                      <w:rFonts w:ascii="Times New Roman" w:hAnsi="Times New Roman" w:eastAsia="宋体" w:cs="Times New Roman"/>
                      <w:bCs/>
                      <w:color w:val="000000" w:themeColor="text1"/>
                      <w:szCs w:val="21"/>
                      <w14:textFill>
                        <w14:solidFill>
                          <w14:schemeClr w14:val="tx1"/>
                        </w14:solidFill>
                      </w14:textFill>
                    </w:rPr>
                  </w:pPr>
                </w:p>
              </w:tc>
              <w:tc>
                <w:tcPr>
                  <w:tcW w:w="576" w:type="pct"/>
                  <w:tcBorders>
                    <w:tl2br w:val="nil"/>
                    <w:tr2bl w:val="nil"/>
                  </w:tcBorders>
                  <w:vAlign w:val="center"/>
                </w:tcPr>
                <w:p w14:paraId="72E0D688">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189C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4655A83A">
                  <w:pPr>
                    <w:jc w:val="center"/>
                    <w:rPr>
                      <w:rFonts w:ascii="Times New Roman" w:hAnsi="Times New Roman" w:eastAsia="宋体" w:cs="Times New Roman"/>
                      <w:bCs/>
                      <w:color w:val="000000" w:themeColor="text1"/>
                      <w:szCs w:val="21"/>
                      <w14:textFill>
                        <w14:solidFill>
                          <w14:schemeClr w14:val="tx1"/>
                        </w14:solidFill>
                      </w14:textFill>
                    </w:rPr>
                  </w:pPr>
                </w:p>
              </w:tc>
              <w:tc>
                <w:tcPr>
                  <w:tcW w:w="1140" w:type="pct"/>
                  <w:tcBorders>
                    <w:bottom w:val="single" w:color="000000" w:sz="4" w:space="0"/>
                    <w:tl2br w:val="nil"/>
                    <w:tr2bl w:val="nil"/>
                  </w:tcBorders>
                  <w:vAlign w:val="center"/>
                </w:tcPr>
                <w:p w14:paraId="5F239B13">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szCs w:val="21"/>
                    </w:rPr>
                    <w:t>沥青卸料、输送、拌合工序</w:t>
                  </w:r>
                </w:p>
              </w:tc>
              <w:tc>
                <w:tcPr>
                  <w:tcW w:w="1900" w:type="pct"/>
                  <w:tcBorders>
                    <w:bottom w:val="single" w:color="000000" w:sz="4" w:space="0"/>
                    <w:tl2br w:val="nil"/>
                    <w:tr2bl w:val="nil"/>
                  </w:tcBorders>
                  <w:vAlign w:val="center"/>
                </w:tcPr>
                <w:p w14:paraId="74011838">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szCs w:val="21"/>
                    </w:rPr>
                    <w:t>滴漏沥青及拌合残渣</w:t>
                  </w:r>
                </w:p>
              </w:tc>
              <w:tc>
                <w:tcPr>
                  <w:tcW w:w="1113" w:type="pct"/>
                  <w:vMerge w:val="continue"/>
                  <w:tcBorders>
                    <w:bottom w:val="single" w:color="000000" w:sz="4" w:space="0"/>
                    <w:tl2br w:val="nil"/>
                    <w:tr2bl w:val="nil"/>
                  </w:tcBorders>
                  <w:vAlign w:val="center"/>
                </w:tcPr>
                <w:p w14:paraId="690B00E5">
                  <w:pPr>
                    <w:jc w:val="center"/>
                    <w:rPr>
                      <w:rFonts w:ascii="Times New Roman" w:hAnsi="Times New Roman" w:eastAsia="宋体" w:cs="Times New Roman"/>
                      <w:bCs/>
                      <w:color w:val="000000" w:themeColor="text1"/>
                      <w:szCs w:val="21"/>
                      <w14:textFill>
                        <w14:solidFill>
                          <w14:schemeClr w14:val="tx1"/>
                        </w14:solidFill>
                      </w14:textFill>
                    </w:rPr>
                  </w:pPr>
                </w:p>
              </w:tc>
              <w:tc>
                <w:tcPr>
                  <w:tcW w:w="576" w:type="pct"/>
                  <w:tcBorders>
                    <w:tl2br w:val="nil"/>
                    <w:tr2bl w:val="nil"/>
                  </w:tcBorders>
                  <w:vAlign w:val="center"/>
                </w:tcPr>
                <w:p w14:paraId="662E4866">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3701F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44A3634C">
                  <w:pPr>
                    <w:jc w:val="center"/>
                    <w:rPr>
                      <w:rFonts w:ascii="Times New Roman" w:hAnsi="Times New Roman" w:eastAsia="宋体" w:cs="Times New Roman"/>
                      <w:bCs/>
                      <w:color w:val="000000" w:themeColor="text1"/>
                      <w:szCs w:val="21"/>
                      <w14:textFill>
                        <w14:solidFill>
                          <w14:schemeClr w14:val="tx1"/>
                        </w14:solidFill>
                      </w14:textFill>
                    </w:rPr>
                  </w:pPr>
                </w:p>
              </w:tc>
              <w:tc>
                <w:tcPr>
                  <w:tcW w:w="1140" w:type="pct"/>
                  <w:tcBorders>
                    <w:top w:val="single" w:color="000000" w:sz="4" w:space="0"/>
                    <w:tl2br w:val="nil"/>
                    <w:tr2bl w:val="nil"/>
                  </w:tcBorders>
                  <w:vAlign w:val="center"/>
                </w:tcPr>
                <w:p w14:paraId="4B25223E">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职工日常生活</w:t>
                  </w:r>
                </w:p>
              </w:tc>
              <w:tc>
                <w:tcPr>
                  <w:tcW w:w="1900" w:type="pct"/>
                  <w:tcBorders>
                    <w:top w:val="single" w:color="000000" w:sz="4" w:space="0"/>
                    <w:tl2br w:val="nil"/>
                    <w:tr2bl w:val="nil"/>
                  </w:tcBorders>
                  <w:vAlign w:val="center"/>
                </w:tcPr>
                <w:p w14:paraId="6A9F70E0">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szCs w:val="21"/>
                    </w:rPr>
                    <w:t>职工生活垃圾</w:t>
                  </w:r>
                </w:p>
              </w:tc>
              <w:tc>
                <w:tcPr>
                  <w:tcW w:w="1113" w:type="pct"/>
                  <w:vMerge w:val="restart"/>
                  <w:tcBorders>
                    <w:top w:val="single" w:color="000000" w:sz="4" w:space="0"/>
                    <w:tl2br w:val="nil"/>
                    <w:tr2bl w:val="nil"/>
                  </w:tcBorders>
                  <w:vAlign w:val="center"/>
                </w:tcPr>
                <w:p w14:paraId="01BA1EBD">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生活垃圾</w:t>
                  </w:r>
                </w:p>
              </w:tc>
              <w:tc>
                <w:tcPr>
                  <w:tcW w:w="576" w:type="pct"/>
                  <w:tcBorders>
                    <w:tl2br w:val="nil"/>
                    <w:tr2bl w:val="nil"/>
                  </w:tcBorders>
                  <w:vAlign w:val="center"/>
                </w:tcPr>
                <w:p w14:paraId="5C39F893">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75DBB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616A8C35">
                  <w:pPr>
                    <w:jc w:val="center"/>
                    <w:rPr>
                      <w:rFonts w:ascii="Times New Roman" w:hAnsi="Times New Roman" w:eastAsia="宋体" w:cs="Times New Roman"/>
                      <w:bCs/>
                      <w:color w:val="000000" w:themeColor="text1"/>
                      <w:szCs w:val="21"/>
                      <w14:textFill>
                        <w14:solidFill>
                          <w14:schemeClr w14:val="tx1"/>
                        </w14:solidFill>
                      </w14:textFill>
                    </w:rPr>
                  </w:pPr>
                </w:p>
              </w:tc>
              <w:tc>
                <w:tcPr>
                  <w:tcW w:w="1140" w:type="pct"/>
                  <w:tcBorders>
                    <w:tl2br w:val="nil"/>
                    <w:tr2bl w:val="nil"/>
                  </w:tcBorders>
                  <w:vAlign w:val="center"/>
                </w:tcPr>
                <w:p w14:paraId="4F91AA3D">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食堂餐食</w:t>
                  </w:r>
                </w:p>
              </w:tc>
              <w:tc>
                <w:tcPr>
                  <w:tcW w:w="1900" w:type="pct"/>
                  <w:tcBorders>
                    <w:tl2br w:val="nil"/>
                    <w:tr2bl w:val="nil"/>
                  </w:tcBorders>
                  <w:vAlign w:val="center"/>
                </w:tcPr>
                <w:p w14:paraId="223CCFF6">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szCs w:val="21"/>
                    </w:rPr>
                    <w:t>食堂餐厨垃圾</w:t>
                  </w:r>
                </w:p>
              </w:tc>
              <w:tc>
                <w:tcPr>
                  <w:tcW w:w="1113" w:type="pct"/>
                  <w:vMerge w:val="continue"/>
                  <w:tcBorders>
                    <w:tl2br w:val="nil"/>
                    <w:tr2bl w:val="nil"/>
                  </w:tcBorders>
                  <w:vAlign w:val="center"/>
                </w:tcPr>
                <w:p w14:paraId="1202D621">
                  <w:pPr>
                    <w:jc w:val="center"/>
                    <w:rPr>
                      <w:rFonts w:ascii="Times New Roman" w:hAnsi="Times New Roman" w:eastAsia="宋体" w:cs="Times New Roman"/>
                      <w:bCs/>
                      <w:color w:val="000000" w:themeColor="text1"/>
                      <w:szCs w:val="21"/>
                      <w14:textFill>
                        <w14:solidFill>
                          <w14:schemeClr w14:val="tx1"/>
                        </w14:solidFill>
                      </w14:textFill>
                    </w:rPr>
                  </w:pPr>
                </w:p>
              </w:tc>
              <w:tc>
                <w:tcPr>
                  <w:tcW w:w="576" w:type="pct"/>
                  <w:tcBorders>
                    <w:tl2br w:val="nil"/>
                    <w:tr2bl w:val="nil"/>
                  </w:tcBorders>
                  <w:vAlign w:val="center"/>
                </w:tcPr>
                <w:p w14:paraId="11DD6797">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0DA9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0900404C">
                  <w:pPr>
                    <w:jc w:val="center"/>
                    <w:rPr>
                      <w:rFonts w:ascii="Times New Roman" w:hAnsi="Times New Roman" w:eastAsia="宋体" w:cs="Times New Roman"/>
                      <w:bCs/>
                      <w:color w:val="000000" w:themeColor="text1"/>
                      <w:szCs w:val="21"/>
                      <w14:textFill>
                        <w14:solidFill>
                          <w14:schemeClr w14:val="tx1"/>
                        </w14:solidFill>
                      </w14:textFill>
                    </w:rPr>
                  </w:pPr>
                </w:p>
              </w:tc>
              <w:tc>
                <w:tcPr>
                  <w:tcW w:w="1140" w:type="pct"/>
                  <w:tcBorders>
                    <w:tl2br w:val="nil"/>
                    <w:tr2bl w:val="nil"/>
                  </w:tcBorders>
                  <w:vAlign w:val="center"/>
                </w:tcPr>
                <w:p w14:paraId="69AF6013">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szCs w:val="21"/>
                    </w:rPr>
                    <w:t>职工生活污水（含食堂废水）预处理设施</w:t>
                  </w:r>
                </w:p>
              </w:tc>
              <w:tc>
                <w:tcPr>
                  <w:tcW w:w="1900" w:type="pct"/>
                  <w:tcBorders>
                    <w:tl2br w:val="nil"/>
                    <w:tr2bl w:val="nil"/>
                  </w:tcBorders>
                  <w:vAlign w:val="center"/>
                </w:tcPr>
                <w:p w14:paraId="0805A926">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szCs w:val="21"/>
                    </w:rPr>
                    <w:t>隔油池、化粪池沉渣</w:t>
                  </w:r>
                </w:p>
              </w:tc>
              <w:tc>
                <w:tcPr>
                  <w:tcW w:w="1113" w:type="pct"/>
                  <w:vMerge w:val="continue"/>
                  <w:tcBorders>
                    <w:tl2br w:val="nil"/>
                    <w:tr2bl w:val="nil"/>
                  </w:tcBorders>
                  <w:vAlign w:val="center"/>
                </w:tcPr>
                <w:p w14:paraId="5C36CE07">
                  <w:pPr>
                    <w:jc w:val="center"/>
                    <w:rPr>
                      <w:rFonts w:ascii="Times New Roman" w:hAnsi="Times New Roman" w:eastAsia="宋体" w:cs="Times New Roman"/>
                      <w:bCs/>
                      <w:color w:val="000000" w:themeColor="text1"/>
                      <w:szCs w:val="21"/>
                      <w14:textFill>
                        <w14:solidFill>
                          <w14:schemeClr w14:val="tx1"/>
                        </w14:solidFill>
                      </w14:textFill>
                    </w:rPr>
                  </w:pPr>
                </w:p>
              </w:tc>
              <w:tc>
                <w:tcPr>
                  <w:tcW w:w="576" w:type="pct"/>
                  <w:tcBorders>
                    <w:tl2br w:val="nil"/>
                    <w:tr2bl w:val="nil"/>
                  </w:tcBorders>
                  <w:vAlign w:val="center"/>
                </w:tcPr>
                <w:p w14:paraId="3D8AB75D">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74599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2F871925">
                  <w:pPr>
                    <w:jc w:val="center"/>
                    <w:rPr>
                      <w:rFonts w:ascii="Times New Roman" w:hAnsi="Times New Roman" w:eastAsia="宋体" w:cs="Times New Roman"/>
                      <w:bCs/>
                      <w:color w:val="000000" w:themeColor="text1"/>
                      <w:szCs w:val="21"/>
                      <w14:textFill>
                        <w14:solidFill>
                          <w14:schemeClr w14:val="tx1"/>
                        </w14:solidFill>
                      </w14:textFill>
                    </w:rPr>
                  </w:pPr>
                </w:p>
              </w:tc>
              <w:tc>
                <w:tcPr>
                  <w:tcW w:w="1140" w:type="pct"/>
                  <w:vMerge w:val="restart"/>
                  <w:tcBorders>
                    <w:tl2br w:val="nil"/>
                    <w:tr2bl w:val="nil"/>
                  </w:tcBorders>
                  <w:vAlign w:val="center"/>
                </w:tcPr>
                <w:p w14:paraId="6CDC7BED">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沥青烟气处理系统</w:t>
                  </w:r>
                </w:p>
              </w:tc>
              <w:tc>
                <w:tcPr>
                  <w:tcW w:w="1900" w:type="pct"/>
                  <w:tcBorders>
                    <w:tl2br w:val="nil"/>
                    <w:tr2bl w:val="nil"/>
                  </w:tcBorders>
                  <w:vAlign w:val="center"/>
                </w:tcPr>
                <w:p w14:paraId="618B2AFB">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szCs w:val="21"/>
                    </w:rPr>
                    <w:t>废活性炭</w:t>
                  </w:r>
                </w:p>
              </w:tc>
              <w:tc>
                <w:tcPr>
                  <w:tcW w:w="1113" w:type="pct"/>
                  <w:vMerge w:val="restart"/>
                  <w:tcBorders>
                    <w:tl2br w:val="nil"/>
                    <w:tr2bl w:val="nil"/>
                  </w:tcBorders>
                  <w:vAlign w:val="center"/>
                </w:tcPr>
                <w:p w14:paraId="32FCD100">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危险废物</w:t>
                  </w:r>
                </w:p>
              </w:tc>
              <w:tc>
                <w:tcPr>
                  <w:tcW w:w="576" w:type="pct"/>
                  <w:tcBorders>
                    <w:tl2br w:val="nil"/>
                    <w:tr2bl w:val="nil"/>
                  </w:tcBorders>
                  <w:vAlign w:val="center"/>
                </w:tcPr>
                <w:p w14:paraId="27EAC378">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18DD2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2CFFC99B">
                  <w:pPr>
                    <w:jc w:val="center"/>
                    <w:rPr>
                      <w:rFonts w:ascii="Times New Roman" w:hAnsi="Times New Roman" w:eastAsia="宋体" w:cs="Times New Roman"/>
                      <w:bCs/>
                      <w:color w:val="000000" w:themeColor="text1"/>
                      <w:szCs w:val="21"/>
                      <w14:textFill>
                        <w14:solidFill>
                          <w14:schemeClr w14:val="tx1"/>
                        </w14:solidFill>
                      </w14:textFill>
                    </w:rPr>
                  </w:pPr>
                </w:p>
              </w:tc>
              <w:tc>
                <w:tcPr>
                  <w:tcW w:w="1140" w:type="pct"/>
                  <w:vMerge w:val="continue"/>
                  <w:tcBorders>
                    <w:tl2br w:val="nil"/>
                    <w:tr2bl w:val="nil"/>
                  </w:tcBorders>
                  <w:vAlign w:val="center"/>
                </w:tcPr>
                <w:p w14:paraId="6BE5FCAC">
                  <w:pPr>
                    <w:jc w:val="center"/>
                    <w:rPr>
                      <w:rFonts w:ascii="Times New Roman" w:hAnsi="Times New Roman" w:eastAsia="宋体" w:cs="Times New Roman"/>
                      <w:bCs/>
                      <w:color w:val="000000" w:themeColor="text1"/>
                      <w:szCs w:val="21"/>
                      <w14:textFill>
                        <w14:solidFill>
                          <w14:schemeClr w14:val="tx1"/>
                        </w14:solidFill>
                      </w14:textFill>
                    </w:rPr>
                  </w:pPr>
                </w:p>
              </w:tc>
              <w:tc>
                <w:tcPr>
                  <w:tcW w:w="1900" w:type="pct"/>
                  <w:tcBorders>
                    <w:bottom w:val="single" w:color="000000" w:sz="4" w:space="0"/>
                    <w:tl2br w:val="nil"/>
                    <w:tr2bl w:val="nil"/>
                  </w:tcBorders>
                  <w:vAlign w:val="center"/>
                </w:tcPr>
                <w:p w14:paraId="711B499E">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szCs w:val="21"/>
                    </w:rPr>
                    <w:t>废焦油</w:t>
                  </w:r>
                </w:p>
              </w:tc>
              <w:tc>
                <w:tcPr>
                  <w:tcW w:w="1113" w:type="pct"/>
                  <w:vMerge w:val="continue"/>
                  <w:tcBorders>
                    <w:tl2br w:val="nil"/>
                    <w:tr2bl w:val="nil"/>
                  </w:tcBorders>
                  <w:vAlign w:val="center"/>
                </w:tcPr>
                <w:p w14:paraId="3EE42B68">
                  <w:pPr>
                    <w:jc w:val="center"/>
                    <w:rPr>
                      <w:rFonts w:ascii="Times New Roman" w:hAnsi="Times New Roman" w:eastAsia="宋体" w:cs="Times New Roman"/>
                      <w:bCs/>
                      <w:color w:val="000000" w:themeColor="text1"/>
                      <w:szCs w:val="21"/>
                      <w14:textFill>
                        <w14:solidFill>
                          <w14:schemeClr w14:val="tx1"/>
                        </w14:solidFill>
                      </w14:textFill>
                    </w:rPr>
                  </w:pPr>
                </w:p>
              </w:tc>
              <w:tc>
                <w:tcPr>
                  <w:tcW w:w="576" w:type="pct"/>
                  <w:tcBorders>
                    <w:bottom w:val="single" w:color="000000" w:sz="4" w:space="0"/>
                    <w:tl2br w:val="nil"/>
                    <w:tr2bl w:val="nil"/>
                  </w:tcBorders>
                  <w:vAlign w:val="center"/>
                </w:tcPr>
                <w:p w14:paraId="52621C1B">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6C04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76C0DF08">
                  <w:pPr>
                    <w:jc w:val="center"/>
                    <w:rPr>
                      <w:rFonts w:ascii="Times New Roman" w:hAnsi="Times New Roman" w:eastAsia="宋体" w:cs="Times New Roman"/>
                      <w:bCs/>
                      <w:color w:val="000000" w:themeColor="text1"/>
                      <w:szCs w:val="21"/>
                      <w14:textFill>
                        <w14:solidFill>
                          <w14:schemeClr w14:val="tx1"/>
                        </w14:solidFill>
                      </w14:textFill>
                    </w:rPr>
                  </w:pPr>
                </w:p>
              </w:tc>
              <w:tc>
                <w:tcPr>
                  <w:tcW w:w="1140" w:type="pct"/>
                  <w:vMerge w:val="continue"/>
                  <w:tcBorders>
                    <w:bottom w:val="single" w:color="000000" w:sz="4" w:space="0"/>
                    <w:tl2br w:val="nil"/>
                    <w:tr2bl w:val="nil"/>
                  </w:tcBorders>
                  <w:vAlign w:val="center"/>
                </w:tcPr>
                <w:p w14:paraId="60392134">
                  <w:pPr>
                    <w:jc w:val="center"/>
                    <w:rPr>
                      <w:rFonts w:ascii="Times New Roman" w:hAnsi="Times New Roman" w:eastAsia="宋体" w:cs="Times New Roman"/>
                      <w:bCs/>
                      <w:color w:val="000000" w:themeColor="text1"/>
                      <w:szCs w:val="21"/>
                      <w14:textFill>
                        <w14:solidFill>
                          <w14:schemeClr w14:val="tx1"/>
                        </w14:solidFill>
                      </w14:textFill>
                    </w:rPr>
                  </w:pPr>
                </w:p>
              </w:tc>
              <w:tc>
                <w:tcPr>
                  <w:tcW w:w="1900" w:type="pct"/>
                  <w:tcBorders>
                    <w:top w:val="single" w:color="000000" w:sz="4" w:space="0"/>
                    <w:bottom w:val="single" w:color="000000" w:sz="4" w:space="0"/>
                    <w:tl2br w:val="nil"/>
                    <w:tr2bl w:val="nil"/>
                  </w:tcBorders>
                  <w:vAlign w:val="center"/>
                </w:tcPr>
                <w:p w14:paraId="0ABBA5EE">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szCs w:val="21"/>
                    </w:rPr>
                    <w:t>洗涤塔循环废液及沉淀焦油渣</w:t>
                  </w:r>
                </w:p>
              </w:tc>
              <w:tc>
                <w:tcPr>
                  <w:tcW w:w="1113" w:type="pct"/>
                  <w:vMerge w:val="continue"/>
                  <w:tcBorders>
                    <w:tl2br w:val="nil"/>
                    <w:tr2bl w:val="nil"/>
                  </w:tcBorders>
                  <w:vAlign w:val="center"/>
                </w:tcPr>
                <w:p w14:paraId="5BD94D5D">
                  <w:pPr>
                    <w:jc w:val="center"/>
                    <w:rPr>
                      <w:rFonts w:ascii="Times New Roman" w:hAnsi="Times New Roman" w:eastAsia="宋体" w:cs="Times New Roman"/>
                      <w:bCs/>
                      <w:color w:val="000000" w:themeColor="text1"/>
                      <w:szCs w:val="21"/>
                      <w14:textFill>
                        <w14:solidFill>
                          <w14:schemeClr w14:val="tx1"/>
                        </w14:solidFill>
                      </w14:textFill>
                    </w:rPr>
                  </w:pPr>
                </w:p>
              </w:tc>
              <w:tc>
                <w:tcPr>
                  <w:tcW w:w="576" w:type="pct"/>
                  <w:tcBorders>
                    <w:top w:val="single" w:color="000000" w:sz="4" w:space="0"/>
                    <w:bottom w:val="single" w:color="000000" w:sz="4" w:space="0"/>
                    <w:tl2br w:val="nil"/>
                    <w:tr2bl w:val="nil"/>
                  </w:tcBorders>
                  <w:vAlign w:val="center"/>
                </w:tcPr>
                <w:p w14:paraId="3A79C193">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180E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71A4B207">
                  <w:pPr>
                    <w:jc w:val="center"/>
                    <w:rPr>
                      <w:rFonts w:ascii="Times New Roman" w:hAnsi="Times New Roman" w:eastAsia="宋体" w:cs="Times New Roman"/>
                      <w:bCs/>
                      <w:color w:val="000000" w:themeColor="text1"/>
                      <w:szCs w:val="21"/>
                      <w14:textFill>
                        <w14:solidFill>
                          <w14:schemeClr w14:val="tx1"/>
                        </w14:solidFill>
                      </w14:textFill>
                    </w:rPr>
                  </w:pPr>
                </w:p>
              </w:tc>
              <w:tc>
                <w:tcPr>
                  <w:tcW w:w="1140" w:type="pct"/>
                  <w:tcBorders>
                    <w:top w:val="single" w:color="000000" w:sz="4" w:space="0"/>
                    <w:bottom w:val="single" w:color="000000" w:sz="4" w:space="0"/>
                    <w:tl2br w:val="nil"/>
                    <w:tr2bl w:val="nil"/>
                  </w:tcBorders>
                  <w:vAlign w:val="center"/>
                </w:tcPr>
                <w:p w14:paraId="564EA5F6">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有机热载体炉</w:t>
                  </w:r>
                </w:p>
              </w:tc>
              <w:tc>
                <w:tcPr>
                  <w:tcW w:w="1900" w:type="pct"/>
                  <w:tcBorders>
                    <w:top w:val="single" w:color="000000" w:sz="4" w:space="0"/>
                    <w:bottom w:val="single" w:color="000000" w:sz="4" w:space="0"/>
                    <w:tl2br w:val="nil"/>
                    <w:tr2bl w:val="nil"/>
                  </w:tcBorders>
                  <w:vAlign w:val="center"/>
                </w:tcPr>
                <w:p w14:paraId="2241AC1B">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szCs w:val="21"/>
                    </w:rPr>
                    <w:t>废导热油</w:t>
                  </w:r>
                </w:p>
              </w:tc>
              <w:tc>
                <w:tcPr>
                  <w:tcW w:w="1113" w:type="pct"/>
                  <w:vMerge w:val="continue"/>
                  <w:tcBorders>
                    <w:tl2br w:val="nil"/>
                    <w:tr2bl w:val="nil"/>
                  </w:tcBorders>
                  <w:vAlign w:val="center"/>
                </w:tcPr>
                <w:p w14:paraId="4C744433">
                  <w:pPr>
                    <w:jc w:val="center"/>
                    <w:rPr>
                      <w:rFonts w:ascii="Times New Roman" w:hAnsi="Times New Roman" w:eastAsia="宋体" w:cs="Times New Roman"/>
                      <w:bCs/>
                      <w:color w:val="000000" w:themeColor="text1"/>
                      <w:szCs w:val="21"/>
                      <w14:textFill>
                        <w14:solidFill>
                          <w14:schemeClr w14:val="tx1"/>
                        </w14:solidFill>
                      </w14:textFill>
                    </w:rPr>
                  </w:pPr>
                </w:p>
              </w:tc>
              <w:tc>
                <w:tcPr>
                  <w:tcW w:w="576" w:type="pct"/>
                  <w:tcBorders>
                    <w:top w:val="single" w:color="000000" w:sz="4" w:space="0"/>
                    <w:bottom w:val="single" w:color="000000" w:sz="4" w:space="0"/>
                    <w:tl2br w:val="nil"/>
                    <w:tr2bl w:val="nil"/>
                  </w:tcBorders>
                  <w:vAlign w:val="center"/>
                </w:tcPr>
                <w:p w14:paraId="236941CE">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6257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7467B427">
                  <w:pPr>
                    <w:jc w:val="center"/>
                    <w:rPr>
                      <w:rFonts w:ascii="Times New Roman" w:hAnsi="Times New Roman" w:eastAsia="宋体" w:cs="Times New Roman"/>
                      <w:bCs/>
                      <w:color w:val="000000" w:themeColor="text1"/>
                      <w:szCs w:val="21"/>
                      <w14:textFill>
                        <w14:solidFill>
                          <w14:schemeClr w14:val="tx1"/>
                        </w14:solidFill>
                      </w14:textFill>
                    </w:rPr>
                  </w:pPr>
                </w:p>
              </w:tc>
              <w:tc>
                <w:tcPr>
                  <w:tcW w:w="1140" w:type="pct"/>
                  <w:tcBorders>
                    <w:top w:val="single" w:color="000000" w:sz="4" w:space="0"/>
                    <w:tl2br w:val="nil"/>
                    <w:tr2bl w:val="nil"/>
                  </w:tcBorders>
                  <w:vAlign w:val="center"/>
                </w:tcPr>
                <w:p w14:paraId="49773135">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szCs w:val="21"/>
                    </w:rPr>
                    <w:t>车辆与设备维护保养</w:t>
                  </w:r>
                </w:p>
              </w:tc>
              <w:tc>
                <w:tcPr>
                  <w:tcW w:w="1900" w:type="pct"/>
                  <w:tcBorders>
                    <w:top w:val="single" w:color="000000" w:sz="4" w:space="0"/>
                    <w:tl2br w:val="nil"/>
                    <w:tr2bl w:val="nil"/>
                  </w:tcBorders>
                  <w:vAlign w:val="center"/>
                </w:tcPr>
                <w:p w14:paraId="7CA78D99">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szCs w:val="21"/>
                    </w:rPr>
                    <w:t>废矿物油</w:t>
                  </w:r>
                </w:p>
              </w:tc>
              <w:tc>
                <w:tcPr>
                  <w:tcW w:w="1113" w:type="pct"/>
                  <w:vMerge w:val="continue"/>
                  <w:tcBorders>
                    <w:tl2br w:val="nil"/>
                    <w:tr2bl w:val="nil"/>
                  </w:tcBorders>
                  <w:vAlign w:val="center"/>
                </w:tcPr>
                <w:p w14:paraId="42F0347F">
                  <w:pPr>
                    <w:jc w:val="center"/>
                    <w:rPr>
                      <w:rFonts w:ascii="Times New Roman" w:hAnsi="Times New Roman" w:eastAsia="宋体" w:cs="Times New Roman"/>
                      <w:bCs/>
                      <w:color w:val="000000" w:themeColor="text1"/>
                      <w:szCs w:val="21"/>
                      <w14:textFill>
                        <w14:solidFill>
                          <w14:schemeClr w14:val="tx1"/>
                        </w14:solidFill>
                      </w14:textFill>
                    </w:rPr>
                  </w:pPr>
                </w:p>
              </w:tc>
              <w:tc>
                <w:tcPr>
                  <w:tcW w:w="576" w:type="pct"/>
                  <w:tcBorders>
                    <w:top w:val="single" w:color="000000" w:sz="4" w:space="0"/>
                    <w:tl2br w:val="nil"/>
                    <w:tr2bl w:val="nil"/>
                  </w:tcBorders>
                  <w:vAlign w:val="center"/>
                </w:tcPr>
                <w:p w14:paraId="141AC72D">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7B355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5EF02E69">
                  <w:pPr>
                    <w:jc w:val="center"/>
                    <w:rPr>
                      <w:rFonts w:ascii="Times New Roman" w:hAnsi="Times New Roman" w:eastAsia="宋体" w:cs="Times New Roman"/>
                      <w:bCs/>
                      <w:color w:val="000000" w:themeColor="text1"/>
                      <w:szCs w:val="21"/>
                      <w14:textFill>
                        <w14:solidFill>
                          <w14:schemeClr w14:val="tx1"/>
                        </w14:solidFill>
                      </w14:textFill>
                    </w:rPr>
                  </w:pPr>
                </w:p>
              </w:tc>
              <w:tc>
                <w:tcPr>
                  <w:tcW w:w="1140" w:type="pct"/>
                  <w:tcBorders>
                    <w:bottom w:val="single" w:color="000000" w:sz="4" w:space="0"/>
                    <w:tl2br w:val="nil"/>
                    <w:tr2bl w:val="nil"/>
                  </w:tcBorders>
                  <w:vAlign w:val="center"/>
                </w:tcPr>
                <w:p w14:paraId="3F316CB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szCs w:val="21"/>
                    </w:rPr>
                    <w:t>车辆与设备维护保养</w:t>
                  </w:r>
                </w:p>
              </w:tc>
              <w:tc>
                <w:tcPr>
                  <w:tcW w:w="1900" w:type="pct"/>
                  <w:tcBorders>
                    <w:bottom w:val="single" w:color="000000" w:sz="4" w:space="0"/>
                    <w:tl2br w:val="nil"/>
                    <w:tr2bl w:val="nil"/>
                  </w:tcBorders>
                  <w:vAlign w:val="center"/>
                </w:tcPr>
                <w:p w14:paraId="6624FBB4">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szCs w:val="21"/>
                    </w:rPr>
                    <w:t>废油桶</w:t>
                  </w:r>
                </w:p>
              </w:tc>
              <w:tc>
                <w:tcPr>
                  <w:tcW w:w="1113" w:type="pct"/>
                  <w:vMerge w:val="continue"/>
                  <w:tcBorders>
                    <w:tl2br w:val="nil"/>
                    <w:tr2bl w:val="nil"/>
                  </w:tcBorders>
                  <w:vAlign w:val="center"/>
                </w:tcPr>
                <w:p w14:paraId="33D903F4">
                  <w:pPr>
                    <w:jc w:val="center"/>
                    <w:rPr>
                      <w:rFonts w:ascii="Times New Roman" w:hAnsi="Times New Roman" w:eastAsia="宋体" w:cs="Times New Roman"/>
                      <w:bCs/>
                      <w:color w:val="000000" w:themeColor="text1"/>
                      <w:szCs w:val="21"/>
                      <w14:textFill>
                        <w14:solidFill>
                          <w14:schemeClr w14:val="tx1"/>
                        </w14:solidFill>
                      </w14:textFill>
                    </w:rPr>
                  </w:pPr>
                </w:p>
              </w:tc>
              <w:tc>
                <w:tcPr>
                  <w:tcW w:w="576" w:type="pct"/>
                  <w:tcBorders>
                    <w:tl2br w:val="nil"/>
                    <w:tr2bl w:val="nil"/>
                  </w:tcBorders>
                  <w:vAlign w:val="center"/>
                </w:tcPr>
                <w:p w14:paraId="27798022">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45E3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49A4936A">
                  <w:pPr>
                    <w:jc w:val="center"/>
                    <w:rPr>
                      <w:rFonts w:ascii="Times New Roman" w:hAnsi="Times New Roman" w:eastAsia="宋体" w:cs="Times New Roman"/>
                      <w:bCs/>
                      <w:color w:val="000000" w:themeColor="text1"/>
                      <w:szCs w:val="21"/>
                      <w14:textFill>
                        <w14:solidFill>
                          <w14:schemeClr w14:val="tx1"/>
                        </w14:solidFill>
                      </w14:textFill>
                    </w:rPr>
                  </w:pPr>
                </w:p>
              </w:tc>
              <w:tc>
                <w:tcPr>
                  <w:tcW w:w="1140" w:type="pct"/>
                  <w:tcBorders>
                    <w:top w:val="single" w:color="000000" w:sz="4" w:space="0"/>
                    <w:bottom w:val="single" w:color="000000" w:sz="4" w:space="0"/>
                    <w:tl2br w:val="nil"/>
                    <w:tr2bl w:val="nil"/>
                  </w:tcBorders>
                  <w:vAlign w:val="center"/>
                </w:tcPr>
                <w:p w14:paraId="49B8376D">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柴油储罐</w:t>
                  </w:r>
                </w:p>
              </w:tc>
              <w:tc>
                <w:tcPr>
                  <w:tcW w:w="1900" w:type="pct"/>
                  <w:tcBorders>
                    <w:top w:val="single" w:color="000000" w:sz="4" w:space="0"/>
                    <w:bottom w:val="single" w:color="000000" w:sz="4" w:space="0"/>
                    <w:tl2br w:val="nil"/>
                    <w:tr2bl w:val="nil"/>
                  </w:tcBorders>
                  <w:vAlign w:val="center"/>
                </w:tcPr>
                <w:p w14:paraId="3B333C58">
                  <w:pPr>
                    <w:adjustRightInd w:val="0"/>
                    <w:spacing w:line="240" w:lineRule="exact"/>
                    <w:jc w:val="center"/>
                    <w:textAlignment w:val="baseline"/>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szCs w:val="21"/>
                    </w:rPr>
                    <w:t>柴油储罐油泥</w:t>
                  </w:r>
                </w:p>
              </w:tc>
              <w:tc>
                <w:tcPr>
                  <w:tcW w:w="1113" w:type="pct"/>
                  <w:vMerge w:val="continue"/>
                  <w:tcBorders>
                    <w:tl2br w:val="nil"/>
                    <w:tr2bl w:val="nil"/>
                  </w:tcBorders>
                  <w:vAlign w:val="center"/>
                </w:tcPr>
                <w:p w14:paraId="379EDD74">
                  <w:pPr>
                    <w:jc w:val="center"/>
                    <w:rPr>
                      <w:rFonts w:ascii="Times New Roman" w:hAnsi="Times New Roman" w:eastAsia="宋体" w:cs="Times New Roman"/>
                      <w:bCs/>
                      <w:color w:val="000000" w:themeColor="text1"/>
                      <w:szCs w:val="21"/>
                      <w14:textFill>
                        <w14:solidFill>
                          <w14:schemeClr w14:val="tx1"/>
                        </w14:solidFill>
                      </w14:textFill>
                    </w:rPr>
                  </w:pPr>
                </w:p>
              </w:tc>
              <w:tc>
                <w:tcPr>
                  <w:tcW w:w="576" w:type="pct"/>
                  <w:tcBorders>
                    <w:bottom w:val="single" w:color="000000" w:sz="4" w:space="0"/>
                    <w:tl2br w:val="nil"/>
                    <w:tr2bl w:val="nil"/>
                  </w:tcBorders>
                  <w:vAlign w:val="center"/>
                </w:tcPr>
                <w:p w14:paraId="64A26AAE">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r w14:paraId="08507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9" w:type="pct"/>
                  <w:vMerge w:val="continue"/>
                  <w:tcBorders>
                    <w:tl2br w:val="nil"/>
                    <w:tr2bl w:val="nil"/>
                  </w:tcBorders>
                  <w:vAlign w:val="center"/>
                </w:tcPr>
                <w:p w14:paraId="41561553">
                  <w:pPr>
                    <w:jc w:val="center"/>
                    <w:rPr>
                      <w:rFonts w:ascii="Times New Roman" w:hAnsi="Times New Roman" w:eastAsia="宋体" w:cs="Times New Roman"/>
                      <w:bCs/>
                      <w:color w:val="000000" w:themeColor="text1"/>
                      <w:szCs w:val="21"/>
                      <w14:textFill>
                        <w14:solidFill>
                          <w14:schemeClr w14:val="tx1"/>
                        </w14:solidFill>
                      </w14:textFill>
                    </w:rPr>
                  </w:pPr>
                </w:p>
              </w:tc>
              <w:tc>
                <w:tcPr>
                  <w:tcW w:w="1140" w:type="pct"/>
                  <w:tcBorders>
                    <w:top w:val="single" w:color="000000" w:sz="4" w:space="0"/>
                    <w:bottom w:val="single" w:color="000000" w:sz="4" w:space="0"/>
                    <w:tl2br w:val="nil"/>
                    <w:tr2bl w:val="nil"/>
                  </w:tcBorders>
                  <w:vAlign w:val="center"/>
                </w:tcPr>
                <w:p w14:paraId="1E7CF555">
                  <w:pPr>
                    <w:jc w:val="center"/>
                    <w:rPr>
                      <w:rFonts w:ascii="Times New Roman" w:hAnsi="Times New Roman" w:eastAsia="宋体" w:cs="Times New Roman"/>
                      <w:bCs/>
                      <w:color w:val="FF0000"/>
                      <w:szCs w:val="21"/>
                    </w:rPr>
                  </w:pPr>
                  <w:r>
                    <w:rPr>
                      <w:rFonts w:hint="eastAsia" w:ascii="Times New Roman" w:hAnsi="Times New Roman" w:eastAsia="宋体" w:cs="Times New Roman"/>
                      <w:bCs/>
                      <w:color w:val="FF0000"/>
                      <w:szCs w:val="21"/>
                    </w:rPr>
                    <w:t>设备及车辆维护保养过程、职工帮忙清掏各类沉积底泥过程</w:t>
                  </w:r>
                </w:p>
              </w:tc>
              <w:tc>
                <w:tcPr>
                  <w:tcW w:w="1900" w:type="pct"/>
                  <w:tcBorders>
                    <w:top w:val="single" w:color="000000" w:sz="4" w:space="0"/>
                    <w:bottom w:val="single" w:color="000000" w:sz="4" w:space="0"/>
                    <w:tl2br w:val="nil"/>
                    <w:tr2bl w:val="nil"/>
                  </w:tcBorders>
                  <w:vAlign w:val="center"/>
                </w:tcPr>
                <w:p w14:paraId="3ADC9219">
                  <w:pPr>
                    <w:adjustRightInd w:val="0"/>
                    <w:spacing w:line="240" w:lineRule="exact"/>
                    <w:jc w:val="center"/>
                    <w:textAlignment w:val="baseline"/>
                    <w:rPr>
                      <w:rFonts w:ascii="Times New Roman" w:hAnsi="Times New Roman" w:eastAsia="宋体" w:cs="Times New Roman"/>
                      <w:bCs/>
                      <w:color w:val="FF0000"/>
                      <w:szCs w:val="21"/>
                    </w:rPr>
                  </w:pPr>
                  <w:r>
                    <w:rPr>
                      <w:rFonts w:hint="eastAsia" w:ascii="Times New Roman" w:hAnsi="Times New Roman" w:eastAsia="宋体" w:cs="Times New Roman"/>
                      <w:color w:val="FF0000"/>
                      <w:szCs w:val="21"/>
                    </w:rPr>
                    <w:t>废含油棉纱及废手套</w:t>
                  </w:r>
                </w:p>
              </w:tc>
              <w:tc>
                <w:tcPr>
                  <w:tcW w:w="1113" w:type="pct"/>
                  <w:vMerge w:val="continue"/>
                  <w:tcBorders>
                    <w:tl2br w:val="nil"/>
                    <w:tr2bl w:val="nil"/>
                  </w:tcBorders>
                  <w:vAlign w:val="center"/>
                </w:tcPr>
                <w:p w14:paraId="3ADDA937">
                  <w:pPr>
                    <w:jc w:val="center"/>
                    <w:rPr>
                      <w:rFonts w:ascii="Times New Roman" w:hAnsi="Times New Roman" w:eastAsia="宋体" w:cs="Times New Roman"/>
                      <w:bCs/>
                      <w:color w:val="000000" w:themeColor="text1"/>
                      <w:szCs w:val="21"/>
                      <w14:textFill>
                        <w14:solidFill>
                          <w14:schemeClr w14:val="tx1"/>
                        </w14:solidFill>
                      </w14:textFill>
                    </w:rPr>
                  </w:pPr>
                </w:p>
              </w:tc>
              <w:tc>
                <w:tcPr>
                  <w:tcW w:w="576" w:type="pct"/>
                  <w:tcBorders>
                    <w:top w:val="single" w:color="000000" w:sz="4" w:space="0"/>
                    <w:tl2br w:val="nil"/>
                    <w:tr2bl w:val="nil"/>
                  </w:tcBorders>
                  <w:vAlign w:val="center"/>
                </w:tcPr>
                <w:p w14:paraId="64B17E8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间歇</w:t>
                  </w:r>
                </w:p>
              </w:tc>
            </w:tr>
          </w:tbl>
          <w:p w14:paraId="11581B3F">
            <w:pPr>
              <w:wordWrap w:val="0"/>
              <w:topLinePunct/>
              <w:snapToGrid w:val="0"/>
              <w:spacing w:line="360" w:lineRule="auto"/>
              <w:rPr>
                <w:rFonts w:ascii="Times New Roman" w:hAnsi="Times New Roman" w:eastAsia="宋体" w:cs="Times New Roman"/>
                <w:sz w:val="24"/>
              </w:rPr>
            </w:pPr>
          </w:p>
        </w:tc>
      </w:tr>
      <w:tr w14:paraId="0CEEB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70" w:hRule="atLeast"/>
          <w:jc w:val="center"/>
        </w:trPr>
        <w:tc>
          <w:tcPr>
            <w:tcW w:w="248" w:type="pct"/>
            <w:tcBorders>
              <w:tl2br w:val="nil"/>
              <w:tr2bl w:val="nil"/>
            </w:tcBorders>
            <w:vAlign w:val="center"/>
          </w:tcPr>
          <w:p w14:paraId="0A270DA2">
            <w:pPr>
              <w:pStyle w:val="25"/>
              <w:adjustRightInd w:val="0"/>
              <w:snapToGrid w:val="0"/>
              <w:spacing w:beforeAutospacing="0" w:afterAutospacing="0"/>
              <w:ind w:firstLine="422"/>
              <w:jc w:val="center"/>
              <w:rPr>
                <w:rFonts w:cs="宋体"/>
                <w:b/>
                <w:bCs/>
                <w:szCs w:val="24"/>
              </w:rPr>
            </w:pPr>
            <w:r>
              <w:rPr>
                <w:rFonts w:cs="宋体"/>
                <w:b/>
                <w:bCs/>
                <w:kern w:val="2"/>
                <w:sz w:val="21"/>
                <w:szCs w:val="21"/>
              </w:rPr>
              <w:t>原原有环境污染问题</w:t>
            </w:r>
          </w:p>
        </w:tc>
        <w:tc>
          <w:tcPr>
            <w:tcW w:w="4751" w:type="pct"/>
            <w:tcBorders>
              <w:tl2br w:val="nil"/>
              <w:tr2bl w:val="nil"/>
            </w:tcBorders>
            <w:vAlign w:val="center"/>
          </w:tcPr>
          <w:p w14:paraId="12B43E6F">
            <w:pPr>
              <w:adjustRightInd w:val="0"/>
              <w:snapToGrid w:val="0"/>
              <w:spacing w:line="360" w:lineRule="auto"/>
              <w:ind w:firstLine="480" w:firstLineChars="200"/>
              <w:jc w:val="both"/>
              <w:rPr>
                <w:rFonts w:hint="eastAsia" w:ascii="宋体" w:hAnsi="宋体" w:eastAsia="宋体" w:cs="宋体"/>
                <w:bCs/>
                <w:color w:val="1331F5"/>
                <w:sz w:val="24"/>
                <w:lang w:val="en-US" w:eastAsia="zh-CN"/>
              </w:rPr>
            </w:pPr>
          </w:p>
          <w:p w14:paraId="4BA41634">
            <w:pPr>
              <w:adjustRightInd w:val="0"/>
              <w:snapToGrid w:val="0"/>
              <w:spacing w:line="360" w:lineRule="auto"/>
              <w:ind w:firstLine="480" w:firstLineChars="200"/>
              <w:jc w:val="both"/>
              <w:rPr>
                <w:rFonts w:hint="eastAsia"/>
              </w:rPr>
            </w:pPr>
            <w:r>
              <w:rPr>
                <w:rFonts w:hint="eastAsia" w:ascii="宋体" w:hAnsi="宋体" w:eastAsia="宋体" w:cs="宋体"/>
                <w:bCs/>
                <w:color w:val="1331F5"/>
                <w:sz w:val="24"/>
                <w:lang w:val="en-US" w:eastAsia="zh-CN"/>
              </w:rPr>
              <w:t>本项目为新建项目。根据现场调查、询问及建设单位提供的资料及阐述，本项目建设前租赁场地为空置场地，未进行任何工业生产活动及其他工业活动利用。</w:t>
            </w:r>
            <w:r>
              <w:rPr>
                <w:rFonts w:ascii="宋体" w:hAnsi="宋体" w:eastAsia="宋体" w:cs="宋体"/>
                <w:bCs/>
                <w:color w:val="1331F5"/>
                <w:sz w:val="24"/>
              </w:rPr>
              <w:t>不存在与</w:t>
            </w:r>
            <w:r>
              <w:rPr>
                <w:rFonts w:hint="eastAsia" w:ascii="宋体" w:hAnsi="宋体" w:eastAsia="宋体" w:cs="宋体"/>
                <w:bCs/>
                <w:color w:val="1331F5"/>
                <w:sz w:val="24"/>
                <w:lang w:val="en-US" w:eastAsia="zh-CN"/>
              </w:rPr>
              <w:t>本</w:t>
            </w:r>
            <w:r>
              <w:rPr>
                <w:rFonts w:ascii="宋体" w:hAnsi="宋体" w:eastAsia="宋体" w:cs="宋体"/>
                <w:bCs/>
                <w:color w:val="1331F5"/>
                <w:sz w:val="24"/>
              </w:rPr>
              <w:t>项目有关的原有环境污染问题。</w:t>
            </w:r>
          </w:p>
        </w:tc>
      </w:tr>
    </w:tbl>
    <w:p w14:paraId="3D6EE4C2">
      <w:pPr>
        <w:ind w:firstLine="720"/>
        <w:rPr>
          <w:rFonts w:ascii="黑体" w:hAnsi="宋体" w:eastAsia="黑体" w:cs="Times New Roman"/>
          <w:snapToGrid w:val="0"/>
          <w:sz w:val="36"/>
          <w:szCs w:val="36"/>
          <w:lang w:bidi="ar"/>
        </w:rPr>
        <w:sectPr>
          <w:footerReference r:id="rId5" w:type="default"/>
          <w:pgSz w:w="11906" w:h="16838"/>
          <w:pgMar w:top="1440" w:right="1797" w:bottom="1440" w:left="1797" w:header="851" w:footer="1417" w:gutter="0"/>
          <w:pgNumType w:fmt="decimal"/>
          <w:cols w:space="425" w:num="1"/>
          <w:docGrid w:type="lines" w:linePitch="312" w:charSpace="0"/>
        </w:sectPr>
      </w:pPr>
    </w:p>
    <w:p w14:paraId="624AC1D0">
      <w:pPr>
        <w:pStyle w:val="25"/>
        <w:spacing w:beforeAutospacing="0" w:afterAutospacing="0"/>
        <w:ind w:firstLine="600"/>
        <w:jc w:val="center"/>
        <w:outlineLvl w:val="0"/>
        <w:rPr>
          <w:rFonts w:hint="default" w:ascii="黑体" w:eastAsia="黑体" w:cs="黑体"/>
          <w:sz w:val="30"/>
          <w:szCs w:val="30"/>
        </w:rPr>
      </w:pPr>
      <w:r>
        <w:rPr>
          <w:rFonts w:ascii="黑体" w:eastAsia="黑体" w:cs="黑体"/>
          <w:snapToGrid w:val="0"/>
          <w:sz w:val="30"/>
          <w:szCs w:val="30"/>
        </w:rPr>
        <w:t>三、区域环境质量现状、环境保护目标及评价标准</w:t>
      </w:r>
    </w:p>
    <w:tbl>
      <w:tblPr>
        <w:tblStyle w:val="28"/>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26"/>
        <w:gridCol w:w="8097"/>
      </w:tblGrid>
      <w:tr w14:paraId="466A3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05" w:hRule="atLeast"/>
        </w:trPr>
        <w:tc>
          <w:tcPr>
            <w:tcW w:w="250" w:type="pct"/>
            <w:tcBorders>
              <w:tl2br w:val="nil"/>
              <w:tr2bl w:val="nil"/>
            </w:tcBorders>
            <w:vAlign w:val="center"/>
          </w:tcPr>
          <w:p w14:paraId="68FA3282">
            <w:pPr>
              <w:adjustRightInd w:val="0"/>
              <w:snapToGrid w:val="0"/>
              <w:jc w:val="center"/>
              <w:rPr>
                <w:rFonts w:hint="eastAsia" w:ascii="宋体" w:hAnsi="宋体" w:eastAsia="宋体" w:cs="宋体"/>
                <w:b/>
                <w:bCs/>
                <w:kern w:val="0"/>
                <w:sz w:val="24"/>
                <w:lang w:bidi="ar"/>
              </w:rPr>
            </w:pPr>
            <w:r>
              <w:rPr>
                <w:rFonts w:hint="eastAsia" w:ascii="宋体" w:hAnsi="宋体" w:eastAsia="宋体" w:cs="宋体"/>
                <w:b/>
                <w:bCs/>
                <w:kern w:val="0"/>
                <w:sz w:val="24"/>
                <w:lang w:bidi="ar"/>
              </w:rPr>
              <w:t>区域</w:t>
            </w:r>
          </w:p>
          <w:p w14:paraId="61709F48">
            <w:pPr>
              <w:adjustRightInd w:val="0"/>
              <w:snapToGrid w:val="0"/>
              <w:jc w:val="center"/>
              <w:rPr>
                <w:rFonts w:hint="eastAsia" w:ascii="宋体" w:hAnsi="宋体" w:eastAsia="宋体" w:cs="宋体"/>
                <w:b/>
                <w:bCs/>
                <w:kern w:val="0"/>
                <w:sz w:val="24"/>
                <w:lang w:bidi="ar"/>
              </w:rPr>
            </w:pPr>
            <w:r>
              <w:rPr>
                <w:rFonts w:hint="eastAsia" w:ascii="宋体" w:hAnsi="宋体" w:eastAsia="宋体" w:cs="宋体"/>
                <w:b/>
                <w:bCs/>
                <w:kern w:val="0"/>
                <w:sz w:val="24"/>
                <w:lang w:bidi="ar"/>
              </w:rPr>
              <w:t>环境</w:t>
            </w:r>
          </w:p>
          <w:p w14:paraId="389B893D">
            <w:pPr>
              <w:adjustRightInd w:val="0"/>
              <w:snapToGrid w:val="0"/>
              <w:jc w:val="center"/>
              <w:rPr>
                <w:rFonts w:hint="eastAsia" w:ascii="宋体" w:hAnsi="宋体" w:eastAsia="宋体" w:cs="宋体"/>
                <w:b/>
                <w:bCs/>
                <w:kern w:val="0"/>
                <w:sz w:val="24"/>
                <w:lang w:bidi="ar"/>
              </w:rPr>
            </w:pPr>
            <w:r>
              <w:rPr>
                <w:rFonts w:hint="eastAsia" w:ascii="宋体" w:hAnsi="宋体" w:eastAsia="宋体" w:cs="宋体"/>
                <w:b/>
                <w:bCs/>
                <w:kern w:val="0"/>
                <w:sz w:val="24"/>
                <w:lang w:bidi="ar"/>
              </w:rPr>
              <w:t>质量</w:t>
            </w:r>
          </w:p>
          <w:p w14:paraId="41ECBB35">
            <w:pPr>
              <w:adjustRightInd w:val="0"/>
              <w:snapToGrid w:val="0"/>
              <w:jc w:val="center"/>
              <w:rPr>
                <w:rFonts w:hint="eastAsia" w:ascii="宋体" w:hAnsi="宋体" w:eastAsia="宋体" w:cs="宋体"/>
                <w:b/>
                <w:bCs/>
                <w:color w:val="FF0000"/>
                <w:kern w:val="0"/>
                <w:sz w:val="24"/>
              </w:rPr>
            </w:pPr>
            <w:r>
              <w:rPr>
                <w:rFonts w:hint="eastAsia" w:ascii="宋体" w:hAnsi="宋体" w:eastAsia="宋体" w:cs="宋体"/>
                <w:b/>
                <w:bCs/>
                <w:kern w:val="0"/>
                <w:sz w:val="24"/>
                <w:lang w:bidi="ar"/>
              </w:rPr>
              <w:t>现状</w:t>
            </w:r>
          </w:p>
        </w:tc>
        <w:tc>
          <w:tcPr>
            <w:tcW w:w="4749" w:type="pct"/>
            <w:tcBorders>
              <w:tl2br w:val="nil"/>
              <w:tr2bl w:val="nil"/>
            </w:tcBorders>
            <w:vAlign w:val="center"/>
          </w:tcPr>
          <w:p w14:paraId="31D6B61F">
            <w:pPr>
              <w:widowControl/>
              <w:wordWrap w:val="0"/>
              <w:topLinePunct/>
              <w:snapToGrid w:val="0"/>
              <w:spacing w:line="360" w:lineRule="auto"/>
              <w:rPr>
                <w:rFonts w:ascii="Times New Roman" w:hAnsi="Times New Roman" w:eastAsia="宋体" w:cs="Times New Roman"/>
                <w:b/>
                <w:bCs/>
                <w:sz w:val="24"/>
              </w:rPr>
            </w:pPr>
            <w:r>
              <w:rPr>
                <w:rFonts w:hint="eastAsia" w:ascii="Times New Roman" w:hAnsi="Times New Roman" w:eastAsia="宋体" w:cs="Times New Roman"/>
                <w:b/>
                <w:bCs/>
                <w:sz w:val="24"/>
              </w:rPr>
              <w:t>1</w:t>
            </w:r>
            <w:r>
              <w:rPr>
                <w:rFonts w:ascii="Times New Roman" w:hAnsi="Times New Roman" w:eastAsia="宋体" w:cs="Times New Roman"/>
                <w:b/>
                <w:bCs/>
                <w:sz w:val="24"/>
              </w:rPr>
              <w:t>环境空气质量现状</w:t>
            </w:r>
          </w:p>
          <w:p w14:paraId="1B496C92">
            <w:pPr>
              <w:keepNext w:val="0"/>
              <w:keepLines w:val="0"/>
              <w:pageBreakBefore w:val="0"/>
              <w:kinsoku/>
              <w:wordWrap w:val="0"/>
              <w:overflowPunct/>
              <w:topLinePunct/>
              <w:autoSpaceDE/>
              <w:autoSpaceDN/>
              <w:bidi w:val="0"/>
              <w:adjustRightInd/>
              <w:snapToGrid w:val="0"/>
              <w:spacing w:line="360" w:lineRule="auto"/>
              <w:ind w:firstLine="482"/>
              <w:textAlignment w:val="auto"/>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rPr>
              <w:t>1.1</w:t>
            </w:r>
            <w:r>
              <w:rPr>
                <w:rFonts w:hint="eastAsia" w:ascii="Times New Roman" w:hAnsi="Times New Roman" w:eastAsia="宋体" w:cs="Times New Roman"/>
                <w:b/>
                <w:bCs/>
                <w:color w:val="auto"/>
                <w:sz w:val="24"/>
                <w:lang w:val="en-US" w:eastAsia="zh-CN"/>
              </w:rPr>
              <w:t>达标区判定</w:t>
            </w:r>
          </w:p>
          <w:p w14:paraId="1660A85F">
            <w:pPr>
              <w:keepNext w:val="0"/>
              <w:keepLines w:val="0"/>
              <w:pageBreakBefore w:val="0"/>
              <w:widowControl w:val="0"/>
              <w:kinsoku/>
              <w:wordWrap w:val="0"/>
              <w:overflowPunct/>
              <w:topLinePunct/>
              <w:autoSpaceDE/>
              <w:autoSpaceDN/>
              <w:bidi w:val="0"/>
              <w:adjustRightInd/>
              <w:snapToGrid w:val="0"/>
              <w:spacing w:line="360" w:lineRule="auto"/>
              <w:ind w:firstLine="480" w:firstLineChars="200"/>
              <w:textAlignment w:val="auto"/>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本项目环境空气质量现状评价引用甘肃省生态环境厅官网公示的202</w:t>
            </w:r>
            <w:r>
              <w:rPr>
                <w:rFonts w:hint="eastAsia" w:ascii="Times New Roman" w:hAnsi="Times New Roman" w:eastAsia="宋体" w:cs="Times New Roman"/>
                <w:color w:val="auto"/>
                <w:sz w:val="24"/>
                <w:lang w:val="en-US" w:eastAsia="zh-CN"/>
              </w:rPr>
              <w:t>5年</w:t>
            </w:r>
            <w:r>
              <w:rPr>
                <w:rFonts w:hint="eastAsia" w:ascii="Times New Roman" w:hAnsi="Times New Roman" w:eastAsia="宋体" w:cs="Times New Roman"/>
                <w:color w:val="auto"/>
                <w:sz w:val="24"/>
              </w:rPr>
              <w:t>《甘肃省生态环境状况公报》数据，202</w:t>
            </w:r>
            <w:r>
              <w:rPr>
                <w:rFonts w:hint="eastAsia" w:ascii="Times New Roman" w:hAnsi="Times New Roman" w:eastAsia="宋体" w:cs="Times New Roman"/>
                <w:color w:val="auto"/>
                <w:sz w:val="24"/>
                <w:lang w:val="en-US" w:eastAsia="zh-CN"/>
              </w:rPr>
              <w:t>5</w:t>
            </w:r>
            <w:r>
              <w:rPr>
                <w:rFonts w:hint="eastAsia" w:ascii="Times New Roman" w:hAnsi="Times New Roman" w:eastAsia="宋体" w:cs="Times New Roman"/>
                <w:color w:val="auto"/>
                <w:sz w:val="24"/>
              </w:rPr>
              <w:t>年张掖市SO</w:t>
            </w:r>
            <w:r>
              <w:rPr>
                <w:rFonts w:hint="eastAsia" w:ascii="Times New Roman" w:hAnsi="Times New Roman" w:eastAsia="宋体" w:cs="Times New Roman"/>
                <w:color w:val="auto"/>
                <w:sz w:val="24"/>
                <w:vertAlign w:val="subscript"/>
              </w:rPr>
              <w:t>2</w:t>
            </w:r>
            <w:r>
              <w:rPr>
                <w:rFonts w:hint="eastAsia" w:ascii="Times New Roman" w:hAnsi="Times New Roman" w:eastAsia="宋体" w:cs="Times New Roman"/>
                <w:color w:val="auto"/>
                <w:sz w:val="24"/>
              </w:rPr>
              <w:t>、NO</w:t>
            </w:r>
            <w:r>
              <w:rPr>
                <w:rFonts w:hint="eastAsia" w:ascii="Times New Roman" w:hAnsi="Times New Roman" w:eastAsia="宋体" w:cs="Times New Roman"/>
                <w:color w:val="auto"/>
                <w:sz w:val="24"/>
                <w:vertAlign w:val="subscript"/>
              </w:rPr>
              <w:t>2</w:t>
            </w:r>
            <w:r>
              <w:rPr>
                <w:rFonts w:hint="eastAsia" w:ascii="Times New Roman" w:hAnsi="Times New Roman" w:eastAsia="宋体" w:cs="Times New Roman"/>
                <w:color w:val="auto"/>
                <w:sz w:val="24"/>
              </w:rPr>
              <w:t>、PM</w:t>
            </w:r>
            <w:r>
              <w:rPr>
                <w:rFonts w:hint="eastAsia" w:ascii="Times New Roman" w:hAnsi="Times New Roman" w:eastAsia="宋体" w:cs="Times New Roman"/>
                <w:color w:val="auto"/>
                <w:sz w:val="24"/>
                <w:vertAlign w:val="subscript"/>
              </w:rPr>
              <w:t>10</w:t>
            </w:r>
            <w:r>
              <w:rPr>
                <w:rFonts w:hint="eastAsia" w:ascii="Times New Roman" w:hAnsi="Times New Roman" w:eastAsia="宋体" w:cs="Times New Roman"/>
                <w:color w:val="auto"/>
                <w:sz w:val="24"/>
              </w:rPr>
              <w:t>、PM</w:t>
            </w:r>
            <w:r>
              <w:rPr>
                <w:rFonts w:hint="eastAsia" w:ascii="Times New Roman" w:hAnsi="Times New Roman" w:eastAsia="宋体" w:cs="Times New Roman"/>
                <w:color w:val="auto"/>
                <w:sz w:val="24"/>
                <w:vertAlign w:val="subscript"/>
              </w:rPr>
              <w:t>2.5</w:t>
            </w:r>
            <w:r>
              <w:rPr>
                <w:rFonts w:hint="eastAsia" w:ascii="Times New Roman" w:hAnsi="Times New Roman" w:eastAsia="宋体" w:cs="Times New Roman"/>
                <w:color w:val="auto"/>
                <w:sz w:val="24"/>
              </w:rPr>
              <w:t>年均浓度分别为</w:t>
            </w:r>
            <w:r>
              <w:rPr>
                <w:rFonts w:hint="eastAsia" w:ascii="Times New Roman" w:hAnsi="Times New Roman" w:eastAsia="宋体" w:cs="Times New Roman"/>
                <w:color w:val="auto"/>
                <w:sz w:val="24"/>
                <w:lang w:val="en-US" w:eastAsia="zh-CN"/>
              </w:rPr>
              <w:t>7</w:t>
            </w:r>
            <w:r>
              <w:rPr>
                <w:rFonts w:hint="eastAsia" w:ascii="Times New Roman" w:hAnsi="Times New Roman" w:eastAsia="宋体" w:cs="Times New Roman"/>
                <w:color w:val="auto"/>
                <w:sz w:val="24"/>
              </w:rPr>
              <w:t>ug/m</w:t>
            </w:r>
            <w:r>
              <w:rPr>
                <w:rFonts w:hint="eastAsia"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rPr>
              <w:t>、1</w:t>
            </w:r>
            <w:r>
              <w:rPr>
                <w:rFonts w:hint="eastAsia" w:ascii="Times New Roman" w:hAnsi="Times New Roman" w:eastAsia="宋体" w:cs="Times New Roman"/>
                <w:color w:val="auto"/>
                <w:sz w:val="24"/>
                <w:lang w:val="en-US" w:eastAsia="zh-CN"/>
              </w:rPr>
              <w:t>5</w:t>
            </w:r>
            <w:r>
              <w:rPr>
                <w:rFonts w:hint="eastAsia" w:ascii="Times New Roman" w:hAnsi="Times New Roman" w:eastAsia="宋体" w:cs="Times New Roman"/>
                <w:color w:val="auto"/>
                <w:sz w:val="24"/>
              </w:rPr>
              <w:t>ug/m</w:t>
            </w:r>
            <w:r>
              <w:rPr>
                <w:rFonts w:hint="eastAsia"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53</w:t>
            </w:r>
            <w:r>
              <w:rPr>
                <w:rFonts w:hint="eastAsia" w:ascii="Times New Roman" w:hAnsi="Times New Roman" w:eastAsia="宋体" w:cs="Times New Roman"/>
                <w:color w:val="auto"/>
                <w:sz w:val="24"/>
              </w:rPr>
              <w:t>ug/m</w:t>
            </w:r>
            <w:r>
              <w:rPr>
                <w:rFonts w:hint="eastAsia"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23</w:t>
            </w:r>
            <w:r>
              <w:rPr>
                <w:rFonts w:hint="eastAsia" w:ascii="Times New Roman" w:hAnsi="Times New Roman" w:eastAsia="宋体" w:cs="Times New Roman"/>
                <w:color w:val="auto"/>
                <w:sz w:val="24"/>
              </w:rPr>
              <w:t>ug/m</w:t>
            </w:r>
            <w:r>
              <w:rPr>
                <w:rFonts w:hint="eastAsia"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rPr>
              <w:t>；CO24小时平均第95百分位数为0.</w:t>
            </w:r>
            <w:r>
              <w:rPr>
                <w:rFonts w:hint="eastAsia" w:ascii="Times New Roman" w:hAnsi="Times New Roman" w:eastAsia="宋体" w:cs="Times New Roman"/>
                <w:color w:val="auto"/>
                <w:sz w:val="24"/>
                <w:lang w:val="en-US" w:eastAsia="zh-CN"/>
              </w:rPr>
              <w:t>8</w:t>
            </w:r>
            <w:r>
              <w:rPr>
                <w:rFonts w:hint="eastAsia" w:ascii="Times New Roman" w:hAnsi="Times New Roman" w:eastAsia="宋体" w:cs="Times New Roman"/>
                <w:color w:val="auto"/>
                <w:sz w:val="24"/>
              </w:rPr>
              <w:t>mg/m</w:t>
            </w:r>
            <w:r>
              <w:rPr>
                <w:rFonts w:hint="eastAsia"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rPr>
              <w:t>，O</w:t>
            </w:r>
            <w:r>
              <w:rPr>
                <w:rFonts w:hint="eastAsia" w:ascii="Times New Roman" w:hAnsi="Times New Roman" w:eastAsia="宋体" w:cs="Times New Roman"/>
                <w:color w:val="auto"/>
                <w:sz w:val="24"/>
                <w:vertAlign w:val="subscript"/>
              </w:rPr>
              <w:t>3</w:t>
            </w:r>
            <w:r>
              <w:rPr>
                <w:rFonts w:hint="eastAsia" w:ascii="Times New Roman" w:hAnsi="Times New Roman" w:eastAsia="宋体" w:cs="Times New Roman"/>
                <w:color w:val="auto"/>
                <w:sz w:val="24"/>
              </w:rPr>
              <w:t>日最大8小时平均第90百分位数为14</w:t>
            </w:r>
            <w:r>
              <w:rPr>
                <w:rFonts w:hint="eastAsia" w:ascii="Times New Roman" w:hAnsi="Times New Roman" w:eastAsia="宋体" w:cs="Times New Roman"/>
                <w:color w:val="auto"/>
                <w:sz w:val="24"/>
                <w:lang w:val="en-US" w:eastAsia="zh-CN"/>
              </w:rPr>
              <w:t>3</w:t>
            </w:r>
            <w:r>
              <w:rPr>
                <w:rFonts w:hint="eastAsia" w:ascii="Times New Roman" w:hAnsi="Times New Roman" w:eastAsia="宋体" w:cs="Times New Roman"/>
                <w:color w:val="auto"/>
                <w:sz w:val="24"/>
              </w:rPr>
              <w:t>ug/m</w:t>
            </w:r>
            <w:r>
              <w:rPr>
                <w:rFonts w:hint="eastAsia"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rPr>
              <w:t>；各污染物</w:t>
            </w:r>
            <w:r>
              <w:rPr>
                <w:rFonts w:hint="eastAsia" w:ascii="Times New Roman" w:hAnsi="Times New Roman" w:eastAsia="宋体" w:cs="Times New Roman"/>
                <w:color w:val="auto"/>
                <w:sz w:val="24"/>
                <w:lang w:val="en-US" w:eastAsia="zh-CN"/>
              </w:rPr>
              <w:t>年</w:t>
            </w:r>
            <w:r>
              <w:rPr>
                <w:rFonts w:hint="eastAsia" w:ascii="Times New Roman" w:hAnsi="Times New Roman" w:eastAsia="宋体" w:cs="Times New Roman"/>
                <w:color w:val="auto"/>
                <w:sz w:val="24"/>
              </w:rPr>
              <w:t>平均浓度均优于《环境空气质量标准》（GB3095-</w:t>
            </w:r>
            <w:r>
              <w:rPr>
                <w:rFonts w:hint="eastAsia" w:ascii="Times New Roman" w:hAnsi="Times New Roman" w:eastAsia="宋体" w:cs="Times New Roman"/>
                <w:color w:val="auto"/>
                <w:sz w:val="24"/>
                <w:lang w:val="en-US" w:eastAsia="zh-CN"/>
              </w:rPr>
              <w:t>2026</w:t>
            </w:r>
            <w:r>
              <w:rPr>
                <w:rFonts w:hint="eastAsia" w:ascii="Times New Roman" w:hAnsi="Times New Roman" w:eastAsia="宋体" w:cs="Times New Roman"/>
                <w:color w:val="auto"/>
                <w:sz w:val="24"/>
              </w:rPr>
              <w:t>）中二级标准限值。因此，本项目所在区域为环境空气质量达标区。</w:t>
            </w:r>
          </w:p>
          <w:p w14:paraId="775B3FB8">
            <w:pPr>
              <w:keepNext w:val="0"/>
              <w:keepLines w:val="0"/>
              <w:pageBreakBefore w:val="0"/>
              <w:kinsoku/>
              <w:wordWrap w:val="0"/>
              <w:overflowPunct/>
              <w:topLinePunct/>
              <w:autoSpaceDE/>
              <w:autoSpaceDN/>
              <w:bidi w:val="0"/>
              <w:adjustRightInd/>
              <w:snapToGrid w:val="0"/>
              <w:spacing w:line="360" w:lineRule="auto"/>
              <w:jc w:val="center"/>
              <w:textAlignment w:val="auto"/>
              <w:rPr>
                <w:rFonts w:hint="eastAsia" w:ascii="Times New Roman" w:hAnsi="Times New Roman" w:eastAsia="宋体" w:cs="宋体-PUA"/>
                <w:b/>
                <w:color w:val="auto"/>
                <w:sz w:val="24"/>
                <w:szCs w:val="24"/>
                <w:shd w:val="clear" w:color="auto" w:fill="FFFFFF"/>
                <w:lang w:val="en-US" w:eastAsia="zh-CN"/>
              </w:rPr>
            </w:pPr>
            <w:r>
              <w:rPr>
                <w:rFonts w:hint="eastAsia" w:ascii="Times New Roman" w:hAnsi="Times New Roman" w:eastAsia="宋体" w:cs="宋体-PUA"/>
                <w:b/>
                <w:color w:val="auto"/>
                <w:sz w:val="24"/>
                <w:szCs w:val="24"/>
                <w:shd w:val="clear" w:color="auto" w:fill="FFFFFF"/>
                <w:lang w:val="en-US" w:eastAsia="zh-CN"/>
              </w:rPr>
              <w:t>表3-1  区域环境空气质量现状评价表</w:t>
            </w:r>
          </w:p>
          <w:tbl>
            <w:tblPr>
              <w:tblStyle w:val="28"/>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856"/>
              <w:gridCol w:w="2461"/>
              <w:gridCol w:w="1204"/>
              <w:gridCol w:w="1158"/>
              <w:gridCol w:w="1305"/>
              <w:gridCol w:w="877"/>
            </w:tblGrid>
            <w:tr w14:paraId="1E4F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69" w:hRule="atLeast"/>
                <w:jc w:val="center"/>
              </w:trPr>
              <w:tc>
                <w:tcPr>
                  <w:tcW w:w="545" w:type="pct"/>
                  <w:tcBorders>
                    <w:tl2br w:val="nil"/>
                    <w:tr2bl w:val="nil"/>
                  </w:tcBorders>
                  <w:vAlign w:val="center"/>
                </w:tcPr>
                <w:p w14:paraId="5372A3E0">
                  <w:pPr>
                    <w:jc w:val="center"/>
                    <w:rPr>
                      <w:rFonts w:ascii="Times New Roman" w:hAnsi="Times New Roman" w:eastAsia="宋体" w:cs="Times New Roman"/>
                      <w:b/>
                      <w:bCs w:val="0"/>
                      <w:color w:val="auto"/>
                      <w:szCs w:val="21"/>
                    </w:rPr>
                  </w:pPr>
                  <w:r>
                    <w:rPr>
                      <w:rFonts w:ascii="Times New Roman" w:hAnsi="Times New Roman" w:eastAsia="宋体" w:cs="Times New Roman"/>
                      <w:b/>
                      <w:bCs w:val="0"/>
                      <w:color w:val="auto"/>
                      <w:szCs w:val="21"/>
                    </w:rPr>
                    <w:t>污染物</w:t>
                  </w:r>
                </w:p>
              </w:tc>
              <w:tc>
                <w:tcPr>
                  <w:tcW w:w="1564" w:type="pct"/>
                  <w:tcBorders>
                    <w:tl2br w:val="nil"/>
                    <w:tr2bl w:val="nil"/>
                  </w:tcBorders>
                  <w:vAlign w:val="center"/>
                </w:tcPr>
                <w:p w14:paraId="28476B9C">
                  <w:pPr>
                    <w:jc w:val="center"/>
                    <w:rPr>
                      <w:rFonts w:ascii="Times New Roman" w:hAnsi="Times New Roman" w:eastAsia="宋体" w:cs="Times New Roman"/>
                      <w:b/>
                      <w:bCs w:val="0"/>
                      <w:color w:val="auto"/>
                      <w:szCs w:val="21"/>
                    </w:rPr>
                  </w:pPr>
                  <w:r>
                    <w:rPr>
                      <w:rFonts w:ascii="Times New Roman" w:hAnsi="Times New Roman" w:eastAsia="宋体" w:cs="Times New Roman"/>
                      <w:b/>
                      <w:bCs w:val="0"/>
                      <w:color w:val="auto"/>
                      <w:szCs w:val="21"/>
                    </w:rPr>
                    <w:t>年评价指标</w:t>
                  </w:r>
                </w:p>
              </w:tc>
              <w:tc>
                <w:tcPr>
                  <w:tcW w:w="765" w:type="pct"/>
                  <w:tcBorders>
                    <w:tl2br w:val="nil"/>
                    <w:tr2bl w:val="nil"/>
                  </w:tcBorders>
                  <w:vAlign w:val="center"/>
                </w:tcPr>
                <w:p w14:paraId="683B8184">
                  <w:pPr>
                    <w:jc w:val="center"/>
                    <w:rPr>
                      <w:rFonts w:ascii="Times New Roman" w:hAnsi="Times New Roman" w:eastAsia="宋体" w:cs="Times New Roman"/>
                      <w:b/>
                      <w:bCs w:val="0"/>
                      <w:color w:val="auto"/>
                      <w:szCs w:val="21"/>
                    </w:rPr>
                  </w:pPr>
                  <w:r>
                    <w:rPr>
                      <w:rFonts w:ascii="Times New Roman" w:hAnsi="Times New Roman" w:eastAsia="宋体" w:cs="Times New Roman"/>
                      <w:b/>
                      <w:bCs w:val="0"/>
                      <w:color w:val="auto"/>
                      <w:szCs w:val="21"/>
                    </w:rPr>
                    <w:t>现状浓度/</w:t>
                  </w:r>
                </w:p>
                <w:p w14:paraId="7AFD6028">
                  <w:pPr>
                    <w:jc w:val="center"/>
                    <w:rPr>
                      <w:rFonts w:ascii="Times New Roman" w:hAnsi="Times New Roman" w:eastAsia="宋体" w:cs="Times New Roman"/>
                      <w:b/>
                      <w:bCs w:val="0"/>
                      <w:color w:val="auto"/>
                      <w:szCs w:val="21"/>
                    </w:rPr>
                  </w:pPr>
                  <w:r>
                    <w:rPr>
                      <w:rFonts w:ascii="Times New Roman" w:hAnsi="Times New Roman" w:eastAsia="宋体" w:cs="Times New Roman"/>
                      <w:b/>
                      <w:bCs w:val="0"/>
                      <w:color w:val="auto"/>
                      <w:szCs w:val="21"/>
                    </w:rPr>
                    <w:t>（μg/m</w:t>
                  </w:r>
                  <w:r>
                    <w:rPr>
                      <w:rFonts w:ascii="Times New Roman" w:hAnsi="Times New Roman" w:eastAsia="宋体" w:cs="Times New Roman"/>
                      <w:b/>
                      <w:bCs w:val="0"/>
                      <w:color w:val="auto"/>
                      <w:szCs w:val="21"/>
                      <w:vertAlign w:val="superscript"/>
                    </w:rPr>
                    <w:t>3</w:t>
                  </w:r>
                  <w:r>
                    <w:rPr>
                      <w:rFonts w:ascii="Times New Roman" w:hAnsi="Times New Roman" w:eastAsia="宋体" w:cs="Times New Roman"/>
                      <w:b/>
                      <w:bCs w:val="0"/>
                      <w:color w:val="auto"/>
                      <w:szCs w:val="21"/>
                    </w:rPr>
                    <w:t>）</w:t>
                  </w:r>
                </w:p>
              </w:tc>
              <w:tc>
                <w:tcPr>
                  <w:tcW w:w="736" w:type="pct"/>
                  <w:tcBorders>
                    <w:tl2br w:val="nil"/>
                    <w:tr2bl w:val="nil"/>
                  </w:tcBorders>
                  <w:vAlign w:val="center"/>
                </w:tcPr>
                <w:p w14:paraId="676ECA78">
                  <w:pPr>
                    <w:jc w:val="center"/>
                    <w:rPr>
                      <w:rFonts w:ascii="Times New Roman" w:hAnsi="Times New Roman" w:eastAsia="宋体" w:cs="Times New Roman"/>
                      <w:b/>
                      <w:bCs w:val="0"/>
                      <w:color w:val="FF0000"/>
                      <w:szCs w:val="21"/>
                    </w:rPr>
                  </w:pPr>
                  <w:r>
                    <w:rPr>
                      <w:rFonts w:ascii="Times New Roman" w:hAnsi="Times New Roman" w:eastAsia="宋体" w:cs="Times New Roman"/>
                      <w:b/>
                      <w:bCs w:val="0"/>
                      <w:color w:val="FF0000"/>
                      <w:szCs w:val="21"/>
                    </w:rPr>
                    <w:t>标准值/</w:t>
                  </w:r>
                </w:p>
                <w:p w14:paraId="1F8D874F">
                  <w:pPr>
                    <w:jc w:val="center"/>
                    <w:rPr>
                      <w:rFonts w:ascii="Times New Roman" w:hAnsi="Times New Roman" w:eastAsia="宋体" w:cs="Times New Roman"/>
                      <w:b/>
                      <w:bCs w:val="0"/>
                      <w:color w:val="FF0000"/>
                      <w:szCs w:val="21"/>
                    </w:rPr>
                  </w:pPr>
                  <w:r>
                    <w:rPr>
                      <w:rFonts w:ascii="Times New Roman" w:hAnsi="Times New Roman" w:eastAsia="宋体" w:cs="Times New Roman"/>
                      <w:b/>
                      <w:bCs w:val="0"/>
                      <w:color w:val="FF0000"/>
                      <w:szCs w:val="21"/>
                    </w:rPr>
                    <w:t>（μg/m</w:t>
                  </w:r>
                  <w:r>
                    <w:rPr>
                      <w:rFonts w:ascii="Times New Roman" w:hAnsi="Times New Roman" w:eastAsia="宋体" w:cs="Times New Roman"/>
                      <w:b/>
                      <w:bCs w:val="0"/>
                      <w:color w:val="FF0000"/>
                      <w:szCs w:val="21"/>
                      <w:vertAlign w:val="superscript"/>
                    </w:rPr>
                    <w:t>3</w:t>
                  </w:r>
                  <w:r>
                    <w:rPr>
                      <w:rFonts w:ascii="Times New Roman" w:hAnsi="Times New Roman" w:eastAsia="宋体" w:cs="Times New Roman"/>
                      <w:b/>
                      <w:bCs w:val="0"/>
                      <w:color w:val="FF0000"/>
                      <w:szCs w:val="21"/>
                    </w:rPr>
                    <w:t>）</w:t>
                  </w:r>
                </w:p>
              </w:tc>
              <w:tc>
                <w:tcPr>
                  <w:tcW w:w="829" w:type="pct"/>
                  <w:tcBorders>
                    <w:tl2br w:val="nil"/>
                    <w:tr2bl w:val="nil"/>
                  </w:tcBorders>
                  <w:vAlign w:val="center"/>
                </w:tcPr>
                <w:p w14:paraId="11417B6C">
                  <w:pPr>
                    <w:jc w:val="center"/>
                    <w:rPr>
                      <w:rFonts w:ascii="Times New Roman" w:hAnsi="Times New Roman" w:eastAsia="宋体" w:cs="Times New Roman"/>
                      <w:b/>
                      <w:bCs w:val="0"/>
                      <w:color w:val="auto"/>
                      <w:szCs w:val="21"/>
                    </w:rPr>
                  </w:pPr>
                  <w:r>
                    <w:rPr>
                      <w:rFonts w:ascii="Times New Roman" w:hAnsi="Times New Roman" w:eastAsia="宋体" w:cs="Times New Roman"/>
                      <w:b/>
                      <w:bCs w:val="0"/>
                      <w:color w:val="auto"/>
                      <w:szCs w:val="21"/>
                    </w:rPr>
                    <w:t>占标率/%</w:t>
                  </w:r>
                </w:p>
              </w:tc>
              <w:tc>
                <w:tcPr>
                  <w:tcW w:w="558" w:type="pct"/>
                  <w:tcBorders>
                    <w:tl2br w:val="nil"/>
                    <w:tr2bl w:val="nil"/>
                  </w:tcBorders>
                  <w:vAlign w:val="center"/>
                </w:tcPr>
                <w:p w14:paraId="383CD022">
                  <w:pPr>
                    <w:jc w:val="center"/>
                    <w:rPr>
                      <w:rFonts w:ascii="Times New Roman" w:hAnsi="Times New Roman" w:eastAsia="宋体" w:cs="Times New Roman"/>
                      <w:b/>
                      <w:bCs w:val="0"/>
                      <w:color w:val="auto"/>
                      <w:szCs w:val="21"/>
                    </w:rPr>
                  </w:pPr>
                  <w:r>
                    <w:rPr>
                      <w:rFonts w:ascii="Times New Roman" w:hAnsi="Times New Roman" w:eastAsia="宋体" w:cs="Times New Roman"/>
                      <w:b/>
                      <w:bCs w:val="0"/>
                      <w:color w:val="auto"/>
                      <w:szCs w:val="21"/>
                    </w:rPr>
                    <w:t>达标</w:t>
                  </w:r>
                </w:p>
                <w:p w14:paraId="77681F2B">
                  <w:pPr>
                    <w:jc w:val="center"/>
                    <w:rPr>
                      <w:rFonts w:ascii="Times New Roman" w:hAnsi="Times New Roman" w:eastAsia="宋体" w:cs="Times New Roman"/>
                      <w:b/>
                      <w:bCs w:val="0"/>
                      <w:color w:val="auto"/>
                      <w:szCs w:val="21"/>
                    </w:rPr>
                  </w:pPr>
                  <w:r>
                    <w:rPr>
                      <w:rFonts w:ascii="Times New Roman" w:hAnsi="Times New Roman" w:eastAsia="宋体" w:cs="Times New Roman"/>
                      <w:b/>
                      <w:bCs w:val="0"/>
                      <w:color w:val="auto"/>
                      <w:szCs w:val="21"/>
                    </w:rPr>
                    <w:t>情况</w:t>
                  </w:r>
                </w:p>
              </w:tc>
            </w:tr>
            <w:tr w14:paraId="2768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69" w:hRule="atLeast"/>
                <w:jc w:val="center"/>
              </w:trPr>
              <w:tc>
                <w:tcPr>
                  <w:tcW w:w="545" w:type="pct"/>
                  <w:tcBorders>
                    <w:tl2br w:val="nil"/>
                    <w:tr2bl w:val="nil"/>
                  </w:tcBorders>
                  <w:vAlign w:val="center"/>
                </w:tcPr>
                <w:p w14:paraId="3A98CBAC">
                  <w:pPr>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SO</w:t>
                  </w:r>
                  <w:r>
                    <w:rPr>
                      <w:rFonts w:hint="eastAsia" w:ascii="Times New Roman" w:hAnsi="Times New Roman" w:eastAsia="宋体" w:cs="Times New Roman"/>
                      <w:bCs/>
                      <w:color w:val="auto"/>
                      <w:szCs w:val="21"/>
                      <w:vertAlign w:val="subscript"/>
                      <w:lang w:val="en-US" w:eastAsia="zh-CN"/>
                    </w:rPr>
                    <w:t>2</w:t>
                  </w:r>
                </w:p>
              </w:tc>
              <w:tc>
                <w:tcPr>
                  <w:tcW w:w="1564" w:type="pct"/>
                  <w:tcBorders>
                    <w:tl2br w:val="nil"/>
                    <w:tr2bl w:val="nil"/>
                  </w:tcBorders>
                  <w:vAlign w:val="center"/>
                </w:tcPr>
                <w:p w14:paraId="351E3F50">
                  <w:pPr>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年平均质量浓度</w:t>
                  </w:r>
                </w:p>
              </w:tc>
              <w:tc>
                <w:tcPr>
                  <w:tcW w:w="765" w:type="pct"/>
                  <w:tcBorders>
                    <w:tl2br w:val="nil"/>
                    <w:tr2bl w:val="nil"/>
                  </w:tcBorders>
                  <w:vAlign w:val="center"/>
                </w:tcPr>
                <w:p w14:paraId="511512BF">
                  <w:pPr>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7</w:t>
                  </w:r>
                </w:p>
              </w:tc>
              <w:tc>
                <w:tcPr>
                  <w:tcW w:w="736" w:type="pct"/>
                  <w:tcBorders>
                    <w:tl2br w:val="nil"/>
                    <w:tr2bl w:val="nil"/>
                  </w:tcBorders>
                  <w:vAlign w:val="center"/>
                </w:tcPr>
                <w:p w14:paraId="6AC3520B">
                  <w:pPr>
                    <w:jc w:val="center"/>
                    <w:rPr>
                      <w:rFonts w:hint="eastAsia" w:ascii="Times New Roman" w:hAnsi="Times New Roman" w:eastAsia="宋体" w:cs="Times New Roman"/>
                      <w:bCs/>
                      <w:color w:val="FF0000"/>
                      <w:szCs w:val="21"/>
                      <w:lang w:val="en-US" w:eastAsia="zh-CN"/>
                    </w:rPr>
                  </w:pPr>
                  <w:r>
                    <w:rPr>
                      <w:rFonts w:hint="eastAsia" w:ascii="Times New Roman" w:hAnsi="Times New Roman" w:eastAsia="宋体" w:cs="Times New Roman"/>
                      <w:bCs/>
                      <w:color w:val="FF0000"/>
                      <w:szCs w:val="21"/>
                      <w:lang w:val="en-US" w:eastAsia="zh-CN"/>
                    </w:rPr>
                    <w:t>60</w:t>
                  </w:r>
                </w:p>
              </w:tc>
              <w:tc>
                <w:tcPr>
                  <w:tcW w:w="829" w:type="pct"/>
                  <w:tcBorders>
                    <w:tl2br w:val="nil"/>
                    <w:tr2bl w:val="nil"/>
                  </w:tcBorders>
                  <w:vAlign w:val="center"/>
                </w:tcPr>
                <w:p w14:paraId="5441C8A3">
                  <w:pPr>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11.7</w:t>
                  </w:r>
                </w:p>
              </w:tc>
              <w:tc>
                <w:tcPr>
                  <w:tcW w:w="558" w:type="pct"/>
                  <w:tcBorders>
                    <w:tl2br w:val="nil"/>
                    <w:tr2bl w:val="nil"/>
                  </w:tcBorders>
                  <w:vAlign w:val="center"/>
                </w:tcPr>
                <w:p w14:paraId="2BCD6B3E">
                  <w:pPr>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达标</w:t>
                  </w:r>
                </w:p>
              </w:tc>
            </w:tr>
            <w:tr w14:paraId="2BA1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69" w:hRule="atLeast"/>
                <w:jc w:val="center"/>
              </w:trPr>
              <w:tc>
                <w:tcPr>
                  <w:tcW w:w="545" w:type="pct"/>
                  <w:tcBorders>
                    <w:tl2br w:val="nil"/>
                    <w:tr2bl w:val="nil"/>
                  </w:tcBorders>
                  <w:vAlign w:val="center"/>
                </w:tcPr>
                <w:p w14:paraId="7B5EBE91">
                  <w:pPr>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NO</w:t>
                  </w:r>
                  <w:r>
                    <w:rPr>
                      <w:rFonts w:hint="eastAsia" w:ascii="Times New Roman" w:hAnsi="Times New Roman" w:eastAsia="宋体" w:cs="Times New Roman"/>
                      <w:bCs/>
                      <w:color w:val="auto"/>
                      <w:szCs w:val="21"/>
                      <w:vertAlign w:val="subscript"/>
                      <w:lang w:val="en-US" w:eastAsia="zh-CN"/>
                    </w:rPr>
                    <w:t>2</w:t>
                  </w:r>
                </w:p>
              </w:tc>
              <w:tc>
                <w:tcPr>
                  <w:tcW w:w="1564" w:type="pct"/>
                  <w:tcBorders>
                    <w:tl2br w:val="nil"/>
                    <w:tr2bl w:val="nil"/>
                  </w:tcBorders>
                  <w:vAlign w:val="center"/>
                </w:tcPr>
                <w:p w14:paraId="07179B1D">
                  <w:pPr>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年平均质量浓度</w:t>
                  </w:r>
                </w:p>
              </w:tc>
              <w:tc>
                <w:tcPr>
                  <w:tcW w:w="765" w:type="pct"/>
                  <w:tcBorders>
                    <w:tl2br w:val="nil"/>
                    <w:tr2bl w:val="nil"/>
                  </w:tcBorders>
                  <w:vAlign w:val="center"/>
                </w:tcPr>
                <w:p w14:paraId="7A43C4DF">
                  <w:pPr>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15</w:t>
                  </w:r>
                </w:p>
              </w:tc>
              <w:tc>
                <w:tcPr>
                  <w:tcW w:w="736" w:type="pct"/>
                  <w:tcBorders>
                    <w:tl2br w:val="nil"/>
                    <w:tr2bl w:val="nil"/>
                  </w:tcBorders>
                  <w:vAlign w:val="center"/>
                </w:tcPr>
                <w:p w14:paraId="6B92BE20">
                  <w:pPr>
                    <w:jc w:val="center"/>
                    <w:rPr>
                      <w:rFonts w:hint="eastAsia" w:ascii="Times New Roman" w:hAnsi="Times New Roman" w:eastAsia="宋体" w:cs="Times New Roman"/>
                      <w:bCs/>
                      <w:color w:val="FF0000"/>
                      <w:szCs w:val="21"/>
                      <w:lang w:val="en-US" w:eastAsia="zh-CN"/>
                    </w:rPr>
                  </w:pPr>
                  <w:r>
                    <w:rPr>
                      <w:rFonts w:hint="eastAsia" w:ascii="Times New Roman" w:hAnsi="Times New Roman" w:eastAsia="宋体" w:cs="Times New Roman"/>
                      <w:bCs/>
                      <w:color w:val="FF0000"/>
                      <w:szCs w:val="21"/>
                      <w:lang w:val="en-US" w:eastAsia="zh-CN"/>
                    </w:rPr>
                    <w:t>40</w:t>
                  </w:r>
                </w:p>
              </w:tc>
              <w:tc>
                <w:tcPr>
                  <w:tcW w:w="829" w:type="pct"/>
                  <w:tcBorders>
                    <w:tl2br w:val="nil"/>
                    <w:tr2bl w:val="nil"/>
                  </w:tcBorders>
                  <w:vAlign w:val="center"/>
                </w:tcPr>
                <w:p w14:paraId="3C2DF24D">
                  <w:pPr>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37.5</w:t>
                  </w:r>
                </w:p>
              </w:tc>
              <w:tc>
                <w:tcPr>
                  <w:tcW w:w="558" w:type="pct"/>
                  <w:tcBorders>
                    <w:tl2br w:val="nil"/>
                    <w:tr2bl w:val="nil"/>
                  </w:tcBorders>
                  <w:vAlign w:val="center"/>
                </w:tcPr>
                <w:p w14:paraId="0C4D37CC">
                  <w:pPr>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达标</w:t>
                  </w:r>
                </w:p>
              </w:tc>
            </w:tr>
            <w:tr w14:paraId="24F1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69" w:hRule="atLeast"/>
                <w:jc w:val="center"/>
              </w:trPr>
              <w:tc>
                <w:tcPr>
                  <w:tcW w:w="545" w:type="pct"/>
                  <w:tcBorders>
                    <w:tl2br w:val="nil"/>
                    <w:tr2bl w:val="nil"/>
                  </w:tcBorders>
                  <w:vAlign w:val="center"/>
                </w:tcPr>
                <w:p w14:paraId="058204B7">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PM</w:t>
                  </w:r>
                  <w:r>
                    <w:rPr>
                      <w:rFonts w:hint="eastAsia" w:ascii="Times New Roman" w:hAnsi="Times New Roman" w:eastAsia="宋体" w:cs="Times New Roman"/>
                      <w:bCs/>
                      <w:color w:val="auto"/>
                      <w:szCs w:val="21"/>
                      <w:highlight w:val="none"/>
                      <w:vertAlign w:val="subscript"/>
                      <w:lang w:val="en-US" w:eastAsia="zh-CN"/>
                    </w:rPr>
                    <w:t>10</w:t>
                  </w:r>
                </w:p>
              </w:tc>
              <w:tc>
                <w:tcPr>
                  <w:tcW w:w="1564" w:type="pct"/>
                  <w:tcBorders>
                    <w:tl2br w:val="nil"/>
                    <w:tr2bl w:val="nil"/>
                  </w:tcBorders>
                  <w:vAlign w:val="center"/>
                </w:tcPr>
                <w:p w14:paraId="79B1B392">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年平均质量浓度</w:t>
                  </w:r>
                </w:p>
              </w:tc>
              <w:tc>
                <w:tcPr>
                  <w:tcW w:w="765" w:type="pct"/>
                  <w:tcBorders>
                    <w:tl2br w:val="nil"/>
                    <w:tr2bl w:val="nil"/>
                  </w:tcBorders>
                  <w:vAlign w:val="center"/>
                </w:tcPr>
                <w:p w14:paraId="4D9C2F36">
                  <w:pPr>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53</w:t>
                  </w:r>
                </w:p>
              </w:tc>
              <w:tc>
                <w:tcPr>
                  <w:tcW w:w="736" w:type="pct"/>
                  <w:tcBorders>
                    <w:tl2br w:val="nil"/>
                    <w:tr2bl w:val="nil"/>
                  </w:tcBorders>
                  <w:vAlign w:val="center"/>
                </w:tcPr>
                <w:p w14:paraId="34681E1A">
                  <w:pPr>
                    <w:jc w:val="center"/>
                    <w:rPr>
                      <w:rFonts w:hint="default" w:ascii="Times New Roman" w:hAnsi="Times New Roman" w:eastAsia="宋体" w:cs="Times New Roman"/>
                      <w:bCs/>
                      <w:color w:val="FF0000"/>
                      <w:szCs w:val="21"/>
                      <w:highlight w:val="none"/>
                      <w:lang w:val="en-US" w:eastAsia="zh-CN"/>
                    </w:rPr>
                  </w:pPr>
                  <w:r>
                    <w:rPr>
                      <w:rFonts w:hint="eastAsia" w:ascii="Times New Roman" w:hAnsi="Times New Roman" w:eastAsia="宋体" w:cs="Times New Roman"/>
                      <w:bCs/>
                      <w:color w:val="FF0000"/>
                      <w:szCs w:val="21"/>
                      <w:highlight w:val="none"/>
                      <w:lang w:val="en-US" w:eastAsia="zh-CN"/>
                    </w:rPr>
                    <w:t>60</w:t>
                  </w:r>
                </w:p>
              </w:tc>
              <w:tc>
                <w:tcPr>
                  <w:tcW w:w="829" w:type="pct"/>
                  <w:tcBorders>
                    <w:tl2br w:val="nil"/>
                    <w:tr2bl w:val="nil"/>
                  </w:tcBorders>
                  <w:vAlign w:val="center"/>
                </w:tcPr>
                <w:p w14:paraId="7B690B15">
                  <w:pPr>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88.3</w:t>
                  </w:r>
                </w:p>
              </w:tc>
              <w:tc>
                <w:tcPr>
                  <w:tcW w:w="558" w:type="pct"/>
                  <w:tcBorders>
                    <w:tl2br w:val="nil"/>
                    <w:tr2bl w:val="nil"/>
                  </w:tcBorders>
                  <w:vAlign w:val="center"/>
                </w:tcPr>
                <w:p w14:paraId="2D9030C4">
                  <w:pPr>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达标</w:t>
                  </w:r>
                </w:p>
              </w:tc>
            </w:tr>
            <w:tr w14:paraId="0227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69" w:hRule="atLeast"/>
                <w:jc w:val="center"/>
              </w:trPr>
              <w:tc>
                <w:tcPr>
                  <w:tcW w:w="545" w:type="pct"/>
                  <w:tcBorders>
                    <w:tl2br w:val="nil"/>
                    <w:tr2bl w:val="nil"/>
                  </w:tcBorders>
                  <w:vAlign w:val="center"/>
                </w:tcPr>
                <w:p w14:paraId="436AD8CF">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PM</w:t>
                  </w:r>
                  <w:r>
                    <w:rPr>
                      <w:rFonts w:hint="eastAsia" w:ascii="Times New Roman" w:hAnsi="Times New Roman" w:eastAsia="宋体" w:cs="Times New Roman"/>
                      <w:bCs/>
                      <w:color w:val="auto"/>
                      <w:szCs w:val="21"/>
                      <w:highlight w:val="none"/>
                      <w:vertAlign w:val="subscript"/>
                      <w:lang w:val="en-US" w:eastAsia="zh-CN"/>
                    </w:rPr>
                    <w:t>2.5</w:t>
                  </w:r>
                </w:p>
              </w:tc>
              <w:tc>
                <w:tcPr>
                  <w:tcW w:w="1564" w:type="pct"/>
                  <w:tcBorders>
                    <w:tl2br w:val="nil"/>
                    <w:tr2bl w:val="nil"/>
                  </w:tcBorders>
                  <w:vAlign w:val="center"/>
                </w:tcPr>
                <w:p w14:paraId="3A5E6DB8">
                  <w:pPr>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年平均质量浓度</w:t>
                  </w:r>
                </w:p>
              </w:tc>
              <w:tc>
                <w:tcPr>
                  <w:tcW w:w="765" w:type="pct"/>
                  <w:tcBorders>
                    <w:tl2br w:val="nil"/>
                    <w:tr2bl w:val="nil"/>
                  </w:tcBorders>
                  <w:vAlign w:val="center"/>
                </w:tcPr>
                <w:p w14:paraId="550A6F02">
                  <w:pPr>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23</w:t>
                  </w:r>
                </w:p>
              </w:tc>
              <w:tc>
                <w:tcPr>
                  <w:tcW w:w="736" w:type="pct"/>
                  <w:tcBorders>
                    <w:tl2br w:val="nil"/>
                    <w:tr2bl w:val="nil"/>
                  </w:tcBorders>
                  <w:vAlign w:val="center"/>
                </w:tcPr>
                <w:p w14:paraId="40B4CF06">
                  <w:pPr>
                    <w:jc w:val="center"/>
                    <w:rPr>
                      <w:rFonts w:hint="default" w:ascii="Times New Roman" w:hAnsi="Times New Roman" w:eastAsia="宋体" w:cs="Times New Roman"/>
                      <w:bCs/>
                      <w:color w:val="FF0000"/>
                      <w:szCs w:val="21"/>
                      <w:highlight w:val="none"/>
                      <w:lang w:val="en-US" w:eastAsia="zh-CN"/>
                    </w:rPr>
                  </w:pPr>
                  <w:r>
                    <w:rPr>
                      <w:rFonts w:hint="eastAsia" w:ascii="Times New Roman" w:hAnsi="Times New Roman" w:eastAsia="宋体" w:cs="Times New Roman"/>
                      <w:bCs/>
                      <w:color w:val="FF0000"/>
                      <w:szCs w:val="21"/>
                      <w:highlight w:val="none"/>
                      <w:lang w:val="en-US" w:eastAsia="zh-CN"/>
                    </w:rPr>
                    <w:t>30</w:t>
                  </w:r>
                </w:p>
              </w:tc>
              <w:tc>
                <w:tcPr>
                  <w:tcW w:w="829" w:type="pct"/>
                  <w:tcBorders>
                    <w:tl2br w:val="nil"/>
                    <w:tr2bl w:val="nil"/>
                  </w:tcBorders>
                  <w:vAlign w:val="center"/>
                </w:tcPr>
                <w:p w14:paraId="26279E35">
                  <w:pPr>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76.7</w:t>
                  </w:r>
                </w:p>
              </w:tc>
              <w:tc>
                <w:tcPr>
                  <w:tcW w:w="558" w:type="pct"/>
                  <w:tcBorders>
                    <w:tl2br w:val="nil"/>
                    <w:tr2bl w:val="nil"/>
                  </w:tcBorders>
                  <w:vAlign w:val="center"/>
                </w:tcPr>
                <w:p w14:paraId="45F4B0FC">
                  <w:pPr>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达标</w:t>
                  </w:r>
                </w:p>
              </w:tc>
            </w:tr>
            <w:tr w14:paraId="709E4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69" w:hRule="atLeast"/>
                <w:jc w:val="center"/>
              </w:trPr>
              <w:tc>
                <w:tcPr>
                  <w:tcW w:w="545" w:type="pct"/>
                  <w:tcBorders>
                    <w:tl2br w:val="nil"/>
                    <w:tr2bl w:val="nil"/>
                  </w:tcBorders>
                  <w:vAlign w:val="center"/>
                </w:tcPr>
                <w:p w14:paraId="0D9BE357">
                  <w:pPr>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CO</w:t>
                  </w:r>
                </w:p>
              </w:tc>
              <w:tc>
                <w:tcPr>
                  <w:tcW w:w="1564" w:type="pct"/>
                  <w:tcBorders>
                    <w:tl2br w:val="nil"/>
                    <w:tr2bl w:val="nil"/>
                  </w:tcBorders>
                  <w:vAlign w:val="center"/>
                </w:tcPr>
                <w:p w14:paraId="4CBA63B4">
                  <w:pPr>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24小时平均第95百分位数</w:t>
                  </w:r>
                </w:p>
              </w:tc>
              <w:tc>
                <w:tcPr>
                  <w:tcW w:w="765" w:type="pct"/>
                  <w:tcBorders>
                    <w:tl2br w:val="nil"/>
                    <w:tr2bl w:val="nil"/>
                  </w:tcBorders>
                  <w:vAlign w:val="center"/>
                </w:tcPr>
                <w:p w14:paraId="1D2673BA">
                  <w:pPr>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800</w:t>
                  </w:r>
                </w:p>
              </w:tc>
              <w:tc>
                <w:tcPr>
                  <w:tcW w:w="736" w:type="pct"/>
                  <w:tcBorders>
                    <w:tl2br w:val="nil"/>
                    <w:tr2bl w:val="nil"/>
                  </w:tcBorders>
                  <w:vAlign w:val="center"/>
                </w:tcPr>
                <w:p w14:paraId="175D4B5D">
                  <w:pPr>
                    <w:jc w:val="center"/>
                    <w:rPr>
                      <w:rFonts w:hint="eastAsia" w:ascii="Times New Roman" w:hAnsi="Times New Roman" w:eastAsia="宋体" w:cs="Times New Roman"/>
                      <w:bCs/>
                      <w:color w:val="FF0000"/>
                      <w:szCs w:val="21"/>
                      <w:lang w:val="en-US" w:eastAsia="zh-CN"/>
                    </w:rPr>
                  </w:pPr>
                  <w:r>
                    <w:rPr>
                      <w:rFonts w:hint="eastAsia" w:ascii="Times New Roman" w:hAnsi="Times New Roman" w:eastAsia="宋体" w:cs="Times New Roman"/>
                      <w:bCs/>
                      <w:color w:val="FF0000"/>
                      <w:szCs w:val="21"/>
                      <w:lang w:val="en-US" w:eastAsia="zh-CN"/>
                    </w:rPr>
                    <w:t>4000</w:t>
                  </w:r>
                </w:p>
              </w:tc>
              <w:tc>
                <w:tcPr>
                  <w:tcW w:w="829" w:type="pct"/>
                  <w:tcBorders>
                    <w:tl2br w:val="nil"/>
                    <w:tr2bl w:val="nil"/>
                  </w:tcBorders>
                  <w:vAlign w:val="center"/>
                </w:tcPr>
                <w:p w14:paraId="67A8AC9A">
                  <w:pPr>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20</w:t>
                  </w:r>
                </w:p>
              </w:tc>
              <w:tc>
                <w:tcPr>
                  <w:tcW w:w="558" w:type="pct"/>
                  <w:tcBorders>
                    <w:tl2br w:val="nil"/>
                    <w:tr2bl w:val="nil"/>
                  </w:tcBorders>
                  <w:vAlign w:val="center"/>
                </w:tcPr>
                <w:p w14:paraId="45336FD8">
                  <w:pPr>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达标</w:t>
                  </w:r>
                </w:p>
              </w:tc>
            </w:tr>
            <w:tr w14:paraId="12F4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69" w:hRule="atLeast"/>
                <w:jc w:val="center"/>
              </w:trPr>
              <w:tc>
                <w:tcPr>
                  <w:tcW w:w="545" w:type="pct"/>
                  <w:tcBorders>
                    <w:tl2br w:val="nil"/>
                    <w:tr2bl w:val="nil"/>
                  </w:tcBorders>
                  <w:vAlign w:val="center"/>
                </w:tcPr>
                <w:p w14:paraId="3E3F4406">
                  <w:pPr>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O</w:t>
                  </w:r>
                  <w:r>
                    <w:rPr>
                      <w:rFonts w:hint="eastAsia" w:ascii="Times New Roman" w:hAnsi="Times New Roman" w:eastAsia="宋体" w:cs="Times New Roman"/>
                      <w:bCs/>
                      <w:color w:val="auto"/>
                      <w:szCs w:val="21"/>
                      <w:vertAlign w:val="subscript"/>
                      <w:lang w:val="en-US" w:eastAsia="zh-CN"/>
                    </w:rPr>
                    <w:t>3</w:t>
                  </w:r>
                </w:p>
              </w:tc>
              <w:tc>
                <w:tcPr>
                  <w:tcW w:w="1564" w:type="pct"/>
                  <w:tcBorders>
                    <w:tl2br w:val="nil"/>
                    <w:tr2bl w:val="nil"/>
                  </w:tcBorders>
                  <w:vAlign w:val="center"/>
                </w:tcPr>
                <w:p w14:paraId="2D84FFD0">
                  <w:pPr>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最大8小时滑动平均值的第90百分位数</w:t>
                  </w:r>
                </w:p>
              </w:tc>
              <w:tc>
                <w:tcPr>
                  <w:tcW w:w="765" w:type="pct"/>
                  <w:tcBorders>
                    <w:tl2br w:val="nil"/>
                    <w:tr2bl w:val="nil"/>
                  </w:tcBorders>
                  <w:vAlign w:val="center"/>
                </w:tcPr>
                <w:p w14:paraId="6152A867">
                  <w:pPr>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143</w:t>
                  </w:r>
                </w:p>
              </w:tc>
              <w:tc>
                <w:tcPr>
                  <w:tcW w:w="736" w:type="pct"/>
                  <w:tcBorders>
                    <w:tl2br w:val="nil"/>
                    <w:tr2bl w:val="nil"/>
                  </w:tcBorders>
                  <w:vAlign w:val="center"/>
                </w:tcPr>
                <w:p w14:paraId="5BF4F374">
                  <w:pPr>
                    <w:jc w:val="center"/>
                    <w:rPr>
                      <w:rFonts w:hint="eastAsia" w:ascii="Times New Roman" w:hAnsi="Times New Roman" w:eastAsia="宋体" w:cs="Times New Roman"/>
                      <w:bCs/>
                      <w:color w:val="FF0000"/>
                      <w:szCs w:val="21"/>
                      <w:lang w:val="en-US" w:eastAsia="zh-CN"/>
                    </w:rPr>
                  </w:pPr>
                  <w:r>
                    <w:rPr>
                      <w:rFonts w:hint="eastAsia" w:ascii="Times New Roman" w:hAnsi="Times New Roman" w:eastAsia="宋体" w:cs="Times New Roman"/>
                      <w:bCs/>
                      <w:color w:val="FF0000"/>
                      <w:szCs w:val="21"/>
                      <w:lang w:val="en-US" w:eastAsia="zh-CN"/>
                    </w:rPr>
                    <w:t>160</w:t>
                  </w:r>
                </w:p>
              </w:tc>
              <w:tc>
                <w:tcPr>
                  <w:tcW w:w="829" w:type="pct"/>
                  <w:tcBorders>
                    <w:tl2br w:val="nil"/>
                    <w:tr2bl w:val="nil"/>
                  </w:tcBorders>
                  <w:vAlign w:val="center"/>
                </w:tcPr>
                <w:p w14:paraId="226AB19D">
                  <w:pPr>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89.4</w:t>
                  </w:r>
                </w:p>
              </w:tc>
              <w:tc>
                <w:tcPr>
                  <w:tcW w:w="558" w:type="pct"/>
                  <w:tcBorders>
                    <w:tl2br w:val="nil"/>
                    <w:tr2bl w:val="nil"/>
                  </w:tcBorders>
                  <w:vAlign w:val="center"/>
                </w:tcPr>
                <w:p w14:paraId="3329D19B">
                  <w:pPr>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达标</w:t>
                  </w:r>
                </w:p>
              </w:tc>
            </w:tr>
          </w:tbl>
          <w:p w14:paraId="37F0A8A0">
            <w:pPr>
              <w:wordWrap w:val="0"/>
              <w:topLinePunct/>
              <w:snapToGrid w:val="0"/>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1.2特征污染物补充监测</w:t>
            </w:r>
          </w:p>
          <w:p w14:paraId="2681DF30">
            <w:pPr>
              <w:widowControl/>
              <w:snapToGrid w:val="0"/>
              <w:spacing w:line="360" w:lineRule="auto"/>
              <w:ind w:firstLine="480" w:firstLineChars="200"/>
              <w:rPr>
                <w:rFonts w:ascii="Times New Roman" w:hAnsi="Times New Roman" w:eastAsia="宋体" w:cs="Times New Roman"/>
                <w:color w:val="FF0000"/>
                <w:sz w:val="24"/>
              </w:rPr>
            </w:pPr>
            <w:r>
              <w:rPr>
                <w:rFonts w:hint="eastAsia" w:ascii="Times New Roman" w:hAnsi="Times New Roman" w:eastAsia="宋体" w:cs="Times New Roman"/>
                <w:sz w:val="24"/>
              </w:rPr>
              <w:t>本项目排放的特征污染物为</w:t>
            </w:r>
            <w:r>
              <w:rPr>
                <w:rFonts w:hint="eastAsia" w:ascii="Times New Roman" w:hAnsi="Times New Roman" w:eastAsia="宋体" w:cs="Times New Roman"/>
                <w:b/>
                <w:bCs/>
                <w:sz w:val="24"/>
              </w:rPr>
              <w:t>总悬浮颗粒物、非甲烷总烃、</w:t>
            </w:r>
            <w:r>
              <w:rPr>
                <w:rFonts w:ascii="Times New Roman" w:hAnsi="Times New Roman" w:eastAsia="宋体" w:cs="Times New Roman"/>
                <w:b/>
                <w:bCs/>
                <w:kern w:val="0"/>
                <w:sz w:val="24"/>
              </w:rPr>
              <w:t>苯并[а]芘</w:t>
            </w:r>
            <w:r>
              <w:rPr>
                <w:rFonts w:hint="eastAsia" w:ascii="Times New Roman" w:hAnsi="Times New Roman" w:eastAsia="宋体" w:cs="Times New Roman"/>
                <w:b/>
                <w:bCs/>
                <w:kern w:val="0"/>
                <w:sz w:val="24"/>
              </w:rPr>
              <w:t>、氮氧化物</w:t>
            </w:r>
            <w:r>
              <w:rPr>
                <w:rFonts w:hint="eastAsia" w:ascii="Times New Roman" w:hAnsi="Times New Roman" w:eastAsia="宋体" w:cs="Times New Roman"/>
                <w:b/>
                <w:bCs/>
                <w:sz w:val="24"/>
              </w:rPr>
              <w:t>。</w:t>
            </w:r>
            <w:r>
              <w:rPr>
                <w:rFonts w:hint="eastAsia" w:ascii="Times New Roman" w:hAnsi="Times New Roman" w:eastAsia="宋体" w:cs="Times New Roman"/>
                <w:sz w:val="24"/>
              </w:rPr>
              <w:t>为了解本项目所在区域环境空气质量状况，甘肃聚联新型材料有限公司于2025年10月31日-11月02日、2026年06月04日-06月08日委托甘肃领越检测技术有限公司对本项目所在区域环境空气质量现状进行了检测，甘肃领越检测技术有限公司于2025年11月08日（领越环检字（202511）第063号）、2026年6月25日（领越环检字（202606）第069号）出具了检测报告。</w:t>
            </w:r>
          </w:p>
          <w:p w14:paraId="5F5BFED7">
            <w:pPr>
              <w:widowControl/>
              <w:snapToGrid w:val="0"/>
              <w:spacing w:line="360" w:lineRule="auto"/>
              <w:ind w:firstLine="482"/>
              <w:rPr>
                <w:rFonts w:ascii="Times New Roman" w:hAnsi="Times New Roman" w:eastAsia="宋体" w:cs="Times New Roman"/>
                <w:sz w:val="24"/>
              </w:rPr>
            </w:pPr>
            <w:r>
              <w:rPr>
                <w:rFonts w:hint="eastAsia" w:ascii="Times New Roman" w:hAnsi="Times New Roman" w:eastAsia="宋体" w:cs="Times New Roman"/>
                <w:sz w:val="24"/>
              </w:rPr>
              <w:t>①检测项目、点位、频次</w:t>
            </w:r>
          </w:p>
          <w:p w14:paraId="674C661B">
            <w:pPr>
              <w:wordWrap w:val="0"/>
              <w:topLinePunct/>
              <w:snapToGrid w:val="0"/>
              <w:spacing w:line="360" w:lineRule="auto"/>
              <w:jc w:val="center"/>
              <w:rPr>
                <w:rFonts w:ascii="Times New Roman" w:hAnsi="Times New Roman" w:eastAsia="宋体" w:cs="宋体-PUA"/>
                <w:b/>
                <w:color w:val="FF0000"/>
                <w:sz w:val="24"/>
                <w:shd w:val="clear" w:color="auto" w:fill="FFFFFF"/>
              </w:rPr>
            </w:pPr>
            <w:r>
              <w:rPr>
                <w:rFonts w:hint="eastAsia" w:ascii="Times New Roman" w:hAnsi="Times New Roman" w:eastAsia="宋体" w:cs="宋体-PUA"/>
                <w:b/>
                <w:sz w:val="24"/>
                <w:shd w:val="clear" w:color="auto" w:fill="FFFFFF"/>
              </w:rPr>
              <w:t xml:space="preserve">  表3-2 环境空气质量现状检测点位基本信息表</w:t>
            </w:r>
          </w:p>
          <w:tbl>
            <w:tblPr>
              <w:tblStyle w:val="28"/>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4"/>
              <w:gridCol w:w="2466"/>
              <w:gridCol w:w="3738"/>
            </w:tblGrid>
            <w:tr w14:paraId="390F3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754" w:type="dxa"/>
                  <w:tcBorders>
                    <w:tl2br w:val="nil"/>
                    <w:tr2bl w:val="nil"/>
                  </w:tcBorders>
                  <w:vAlign w:val="center"/>
                </w:tcPr>
                <w:p w14:paraId="78F5F824">
                  <w:pPr>
                    <w:widowControl/>
                    <w:jc w:val="center"/>
                    <w:rPr>
                      <w:rFonts w:ascii="Times New Roman" w:hAnsi="Times New Roman" w:eastAsia="宋体" w:cs="Times New Roman"/>
                      <w:b/>
                      <w:kern w:val="0"/>
                      <w:szCs w:val="21"/>
                    </w:rPr>
                  </w:pPr>
                  <w:r>
                    <w:rPr>
                      <w:rFonts w:ascii="Times New Roman" w:hAnsi="Times New Roman" w:eastAsia="宋体" w:cs="Times New Roman"/>
                      <w:b/>
                      <w:kern w:val="0"/>
                      <w:szCs w:val="21"/>
                    </w:rPr>
                    <w:t>采样点位</w:t>
                  </w:r>
                </w:p>
              </w:tc>
              <w:tc>
                <w:tcPr>
                  <w:tcW w:w="2466" w:type="dxa"/>
                  <w:tcBorders>
                    <w:tl2br w:val="nil"/>
                    <w:tr2bl w:val="nil"/>
                  </w:tcBorders>
                  <w:vAlign w:val="center"/>
                </w:tcPr>
                <w:p w14:paraId="0F3D7138">
                  <w:pPr>
                    <w:widowControl/>
                    <w:jc w:val="center"/>
                    <w:rPr>
                      <w:rFonts w:ascii="Times New Roman" w:hAnsi="Times New Roman" w:cs="Times New Roman"/>
                      <w:b/>
                      <w:kern w:val="0"/>
                      <w:szCs w:val="21"/>
                      <w:u w:val="single"/>
                    </w:rPr>
                  </w:pPr>
                  <w:r>
                    <w:rPr>
                      <w:rFonts w:ascii="Times New Roman" w:hAnsi="Times New Roman" w:cs="Times New Roman"/>
                      <w:b/>
                      <w:kern w:val="0"/>
                      <w:szCs w:val="21"/>
                    </w:rPr>
                    <w:t>检测项目</w:t>
                  </w:r>
                </w:p>
              </w:tc>
              <w:tc>
                <w:tcPr>
                  <w:tcW w:w="3738" w:type="dxa"/>
                  <w:tcBorders>
                    <w:tl2br w:val="nil"/>
                    <w:tr2bl w:val="nil"/>
                  </w:tcBorders>
                  <w:vAlign w:val="center"/>
                </w:tcPr>
                <w:p w14:paraId="432D39CD">
                  <w:pPr>
                    <w:widowControl/>
                    <w:jc w:val="center"/>
                    <w:rPr>
                      <w:rFonts w:ascii="Times New Roman" w:hAnsi="Times New Roman" w:cs="Times New Roman"/>
                      <w:b/>
                      <w:kern w:val="0"/>
                      <w:szCs w:val="21"/>
                    </w:rPr>
                  </w:pPr>
                  <w:r>
                    <w:rPr>
                      <w:rFonts w:ascii="Times New Roman" w:hAnsi="Times New Roman" w:cs="Times New Roman"/>
                      <w:b/>
                      <w:kern w:val="0"/>
                      <w:szCs w:val="21"/>
                    </w:rPr>
                    <w:t>检测频次</w:t>
                  </w:r>
                </w:p>
              </w:tc>
            </w:tr>
            <w:tr w14:paraId="3DC67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754" w:type="dxa"/>
                  <w:tcBorders>
                    <w:tl2br w:val="nil"/>
                    <w:tr2bl w:val="nil"/>
                  </w:tcBorders>
                  <w:vAlign w:val="center"/>
                </w:tcPr>
                <w:p w14:paraId="18275125">
                  <w:pPr>
                    <w:widowControl/>
                    <w:jc w:val="center"/>
                    <w:rPr>
                      <w:rFonts w:ascii="Times New Roman" w:hAnsi="Times New Roman" w:eastAsia="宋体" w:cs="Times New Roman"/>
                      <w:bCs/>
                      <w:kern w:val="0"/>
                      <w:szCs w:val="21"/>
                    </w:rPr>
                  </w:pPr>
                  <w:r>
                    <w:rPr>
                      <w:rFonts w:hint="eastAsia" w:ascii="Times New Roman" w:hAnsi="Times New Roman" w:eastAsia="宋体" w:cs="Times New Roman"/>
                      <w:bCs/>
                      <w:kern w:val="0"/>
                      <w:szCs w:val="21"/>
                    </w:rPr>
                    <w:t>1#厂址中心</w:t>
                  </w:r>
                </w:p>
              </w:tc>
              <w:tc>
                <w:tcPr>
                  <w:tcW w:w="2466" w:type="dxa"/>
                  <w:vMerge w:val="restart"/>
                  <w:tcBorders>
                    <w:tl2br w:val="nil"/>
                    <w:tr2bl w:val="nil"/>
                  </w:tcBorders>
                  <w:vAlign w:val="center"/>
                </w:tcPr>
                <w:p w14:paraId="3760BC7A">
                  <w:pPr>
                    <w:widowControl/>
                    <w:jc w:val="center"/>
                    <w:rPr>
                      <w:rFonts w:ascii="Times New Roman" w:hAnsi="Times New Roman" w:eastAsia="宋体" w:cs="Times New Roman"/>
                      <w:bCs/>
                      <w:kern w:val="0"/>
                      <w:szCs w:val="21"/>
                    </w:rPr>
                  </w:pPr>
                  <w:r>
                    <w:rPr>
                      <w:rFonts w:hint="eastAsia" w:ascii="Times New Roman" w:hAnsi="Times New Roman" w:eastAsia="宋体" w:cs="Times New Roman"/>
                      <w:bCs/>
                      <w:kern w:val="0"/>
                      <w:szCs w:val="21"/>
                    </w:rPr>
                    <w:t>总悬浮颗粒物、非甲烷总烃、</w:t>
                  </w:r>
                  <w:r>
                    <w:rPr>
                      <w:rFonts w:ascii="Times New Roman" w:hAnsi="Times New Roman" w:eastAsia="宋体" w:cs="Times New Roman"/>
                      <w:bCs/>
                      <w:kern w:val="0"/>
                      <w:szCs w:val="21"/>
                    </w:rPr>
                    <w:t>苯并[а]芘</w:t>
                  </w:r>
                  <w:r>
                    <w:rPr>
                      <w:rFonts w:hint="eastAsia" w:ascii="Times New Roman" w:hAnsi="Times New Roman" w:eastAsia="宋体" w:cs="Times New Roman"/>
                      <w:bCs/>
                      <w:kern w:val="0"/>
                      <w:szCs w:val="21"/>
                    </w:rPr>
                    <w:t>、氮氧化物</w:t>
                  </w:r>
                </w:p>
              </w:tc>
              <w:tc>
                <w:tcPr>
                  <w:tcW w:w="3738" w:type="dxa"/>
                  <w:vMerge w:val="restart"/>
                  <w:tcBorders>
                    <w:tl2br w:val="nil"/>
                    <w:tr2bl w:val="nil"/>
                  </w:tcBorders>
                  <w:vAlign w:val="center"/>
                </w:tcPr>
                <w:p w14:paraId="152B6B77">
                  <w:pPr>
                    <w:widowControl/>
                    <w:jc w:val="center"/>
                    <w:rPr>
                      <w:rFonts w:ascii="Times New Roman" w:hAnsi="Times New Roman" w:eastAsia="宋体" w:cs="Times New Roman"/>
                      <w:bCs/>
                      <w:kern w:val="0"/>
                      <w:szCs w:val="21"/>
                    </w:rPr>
                  </w:pPr>
                  <w:r>
                    <w:rPr>
                      <w:rFonts w:hint="eastAsia" w:ascii="Times New Roman" w:hAnsi="Times New Roman" w:eastAsia="宋体" w:cs="Times New Roman"/>
                      <w:bCs/>
                      <w:kern w:val="0"/>
                      <w:szCs w:val="21"/>
                    </w:rPr>
                    <w:t>连续检测3</w:t>
                  </w:r>
                  <w:r>
                    <w:rPr>
                      <w:rFonts w:ascii="Times New Roman" w:hAnsi="Times New Roman" w:eastAsia="宋体" w:cs="Times New Roman"/>
                      <w:bCs/>
                      <w:kern w:val="0"/>
                      <w:szCs w:val="21"/>
                    </w:rPr>
                    <w:t>天</w:t>
                  </w:r>
                  <w:r>
                    <w:rPr>
                      <w:rFonts w:hint="eastAsia" w:ascii="Times New Roman" w:hAnsi="Times New Roman" w:eastAsia="宋体" w:cs="Times New Roman"/>
                      <w:bCs/>
                      <w:kern w:val="0"/>
                      <w:szCs w:val="21"/>
                    </w:rPr>
                    <w:t>。非甲烷总烃检测小时值，每天检测4次；总悬浮颗粒物、</w:t>
                  </w:r>
                  <w:r>
                    <w:rPr>
                      <w:rFonts w:ascii="Times New Roman" w:hAnsi="Times New Roman" w:eastAsia="宋体" w:cs="Times New Roman"/>
                      <w:bCs/>
                      <w:kern w:val="0"/>
                      <w:szCs w:val="21"/>
                    </w:rPr>
                    <w:t>苯并[а]芘</w:t>
                  </w:r>
                  <w:r>
                    <w:rPr>
                      <w:rFonts w:hint="eastAsia" w:ascii="Times New Roman" w:hAnsi="Times New Roman" w:eastAsia="宋体" w:cs="Times New Roman"/>
                      <w:bCs/>
                      <w:kern w:val="0"/>
                      <w:szCs w:val="21"/>
                    </w:rPr>
                    <w:t>检测日均值；氮氧化物检测日均值和小时值，小时值每天检测四次。</w:t>
                  </w:r>
                </w:p>
              </w:tc>
            </w:tr>
            <w:tr w14:paraId="75F3A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754" w:type="dxa"/>
                  <w:tcBorders>
                    <w:tl2br w:val="nil"/>
                    <w:tr2bl w:val="nil"/>
                  </w:tcBorders>
                  <w:vAlign w:val="center"/>
                </w:tcPr>
                <w:p w14:paraId="00F26C01">
                  <w:pPr>
                    <w:widowControl/>
                    <w:jc w:val="center"/>
                    <w:rPr>
                      <w:rFonts w:ascii="Times New Roman" w:hAnsi="Times New Roman" w:eastAsia="宋体" w:cs="Times New Roman"/>
                      <w:bCs/>
                      <w:kern w:val="0"/>
                      <w:szCs w:val="21"/>
                    </w:rPr>
                  </w:pPr>
                  <w:r>
                    <w:rPr>
                      <w:rFonts w:hint="eastAsia" w:ascii="Times New Roman" w:hAnsi="Times New Roman" w:eastAsia="宋体" w:cs="Times New Roman"/>
                      <w:bCs/>
                      <w:kern w:val="0"/>
                      <w:szCs w:val="21"/>
                    </w:rPr>
                    <w:t>2#板桥村</w:t>
                  </w:r>
                </w:p>
              </w:tc>
              <w:tc>
                <w:tcPr>
                  <w:tcW w:w="2466" w:type="dxa"/>
                  <w:vMerge w:val="continue"/>
                  <w:tcBorders>
                    <w:tl2br w:val="nil"/>
                    <w:tr2bl w:val="nil"/>
                  </w:tcBorders>
                  <w:vAlign w:val="center"/>
                </w:tcPr>
                <w:p w14:paraId="6F262319">
                  <w:pPr>
                    <w:widowControl/>
                    <w:jc w:val="center"/>
                    <w:rPr>
                      <w:rFonts w:ascii="Times New Roman" w:hAnsi="Times New Roman" w:eastAsia="宋体" w:cs="Times New Roman"/>
                      <w:bCs/>
                      <w:color w:val="FF0000"/>
                      <w:kern w:val="0"/>
                      <w:szCs w:val="21"/>
                    </w:rPr>
                  </w:pPr>
                </w:p>
              </w:tc>
              <w:tc>
                <w:tcPr>
                  <w:tcW w:w="3738" w:type="dxa"/>
                  <w:vMerge w:val="continue"/>
                  <w:tcBorders>
                    <w:tl2br w:val="nil"/>
                    <w:tr2bl w:val="nil"/>
                  </w:tcBorders>
                  <w:vAlign w:val="center"/>
                </w:tcPr>
                <w:p w14:paraId="251D73E4">
                  <w:pPr>
                    <w:widowControl/>
                    <w:rPr>
                      <w:rFonts w:ascii="Times New Roman" w:hAnsi="Times New Roman" w:eastAsia="宋体" w:cs="宋体"/>
                      <w:color w:val="FF0000"/>
                      <w:szCs w:val="21"/>
                    </w:rPr>
                  </w:pPr>
                </w:p>
              </w:tc>
            </w:tr>
          </w:tbl>
          <w:p w14:paraId="20B1A0A5">
            <w:pPr>
              <w:widowControl/>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②环境空气质量现状检测结果</w:t>
            </w:r>
          </w:p>
          <w:p w14:paraId="596CA997">
            <w:pPr>
              <w:widowControl/>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本项目环境空气质量现状检测结果统计见表3-3。</w:t>
            </w:r>
          </w:p>
          <w:p w14:paraId="38B2E2EB">
            <w:pPr>
              <w:widowControl/>
              <w:wordWrap w:val="0"/>
              <w:topLinePunct/>
              <w:adjustRightInd w:val="0"/>
              <w:snapToGrid w:val="0"/>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表3-3  环境空气质量现状检测结果一览表</w:t>
            </w:r>
          </w:p>
          <w:tbl>
            <w:tblPr>
              <w:tblStyle w:val="28"/>
              <w:tblW w:w="7918" w:type="dxa"/>
              <w:jc w:val="center"/>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Layout w:type="fixed"/>
              <w:tblCellMar>
                <w:top w:w="15" w:type="dxa"/>
                <w:left w:w="15" w:type="dxa"/>
                <w:bottom w:w="15" w:type="dxa"/>
                <w:right w:w="15" w:type="dxa"/>
              </w:tblCellMar>
            </w:tblPr>
            <w:tblGrid>
              <w:gridCol w:w="1014"/>
              <w:gridCol w:w="1420"/>
              <w:gridCol w:w="1258"/>
              <w:gridCol w:w="1407"/>
              <w:gridCol w:w="1407"/>
              <w:gridCol w:w="1412"/>
            </w:tblGrid>
            <w:tr w14:paraId="1D6501EC">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PrEx>
              <w:trPr>
                <w:trHeight w:val="312" w:hRule="atLeast"/>
                <w:jc w:val="center"/>
              </w:trPr>
              <w:tc>
                <w:tcPr>
                  <w:tcW w:w="1014" w:type="dxa"/>
                  <w:vMerge w:val="restart"/>
                  <w:tcBorders>
                    <w:tl2br w:val="nil"/>
                    <w:tr2bl w:val="nil"/>
                  </w:tcBorders>
                  <w:vAlign w:val="center"/>
                </w:tcPr>
                <w:p w14:paraId="41B81BC6">
                  <w:pPr>
                    <w:jc w:val="center"/>
                    <w:rPr>
                      <w:rFonts w:ascii="Times New Roman" w:hAnsi="Times New Roman" w:cs="Times New Roman"/>
                      <w:b/>
                      <w:bCs/>
                      <w:szCs w:val="21"/>
                    </w:rPr>
                  </w:pPr>
                  <w:r>
                    <w:rPr>
                      <w:rFonts w:hint="eastAsia" w:ascii="Times New Roman" w:hAnsi="Times New Roman" w:cs="Times New Roman"/>
                      <w:b/>
                      <w:bCs/>
                      <w:szCs w:val="21"/>
                    </w:rPr>
                    <w:t>检测点位</w:t>
                  </w:r>
                </w:p>
              </w:tc>
              <w:tc>
                <w:tcPr>
                  <w:tcW w:w="1420" w:type="dxa"/>
                  <w:vMerge w:val="restart"/>
                  <w:tcBorders>
                    <w:tl2br w:val="nil"/>
                    <w:tr2bl w:val="nil"/>
                  </w:tcBorders>
                  <w:vAlign w:val="center"/>
                </w:tcPr>
                <w:p w14:paraId="4F0E62EE">
                  <w:pPr>
                    <w:jc w:val="center"/>
                    <w:rPr>
                      <w:rFonts w:ascii="Times New Roman" w:hAnsi="Times New Roman" w:cs="Times New Roman"/>
                      <w:b/>
                      <w:bCs/>
                      <w:szCs w:val="21"/>
                    </w:rPr>
                  </w:pPr>
                  <w:r>
                    <w:rPr>
                      <w:rFonts w:hint="eastAsia" w:ascii="Times New Roman" w:hAnsi="Times New Roman" w:cs="Times New Roman"/>
                      <w:b/>
                      <w:bCs/>
                      <w:szCs w:val="21"/>
                    </w:rPr>
                    <w:t>检测项目</w:t>
                  </w:r>
                </w:p>
              </w:tc>
              <w:tc>
                <w:tcPr>
                  <w:tcW w:w="1258" w:type="dxa"/>
                  <w:vMerge w:val="restart"/>
                  <w:tcBorders>
                    <w:tl2br w:val="nil"/>
                    <w:tr2bl w:val="nil"/>
                  </w:tcBorders>
                  <w:vAlign w:val="center"/>
                </w:tcPr>
                <w:p w14:paraId="75F622CB">
                  <w:pPr>
                    <w:jc w:val="center"/>
                    <w:rPr>
                      <w:rFonts w:ascii="Times New Roman" w:hAnsi="Times New Roman" w:cs="Times New Roman"/>
                      <w:b/>
                      <w:bCs/>
                      <w:szCs w:val="21"/>
                    </w:rPr>
                  </w:pPr>
                  <w:r>
                    <w:rPr>
                      <w:rFonts w:ascii="Times New Roman" w:hAnsi="Times New Roman" w:cs="Times New Roman"/>
                      <w:b/>
                      <w:bCs/>
                      <w:szCs w:val="21"/>
                    </w:rPr>
                    <w:t>检测频次</w:t>
                  </w:r>
                </w:p>
              </w:tc>
              <w:tc>
                <w:tcPr>
                  <w:tcW w:w="4226" w:type="dxa"/>
                  <w:gridSpan w:val="3"/>
                  <w:tcBorders>
                    <w:tl2br w:val="nil"/>
                    <w:tr2bl w:val="nil"/>
                  </w:tcBorders>
                  <w:vAlign w:val="center"/>
                </w:tcPr>
                <w:p w14:paraId="7EA1B9E2">
                  <w:pPr>
                    <w:jc w:val="center"/>
                    <w:rPr>
                      <w:rFonts w:ascii="Times New Roman" w:hAnsi="Times New Roman" w:cs="Times New Roman"/>
                      <w:b/>
                      <w:bCs/>
                      <w:szCs w:val="21"/>
                    </w:rPr>
                  </w:pPr>
                  <w:r>
                    <w:rPr>
                      <w:rFonts w:ascii="Times New Roman" w:hAnsi="Times New Roman" w:cs="Times New Roman"/>
                      <w:b/>
                      <w:bCs/>
                      <w:szCs w:val="21"/>
                    </w:rPr>
                    <w:t>检测日期</w:t>
                  </w:r>
                  <w:r>
                    <w:rPr>
                      <w:rFonts w:hint="eastAsia" w:ascii="Times New Roman" w:hAnsi="Times New Roman" w:cs="Times New Roman"/>
                      <w:b/>
                      <w:bCs/>
                      <w:szCs w:val="21"/>
                    </w:rPr>
                    <w:t>、</w:t>
                  </w:r>
                  <w:r>
                    <w:rPr>
                      <w:rFonts w:ascii="Times New Roman" w:hAnsi="Times New Roman" w:cs="Times New Roman"/>
                      <w:b/>
                      <w:bCs/>
                      <w:szCs w:val="21"/>
                    </w:rPr>
                    <w:t>检测结果</w:t>
                  </w:r>
                </w:p>
              </w:tc>
            </w:tr>
            <w:tr w14:paraId="0E0FDECD">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014" w:type="dxa"/>
                  <w:vMerge w:val="continue"/>
                  <w:tcBorders>
                    <w:tl2br w:val="nil"/>
                    <w:tr2bl w:val="nil"/>
                  </w:tcBorders>
                  <w:vAlign w:val="center"/>
                </w:tcPr>
                <w:p w14:paraId="47078716">
                  <w:pPr>
                    <w:jc w:val="center"/>
                    <w:rPr>
                      <w:rFonts w:ascii="Times New Roman" w:hAnsi="Times New Roman" w:cs="Times New Roman"/>
                      <w:b/>
                      <w:bCs/>
                      <w:szCs w:val="21"/>
                    </w:rPr>
                  </w:pPr>
                </w:p>
              </w:tc>
              <w:tc>
                <w:tcPr>
                  <w:tcW w:w="1420" w:type="dxa"/>
                  <w:vMerge w:val="continue"/>
                  <w:tcBorders>
                    <w:tl2br w:val="nil"/>
                    <w:tr2bl w:val="nil"/>
                  </w:tcBorders>
                  <w:vAlign w:val="center"/>
                </w:tcPr>
                <w:p w14:paraId="06D6345B">
                  <w:pPr>
                    <w:jc w:val="center"/>
                    <w:rPr>
                      <w:rFonts w:ascii="Times New Roman" w:hAnsi="Times New Roman" w:cs="Times New Roman"/>
                      <w:b/>
                      <w:bCs/>
                      <w:szCs w:val="21"/>
                    </w:rPr>
                  </w:pPr>
                </w:p>
              </w:tc>
              <w:tc>
                <w:tcPr>
                  <w:tcW w:w="1258" w:type="dxa"/>
                  <w:vMerge w:val="continue"/>
                  <w:tcBorders>
                    <w:tl2br w:val="nil"/>
                    <w:tr2bl w:val="nil"/>
                  </w:tcBorders>
                  <w:vAlign w:val="center"/>
                </w:tcPr>
                <w:p w14:paraId="62A346F8">
                  <w:pPr>
                    <w:jc w:val="center"/>
                    <w:rPr>
                      <w:rFonts w:ascii="Times New Roman" w:hAnsi="Times New Roman" w:cs="Times New Roman"/>
                      <w:b/>
                      <w:bCs/>
                      <w:szCs w:val="21"/>
                    </w:rPr>
                  </w:pPr>
                </w:p>
              </w:tc>
              <w:tc>
                <w:tcPr>
                  <w:tcW w:w="1407" w:type="dxa"/>
                  <w:tcBorders>
                    <w:tl2br w:val="nil"/>
                    <w:tr2bl w:val="nil"/>
                  </w:tcBorders>
                  <w:vAlign w:val="center"/>
                </w:tcPr>
                <w:p w14:paraId="2CE695FA">
                  <w:pPr>
                    <w:jc w:val="center"/>
                    <w:rPr>
                      <w:rFonts w:ascii="Times New Roman" w:hAnsi="Times New Roman" w:cs="Times New Roman"/>
                      <w:b/>
                      <w:bCs/>
                      <w:szCs w:val="21"/>
                    </w:rPr>
                  </w:pPr>
                  <w:r>
                    <w:rPr>
                      <w:rFonts w:hint="eastAsia" w:ascii="Times New Roman" w:hAnsi="Times New Roman" w:cs="Times New Roman"/>
                      <w:b/>
                      <w:bCs/>
                      <w:szCs w:val="21"/>
                    </w:rPr>
                    <w:t>2025.10.31</w:t>
                  </w:r>
                </w:p>
              </w:tc>
              <w:tc>
                <w:tcPr>
                  <w:tcW w:w="1407" w:type="dxa"/>
                  <w:tcBorders>
                    <w:tl2br w:val="nil"/>
                    <w:tr2bl w:val="nil"/>
                  </w:tcBorders>
                  <w:vAlign w:val="center"/>
                </w:tcPr>
                <w:p w14:paraId="2514514B">
                  <w:pPr>
                    <w:jc w:val="center"/>
                    <w:rPr>
                      <w:rFonts w:ascii="Times New Roman" w:hAnsi="Times New Roman" w:cs="Times New Roman"/>
                      <w:b/>
                      <w:bCs/>
                      <w:szCs w:val="21"/>
                    </w:rPr>
                  </w:pPr>
                  <w:r>
                    <w:rPr>
                      <w:rFonts w:hint="eastAsia" w:ascii="Times New Roman" w:hAnsi="Times New Roman" w:cs="Times New Roman"/>
                      <w:b/>
                      <w:bCs/>
                      <w:szCs w:val="21"/>
                    </w:rPr>
                    <w:t>2025.11.01</w:t>
                  </w:r>
                </w:p>
              </w:tc>
              <w:tc>
                <w:tcPr>
                  <w:tcW w:w="1412" w:type="dxa"/>
                  <w:tcBorders>
                    <w:tl2br w:val="nil"/>
                    <w:tr2bl w:val="nil"/>
                  </w:tcBorders>
                  <w:vAlign w:val="center"/>
                </w:tcPr>
                <w:p w14:paraId="177F69F0">
                  <w:pPr>
                    <w:jc w:val="center"/>
                    <w:rPr>
                      <w:rFonts w:ascii="Times New Roman" w:hAnsi="Times New Roman" w:cs="Times New Roman"/>
                      <w:b/>
                      <w:bCs/>
                      <w:szCs w:val="21"/>
                    </w:rPr>
                  </w:pPr>
                  <w:r>
                    <w:rPr>
                      <w:rFonts w:hint="eastAsia" w:ascii="Times New Roman" w:hAnsi="Times New Roman" w:cs="Times New Roman"/>
                      <w:b/>
                      <w:bCs/>
                      <w:szCs w:val="21"/>
                    </w:rPr>
                    <w:t>2025.11.02</w:t>
                  </w:r>
                </w:p>
              </w:tc>
            </w:tr>
            <w:tr w14:paraId="1E9E015F">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014" w:type="dxa"/>
                  <w:vMerge w:val="restart"/>
                  <w:tcBorders>
                    <w:tl2br w:val="nil"/>
                    <w:tr2bl w:val="nil"/>
                  </w:tcBorders>
                  <w:vAlign w:val="center"/>
                </w:tcPr>
                <w:p w14:paraId="11E3244F">
                  <w:pPr>
                    <w:jc w:val="center"/>
                    <w:rPr>
                      <w:rFonts w:ascii="Times New Roman" w:hAnsi="Times New Roman" w:cs="Times New Roman"/>
                      <w:szCs w:val="21"/>
                    </w:rPr>
                  </w:pPr>
                  <w:r>
                    <w:rPr>
                      <w:rFonts w:hint="eastAsia" w:ascii="Times New Roman" w:hAnsi="Times New Roman" w:cs="Times New Roman"/>
                      <w:szCs w:val="21"/>
                    </w:rPr>
                    <w:t>1#厂址</w:t>
                  </w:r>
                </w:p>
              </w:tc>
              <w:tc>
                <w:tcPr>
                  <w:tcW w:w="1420" w:type="dxa"/>
                  <w:vMerge w:val="restart"/>
                  <w:tcBorders>
                    <w:tl2br w:val="nil"/>
                    <w:tr2bl w:val="nil"/>
                  </w:tcBorders>
                  <w:vAlign w:val="center"/>
                </w:tcPr>
                <w:p w14:paraId="51F4A943">
                  <w:pPr>
                    <w:jc w:val="center"/>
                    <w:rPr>
                      <w:rFonts w:ascii="Times New Roman" w:hAnsi="Times New Roman" w:cs="Times New Roman"/>
                      <w:szCs w:val="21"/>
                    </w:rPr>
                  </w:pPr>
                  <w:r>
                    <w:rPr>
                      <w:rFonts w:hint="eastAsia" w:ascii="Times New Roman" w:hAnsi="Times New Roman" w:cs="Times New Roman"/>
                      <w:szCs w:val="21"/>
                    </w:rPr>
                    <w:t>非甲烷总烃</w:t>
                  </w:r>
                </w:p>
                <w:p w14:paraId="320E62E1">
                  <w:pPr>
                    <w:jc w:val="center"/>
                    <w:rPr>
                      <w:rFonts w:ascii="Times New Roman" w:hAnsi="Times New Roman" w:cs="Times New Roman"/>
                      <w:szCs w:val="21"/>
                    </w:rPr>
                  </w:pPr>
                  <w:r>
                    <w:rPr>
                      <w:rFonts w:hint="eastAsia" w:ascii="Times New Roman" w:hAnsi="Times New Roman" w:cs="Times New Roman"/>
                      <w:szCs w:val="21"/>
                    </w:rPr>
                    <w:t>（m</w:t>
                  </w:r>
                  <w:r>
                    <w:rPr>
                      <w:rFonts w:ascii="Times New Roman" w:hAnsi="Times New Roman" w:cs="Times New Roman"/>
                      <w:szCs w:val="21"/>
                    </w:rPr>
                    <w:t>g/m³</w:t>
                  </w:r>
                  <w:r>
                    <w:rPr>
                      <w:rFonts w:hint="eastAsia" w:ascii="Times New Roman" w:hAnsi="Times New Roman" w:cs="Times New Roman"/>
                      <w:szCs w:val="21"/>
                    </w:rPr>
                    <w:t>）</w:t>
                  </w:r>
                </w:p>
              </w:tc>
              <w:tc>
                <w:tcPr>
                  <w:tcW w:w="1258" w:type="dxa"/>
                  <w:tcBorders>
                    <w:tl2br w:val="nil"/>
                    <w:tr2bl w:val="nil"/>
                  </w:tcBorders>
                  <w:vAlign w:val="center"/>
                </w:tcPr>
                <w:p w14:paraId="6CF42F06">
                  <w:pPr>
                    <w:jc w:val="center"/>
                    <w:rPr>
                      <w:rFonts w:ascii="Times New Roman" w:hAnsi="Times New Roman" w:cs="Times New Roman"/>
                      <w:szCs w:val="21"/>
                    </w:rPr>
                  </w:pPr>
                  <w:r>
                    <w:rPr>
                      <w:rFonts w:ascii="Times New Roman" w:hAnsi="Times New Roman" w:cs="Times New Roman"/>
                      <w:szCs w:val="21"/>
                    </w:rPr>
                    <w:t>第1次</w:t>
                  </w:r>
                </w:p>
              </w:tc>
              <w:tc>
                <w:tcPr>
                  <w:tcW w:w="1407" w:type="dxa"/>
                  <w:tcBorders>
                    <w:tl2br w:val="nil"/>
                    <w:tr2bl w:val="nil"/>
                  </w:tcBorders>
                  <w:vAlign w:val="center"/>
                </w:tcPr>
                <w:p w14:paraId="6EBCD87C">
                  <w:pPr>
                    <w:jc w:val="center"/>
                    <w:rPr>
                      <w:rFonts w:ascii="Times New Roman" w:hAnsi="Times New Roman" w:cs="Times New Roman"/>
                      <w:szCs w:val="21"/>
                    </w:rPr>
                  </w:pPr>
                  <w:r>
                    <w:rPr>
                      <w:rFonts w:hint="eastAsia" w:ascii="Times New Roman" w:hAnsi="Times New Roman" w:cs="Times New Roman"/>
                      <w:szCs w:val="21"/>
                    </w:rPr>
                    <w:t>0.69</w:t>
                  </w:r>
                </w:p>
              </w:tc>
              <w:tc>
                <w:tcPr>
                  <w:tcW w:w="1407" w:type="dxa"/>
                  <w:tcBorders>
                    <w:tl2br w:val="nil"/>
                    <w:tr2bl w:val="nil"/>
                  </w:tcBorders>
                  <w:vAlign w:val="center"/>
                </w:tcPr>
                <w:p w14:paraId="5DCA0F0C">
                  <w:pPr>
                    <w:jc w:val="center"/>
                    <w:rPr>
                      <w:rFonts w:ascii="Times New Roman" w:hAnsi="Times New Roman" w:cs="Times New Roman"/>
                      <w:szCs w:val="21"/>
                    </w:rPr>
                  </w:pPr>
                  <w:r>
                    <w:rPr>
                      <w:rFonts w:hint="eastAsia" w:ascii="Times New Roman" w:hAnsi="Times New Roman" w:cs="Times New Roman"/>
                      <w:szCs w:val="21"/>
                    </w:rPr>
                    <w:t>0.64</w:t>
                  </w:r>
                </w:p>
              </w:tc>
              <w:tc>
                <w:tcPr>
                  <w:tcW w:w="1412" w:type="dxa"/>
                  <w:tcBorders>
                    <w:tl2br w:val="nil"/>
                    <w:tr2bl w:val="nil"/>
                  </w:tcBorders>
                  <w:vAlign w:val="center"/>
                </w:tcPr>
                <w:p w14:paraId="2BB01EE5">
                  <w:pPr>
                    <w:jc w:val="center"/>
                    <w:rPr>
                      <w:rFonts w:ascii="Times New Roman" w:hAnsi="Times New Roman" w:cs="Times New Roman"/>
                      <w:szCs w:val="21"/>
                    </w:rPr>
                  </w:pPr>
                  <w:r>
                    <w:rPr>
                      <w:rFonts w:hint="eastAsia" w:ascii="Times New Roman" w:hAnsi="Times New Roman" w:cs="Times New Roman"/>
                      <w:szCs w:val="21"/>
                    </w:rPr>
                    <w:t>0.67</w:t>
                  </w:r>
                </w:p>
              </w:tc>
            </w:tr>
            <w:tr w14:paraId="285CDE23">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014" w:type="dxa"/>
                  <w:vMerge w:val="continue"/>
                  <w:tcBorders>
                    <w:tl2br w:val="nil"/>
                    <w:tr2bl w:val="nil"/>
                  </w:tcBorders>
                  <w:vAlign w:val="center"/>
                </w:tcPr>
                <w:p w14:paraId="2EA76C9C">
                  <w:pPr>
                    <w:jc w:val="center"/>
                    <w:rPr>
                      <w:rFonts w:ascii="Times New Roman" w:hAnsi="Times New Roman" w:cs="Times New Roman"/>
                      <w:szCs w:val="21"/>
                    </w:rPr>
                  </w:pPr>
                </w:p>
              </w:tc>
              <w:tc>
                <w:tcPr>
                  <w:tcW w:w="1420" w:type="dxa"/>
                  <w:vMerge w:val="continue"/>
                  <w:tcBorders>
                    <w:tl2br w:val="nil"/>
                    <w:tr2bl w:val="nil"/>
                  </w:tcBorders>
                  <w:vAlign w:val="center"/>
                </w:tcPr>
                <w:p w14:paraId="67FE6101">
                  <w:pPr>
                    <w:jc w:val="center"/>
                    <w:rPr>
                      <w:rFonts w:ascii="Times New Roman" w:hAnsi="Times New Roman" w:cs="Times New Roman"/>
                      <w:szCs w:val="21"/>
                    </w:rPr>
                  </w:pPr>
                </w:p>
              </w:tc>
              <w:tc>
                <w:tcPr>
                  <w:tcW w:w="1258" w:type="dxa"/>
                  <w:tcBorders>
                    <w:tl2br w:val="nil"/>
                    <w:tr2bl w:val="nil"/>
                  </w:tcBorders>
                  <w:vAlign w:val="center"/>
                </w:tcPr>
                <w:p w14:paraId="24DC5661">
                  <w:pPr>
                    <w:jc w:val="center"/>
                    <w:rPr>
                      <w:rFonts w:ascii="Times New Roman" w:hAnsi="Times New Roman" w:cs="Times New Roman"/>
                      <w:szCs w:val="21"/>
                    </w:rPr>
                  </w:pPr>
                  <w:r>
                    <w:rPr>
                      <w:rFonts w:ascii="Times New Roman" w:hAnsi="Times New Roman" w:cs="Times New Roman"/>
                      <w:szCs w:val="21"/>
                    </w:rPr>
                    <w:t>第2次</w:t>
                  </w:r>
                </w:p>
              </w:tc>
              <w:tc>
                <w:tcPr>
                  <w:tcW w:w="1407" w:type="dxa"/>
                  <w:tcBorders>
                    <w:tl2br w:val="nil"/>
                    <w:tr2bl w:val="nil"/>
                  </w:tcBorders>
                  <w:vAlign w:val="center"/>
                </w:tcPr>
                <w:p w14:paraId="33EA9A1C">
                  <w:pPr>
                    <w:jc w:val="center"/>
                    <w:rPr>
                      <w:rFonts w:ascii="Times New Roman" w:hAnsi="Times New Roman" w:cs="Times New Roman"/>
                      <w:szCs w:val="21"/>
                    </w:rPr>
                  </w:pPr>
                  <w:r>
                    <w:rPr>
                      <w:rFonts w:hint="eastAsia" w:ascii="Times New Roman" w:hAnsi="Times New Roman" w:cs="Times New Roman"/>
                      <w:szCs w:val="21"/>
                    </w:rPr>
                    <w:t>0.73</w:t>
                  </w:r>
                </w:p>
              </w:tc>
              <w:tc>
                <w:tcPr>
                  <w:tcW w:w="1407" w:type="dxa"/>
                  <w:tcBorders>
                    <w:tl2br w:val="nil"/>
                    <w:tr2bl w:val="nil"/>
                  </w:tcBorders>
                  <w:vAlign w:val="center"/>
                </w:tcPr>
                <w:p w14:paraId="4A26F9F7">
                  <w:pPr>
                    <w:jc w:val="center"/>
                    <w:rPr>
                      <w:rFonts w:ascii="Times New Roman" w:hAnsi="Times New Roman" w:cs="Times New Roman"/>
                      <w:szCs w:val="21"/>
                    </w:rPr>
                  </w:pPr>
                  <w:r>
                    <w:rPr>
                      <w:rFonts w:hint="eastAsia" w:ascii="Times New Roman" w:hAnsi="Times New Roman" w:cs="Times New Roman"/>
                      <w:szCs w:val="21"/>
                    </w:rPr>
                    <w:t>0.70</w:t>
                  </w:r>
                </w:p>
              </w:tc>
              <w:tc>
                <w:tcPr>
                  <w:tcW w:w="1412" w:type="dxa"/>
                  <w:tcBorders>
                    <w:tl2br w:val="nil"/>
                    <w:tr2bl w:val="nil"/>
                  </w:tcBorders>
                  <w:vAlign w:val="center"/>
                </w:tcPr>
                <w:p w14:paraId="545051BF">
                  <w:pPr>
                    <w:jc w:val="center"/>
                    <w:rPr>
                      <w:rFonts w:ascii="Times New Roman" w:hAnsi="Times New Roman" w:cs="Times New Roman"/>
                      <w:szCs w:val="21"/>
                    </w:rPr>
                  </w:pPr>
                  <w:r>
                    <w:rPr>
                      <w:rFonts w:hint="eastAsia" w:ascii="Times New Roman" w:hAnsi="Times New Roman" w:cs="Times New Roman"/>
                      <w:szCs w:val="21"/>
                    </w:rPr>
                    <w:t>0.68</w:t>
                  </w:r>
                </w:p>
              </w:tc>
            </w:tr>
            <w:tr w14:paraId="1103C237">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014" w:type="dxa"/>
                  <w:vMerge w:val="continue"/>
                  <w:tcBorders>
                    <w:tl2br w:val="nil"/>
                    <w:tr2bl w:val="nil"/>
                  </w:tcBorders>
                  <w:vAlign w:val="center"/>
                </w:tcPr>
                <w:p w14:paraId="0DC29EB6">
                  <w:pPr>
                    <w:jc w:val="center"/>
                    <w:rPr>
                      <w:rFonts w:ascii="Times New Roman" w:hAnsi="Times New Roman" w:cs="Times New Roman"/>
                      <w:szCs w:val="21"/>
                    </w:rPr>
                  </w:pPr>
                </w:p>
              </w:tc>
              <w:tc>
                <w:tcPr>
                  <w:tcW w:w="1420" w:type="dxa"/>
                  <w:vMerge w:val="continue"/>
                  <w:tcBorders>
                    <w:tl2br w:val="nil"/>
                    <w:tr2bl w:val="nil"/>
                  </w:tcBorders>
                  <w:vAlign w:val="center"/>
                </w:tcPr>
                <w:p w14:paraId="7E4F7638">
                  <w:pPr>
                    <w:jc w:val="center"/>
                    <w:rPr>
                      <w:rFonts w:ascii="Times New Roman" w:hAnsi="Times New Roman" w:cs="Times New Roman"/>
                      <w:szCs w:val="21"/>
                    </w:rPr>
                  </w:pPr>
                </w:p>
              </w:tc>
              <w:tc>
                <w:tcPr>
                  <w:tcW w:w="1258" w:type="dxa"/>
                  <w:tcBorders>
                    <w:tl2br w:val="nil"/>
                    <w:tr2bl w:val="nil"/>
                  </w:tcBorders>
                  <w:vAlign w:val="center"/>
                </w:tcPr>
                <w:p w14:paraId="497734D5">
                  <w:pPr>
                    <w:jc w:val="center"/>
                    <w:rPr>
                      <w:rFonts w:ascii="Times New Roman" w:hAnsi="Times New Roman" w:cs="Times New Roman"/>
                      <w:szCs w:val="21"/>
                    </w:rPr>
                  </w:pPr>
                  <w:r>
                    <w:rPr>
                      <w:rFonts w:ascii="Times New Roman" w:hAnsi="Times New Roman" w:cs="Times New Roman"/>
                      <w:szCs w:val="21"/>
                    </w:rPr>
                    <w:t>第</w:t>
                  </w:r>
                  <w:r>
                    <w:rPr>
                      <w:rFonts w:hint="eastAsia" w:ascii="Times New Roman" w:hAnsi="Times New Roman" w:cs="Times New Roman"/>
                      <w:szCs w:val="21"/>
                    </w:rPr>
                    <w:t>3</w:t>
                  </w:r>
                  <w:r>
                    <w:rPr>
                      <w:rFonts w:ascii="Times New Roman" w:hAnsi="Times New Roman" w:cs="Times New Roman"/>
                      <w:szCs w:val="21"/>
                    </w:rPr>
                    <w:t>次</w:t>
                  </w:r>
                </w:p>
              </w:tc>
              <w:tc>
                <w:tcPr>
                  <w:tcW w:w="1407" w:type="dxa"/>
                  <w:tcBorders>
                    <w:tl2br w:val="nil"/>
                    <w:tr2bl w:val="nil"/>
                  </w:tcBorders>
                  <w:vAlign w:val="center"/>
                </w:tcPr>
                <w:p w14:paraId="7D32BE32">
                  <w:pPr>
                    <w:jc w:val="center"/>
                    <w:rPr>
                      <w:rFonts w:ascii="Times New Roman" w:hAnsi="Times New Roman" w:cs="Times New Roman"/>
                      <w:szCs w:val="21"/>
                    </w:rPr>
                  </w:pPr>
                  <w:r>
                    <w:rPr>
                      <w:rFonts w:hint="eastAsia" w:ascii="Times New Roman" w:hAnsi="Times New Roman" w:cs="Times New Roman"/>
                      <w:szCs w:val="21"/>
                    </w:rPr>
                    <w:t>0.58</w:t>
                  </w:r>
                </w:p>
              </w:tc>
              <w:tc>
                <w:tcPr>
                  <w:tcW w:w="1407" w:type="dxa"/>
                  <w:tcBorders>
                    <w:tl2br w:val="nil"/>
                    <w:tr2bl w:val="nil"/>
                  </w:tcBorders>
                  <w:vAlign w:val="center"/>
                </w:tcPr>
                <w:p w14:paraId="1EB776CF">
                  <w:pPr>
                    <w:jc w:val="center"/>
                    <w:rPr>
                      <w:rFonts w:ascii="Times New Roman" w:hAnsi="Times New Roman" w:cs="Times New Roman"/>
                      <w:szCs w:val="21"/>
                    </w:rPr>
                  </w:pPr>
                  <w:r>
                    <w:rPr>
                      <w:rFonts w:hint="eastAsia" w:ascii="Times New Roman" w:hAnsi="Times New Roman" w:cs="Times New Roman"/>
                      <w:szCs w:val="21"/>
                    </w:rPr>
                    <w:t>0.62</w:t>
                  </w:r>
                </w:p>
              </w:tc>
              <w:tc>
                <w:tcPr>
                  <w:tcW w:w="1412" w:type="dxa"/>
                  <w:tcBorders>
                    <w:tl2br w:val="nil"/>
                    <w:tr2bl w:val="nil"/>
                  </w:tcBorders>
                  <w:vAlign w:val="center"/>
                </w:tcPr>
                <w:p w14:paraId="7F559360">
                  <w:pPr>
                    <w:jc w:val="center"/>
                    <w:rPr>
                      <w:rFonts w:ascii="Times New Roman" w:hAnsi="Times New Roman" w:cs="Times New Roman"/>
                      <w:szCs w:val="21"/>
                    </w:rPr>
                  </w:pPr>
                  <w:r>
                    <w:rPr>
                      <w:rFonts w:hint="eastAsia" w:ascii="Times New Roman" w:hAnsi="Times New Roman" w:cs="Times New Roman"/>
                      <w:szCs w:val="21"/>
                    </w:rPr>
                    <w:t>0.61</w:t>
                  </w:r>
                </w:p>
              </w:tc>
            </w:tr>
            <w:tr w14:paraId="58A3D0A2">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014" w:type="dxa"/>
                  <w:vMerge w:val="continue"/>
                  <w:tcBorders>
                    <w:tl2br w:val="nil"/>
                    <w:tr2bl w:val="nil"/>
                  </w:tcBorders>
                  <w:vAlign w:val="center"/>
                </w:tcPr>
                <w:p w14:paraId="583E60AA">
                  <w:pPr>
                    <w:jc w:val="center"/>
                    <w:rPr>
                      <w:rFonts w:ascii="Times New Roman" w:hAnsi="Times New Roman" w:cs="Times New Roman"/>
                      <w:szCs w:val="21"/>
                    </w:rPr>
                  </w:pPr>
                </w:p>
              </w:tc>
              <w:tc>
                <w:tcPr>
                  <w:tcW w:w="1420" w:type="dxa"/>
                  <w:vMerge w:val="continue"/>
                  <w:tcBorders>
                    <w:tl2br w:val="nil"/>
                    <w:tr2bl w:val="nil"/>
                  </w:tcBorders>
                  <w:vAlign w:val="center"/>
                </w:tcPr>
                <w:p w14:paraId="6C0F4BCC">
                  <w:pPr>
                    <w:jc w:val="center"/>
                    <w:rPr>
                      <w:rFonts w:ascii="Times New Roman" w:hAnsi="Times New Roman" w:cs="Times New Roman"/>
                      <w:szCs w:val="21"/>
                    </w:rPr>
                  </w:pPr>
                </w:p>
              </w:tc>
              <w:tc>
                <w:tcPr>
                  <w:tcW w:w="1258" w:type="dxa"/>
                  <w:tcBorders>
                    <w:tl2br w:val="nil"/>
                    <w:tr2bl w:val="nil"/>
                  </w:tcBorders>
                  <w:vAlign w:val="center"/>
                </w:tcPr>
                <w:p w14:paraId="21DBBC7C">
                  <w:pPr>
                    <w:jc w:val="center"/>
                    <w:rPr>
                      <w:rFonts w:ascii="Times New Roman" w:hAnsi="Times New Roman" w:cs="Times New Roman"/>
                      <w:szCs w:val="21"/>
                    </w:rPr>
                  </w:pPr>
                  <w:r>
                    <w:rPr>
                      <w:rFonts w:ascii="Times New Roman" w:hAnsi="Times New Roman" w:cs="Times New Roman"/>
                      <w:szCs w:val="21"/>
                    </w:rPr>
                    <w:t>第4次</w:t>
                  </w:r>
                </w:p>
              </w:tc>
              <w:tc>
                <w:tcPr>
                  <w:tcW w:w="1407" w:type="dxa"/>
                  <w:tcBorders>
                    <w:tl2br w:val="nil"/>
                    <w:tr2bl w:val="nil"/>
                  </w:tcBorders>
                  <w:vAlign w:val="center"/>
                </w:tcPr>
                <w:p w14:paraId="05DA9FC4">
                  <w:pPr>
                    <w:jc w:val="center"/>
                    <w:rPr>
                      <w:rFonts w:ascii="Times New Roman" w:hAnsi="Times New Roman" w:cs="Times New Roman"/>
                      <w:szCs w:val="21"/>
                    </w:rPr>
                  </w:pPr>
                  <w:r>
                    <w:rPr>
                      <w:rFonts w:hint="eastAsia" w:ascii="Times New Roman" w:hAnsi="Times New Roman" w:cs="Times New Roman"/>
                      <w:szCs w:val="21"/>
                    </w:rPr>
                    <w:t>0.67</w:t>
                  </w:r>
                </w:p>
              </w:tc>
              <w:tc>
                <w:tcPr>
                  <w:tcW w:w="1407" w:type="dxa"/>
                  <w:tcBorders>
                    <w:tl2br w:val="nil"/>
                    <w:tr2bl w:val="nil"/>
                  </w:tcBorders>
                  <w:vAlign w:val="center"/>
                </w:tcPr>
                <w:p w14:paraId="2F2FD6F4">
                  <w:pPr>
                    <w:jc w:val="center"/>
                    <w:rPr>
                      <w:rFonts w:ascii="Times New Roman" w:hAnsi="Times New Roman" w:cs="Times New Roman"/>
                      <w:szCs w:val="21"/>
                    </w:rPr>
                  </w:pPr>
                  <w:r>
                    <w:rPr>
                      <w:rFonts w:hint="eastAsia" w:ascii="Times New Roman" w:hAnsi="Times New Roman" w:cs="Times New Roman"/>
                      <w:szCs w:val="21"/>
                    </w:rPr>
                    <w:t>0.68</w:t>
                  </w:r>
                </w:p>
              </w:tc>
              <w:tc>
                <w:tcPr>
                  <w:tcW w:w="1412" w:type="dxa"/>
                  <w:tcBorders>
                    <w:tl2br w:val="nil"/>
                    <w:tr2bl w:val="nil"/>
                  </w:tcBorders>
                  <w:vAlign w:val="center"/>
                </w:tcPr>
                <w:p w14:paraId="595623AF">
                  <w:pPr>
                    <w:jc w:val="center"/>
                    <w:rPr>
                      <w:rFonts w:ascii="Times New Roman" w:hAnsi="Times New Roman" w:cs="Times New Roman"/>
                      <w:szCs w:val="21"/>
                    </w:rPr>
                  </w:pPr>
                  <w:r>
                    <w:rPr>
                      <w:rFonts w:hint="eastAsia" w:ascii="Times New Roman" w:hAnsi="Times New Roman" w:cs="Times New Roman"/>
                      <w:szCs w:val="21"/>
                    </w:rPr>
                    <w:t>0.65</w:t>
                  </w:r>
                </w:p>
              </w:tc>
            </w:tr>
            <w:tr w14:paraId="69156C32">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PrEx>
              <w:trPr>
                <w:trHeight w:val="312" w:hRule="atLeast"/>
                <w:jc w:val="center"/>
              </w:trPr>
              <w:tc>
                <w:tcPr>
                  <w:tcW w:w="1014" w:type="dxa"/>
                  <w:vMerge w:val="continue"/>
                  <w:tcBorders>
                    <w:tl2br w:val="nil"/>
                    <w:tr2bl w:val="nil"/>
                  </w:tcBorders>
                  <w:vAlign w:val="center"/>
                </w:tcPr>
                <w:p w14:paraId="1F87AB73">
                  <w:pPr>
                    <w:jc w:val="center"/>
                    <w:rPr>
                      <w:rFonts w:ascii="Times New Roman" w:hAnsi="Times New Roman" w:cs="Times New Roman"/>
                      <w:szCs w:val="21"/>
                    </w:rPr>
                  </w:pPr>
                </w:p>
              </w:tc>
              <w:tc>
                <w:tcPr>
                  <w:tcW w:w="1420" w:type="dxa"/>
                  <w:tcBorders>
                    <w:tl2br w:val="nil"/>
                    <w:tr2bl w:val="nil"/>
                  </w:tcBorders>
                  <w:vAlign w:val="center"/>
                </w:tcPr>
                <w:p w14:paraId="32C91107">
                  <w:pPr>
                    <w:jc w:val="center"/>
                    <w:rPr>
                      <w:rFonts w:ascii="Times New Roman" w:hAnsi="Times New Roman" w:cs="Times New Roman"/>
                      <w:szCs w:val="21"/>
                    </w:rPr>
                  </w:pPr>
                  <w:r>
                    <w:rPr>
                      <w:rFonts w:ascii="Times New Roman" w:hAnsi="Times New Roman" w:cs="Times New Roman"/>
                      <w:szCs w:val="21"/>
                    </w:rPr>
                    <w:t>苯并[а]芘</w:t>
                  </w:r>
                </w:p>
                <w:p w14:paraId="669F007F">
                  <w:pPr>
                    <w:jc w:val="center"/>
                    <w:rPr>
                      <w:rFonts w:ascii="Times New Roman" w:hAnsi="Times New Roman" w:cs="Times New Roman"/>
                      <w:szCs w:val="21"/>
                    </w:rPr>
                  </w:pPr>
                  <w:r>
                    <w:rPr>
                      <w:rFonts w:ascii="Times New Roman" w:hAnsi="Times New Roman" w:cs="Times New Roman"/>
                      <w:szCs w:val="21"/>
                    </w:rPr>
                    <w:t>（ug/m</w:t>
                  </w:r>
                  <w:r>
                    <w:rPr>
                      <w:rFonts w:ascii="Times New Roman" w:hAnsi="Times New Roman" w:cs="Times New Roman"/>
                      <w:szCs w:val="21"/>
                      <w:vertAlign w:val="superscript"/>
                    </w:rPr>
                    <w:t>3</w:t>
                  </w:r>
                  <w:r>
                    <w:rPr>
                      <w:rFonts w:ascii="Times New Roman" w:hAnsi="Times New Roman" w:cs="Times New Roman"/>
                      <w:szCs w:val="21"/>
                    </w:rPr>
                    <w:t>）</w:t>
                  </w:r>
                </w:p>
              </w:tc>
              <w:tc>
                <w:tcPr>
                  <w:tcW w:w="1258" w:type="dxa"/>
                  <w:tcBorders>
                    <w:tl2br w:val="nil"/>
                    <w:tr2bl w:val="nil"/>
                  </w:tcBorders>
                  <w:vAlign w:val="center"/>
                </w:tcPr>
                <w:p w14:paraId="7CE308DC">
                  <w:pPr>
                    <w:jc w:val="center"/>
                    <w:rPr>
                      <w:rFonts w:ascii="Times New Roman" w:hAnsi="Times New Roman" w:cs="Times New Roman"/>
                      <w:szCs w:val="21"/>
                    </w:rPr>
                  </w:pPr>
                  <w:r>
                    <w:rPr>
                      <w:rFonts w:hint="eastAsia" w:ascii="Times New Roman" w:hAnsi="Times New Roman" w:cs="Times New Roman"/>
                      <w:szCs w:val="21"/>
                    </w:rPr>
                    <w:t>日均值</w:t>
                  </w:r>
                </w:p>
              </w:tc>
              <w:tc>
                <w:tcPr>
                  <w:tcW w:w="1407" w:type="dxa"/>
                  <w:tcBorders>
                    <w:tl2br w:val="nil"/>
                    <w:tr2bl w:val="nil"/>
                  </w:tcBorders>
                  <w:vAlign w:val="center"/>
                </w:tcPr>
                <w:p w14:paraId="2CD7E260">
                  <w:pPr>
                    <w:jc w:val="center"/>
                    <w:rPr>
                      <w:rFonts w:ascii="Times New Roman" w:hAnsi="Times New Roman" w:cs="Times New Roman"/>
                      <w:szCs w:val="21"/>
                    </w:rPr>
                  </w:pPr>
                  <w:r>
                    <w:rPr>
                      <w:rFonts w:hint="eastAsia" w:ascii="Times New Roman" w:hAnsi="Times New Roman" w:cs="Times New Roman"/>
                      <w:szCs w:val="21"/>
                    </w:rPr>
                    <w:t>ND</w:t>
                  </w:r>
                </w:p>
              </w:tc>
              <w:tc>
                <w:tcPr>
                  <w:tcW w:w="1407" w:type="dxa"/>
                  <w:tcBorders>
                    <w:tl2br w:val="nil"/>
                    <w:tr2bl w:val="nil"/>
                  </w:tcBorders>
                  <w:vAlign w:val="center"/>
                </w:tcPr>
                <w:p w14:paraId="7114397D">
                  <w:pPr>
                    <w:jc w:val="center"/>
                    <w:rPr>
                      <w:rFonts w:ascii="Times New Roman" w:hAnsi="Times New Roman" w:cs="Times New Roman"/>
                      <w:szCs w:val="21"/>
                    </w:rPr>
                  </w:pPr>
                  <w:r>
                    <w:rPr>
                      <w:rFonts w:hint="eastAsia" w:ascii="Times New Roman" w:hAnsi="Times New Roman" w:cs="Times New Roman"/>
                      <w:szCs w:val="21"/>
                    </w:rPr>
                    <w:t>ND</w:t>
                  </w:r>
                </w:p>
              </w:tc>
              <w:tc>
                <w:tcPr>
                  <w:tcW w:w="1412" w:type="dxa"/>
                  <w:tcBorders>
                    <w:tl2br w:val="nil"/>
                    <w:tr2bl w:val="nil"/>
                  </w:tcBorders>
                  <w:vAlign w:val="center"/>
                </w:tcPr>
                <w:p w14:paraId="2FEE6E97">
                  <w:pPr>
                    <w:jc w:val="center"/>
                    <w:rPr>
                      <w:rFonts w:ascii="Times New Roman" w:hAnsi="Times New Roman" w:cs="Times New Roman"/>
                      <w:szCs w:val="21"/>
                    </w:rPr>
                  </w:pPr>
                  <w:r>
                    <w:rPr>
                      <w:rFonts w:hint="eastAsia" w:ascii="Times New Roman" w:hAnsi="Times New Roman" w:cs="Times New Roman"/>
                      <w:szCs w:val="21"/>
                    </w:rPr>
                    <w:t>ND</w:t>
                  </w:r>
                </w:p>
              </w:tc>
            </w:tr>
            <w:tr w14:paraId="606DA9FD">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014" w:type="dxa"/>
                  <w:vMerge w:val="continue"/>
                  <w:tcBorders>
                    <w:tl2br w:val="nil"/>
                    <w:tr2bl w:val="nil"/>
                  </w:tcBorders>
                  <w:vAlign w:val="center"/>
                </w:tcPr>
                <w:p w14:paraId="75E4B618">
                  <w:pPr>
                    <w:jc w:val="center"/>
                    <w:rPr>
                      <w:rFonts w:ascii="Times New Roman" w:hAnsi="Times New Roman" w:cs="Times New Roman"/>
                      <w:szCs w:val="21"/>
                    </w:rPr>
                  </w:pPr>
                </w:p>
              </w:tc>
              <w:tc>
                <w:tcPr>
                  <w:tcW w:w="1420" w:type="dxa"/>
                  <w:tcBorders>
                    <w:tl2br w:val="nil"/>
                    <w:tr2bl w:val="nil"/>
                  </w:tcBorders>
                  <w:vAlign w:val="center"/>
                </w:tcPr>
                <w:p w14:paraId="622AA131">
                  <w:pPr>
                    <w:jc w:val="center"/>
                    <w:rPr>
                      <w:rFonts w:ascii="Times New Roman" w:hAnsi="Times New Roman" w:cs="Times New Roman"/>
                      <w:szCs w:val="21"/>
                    </w:rPr>
                  </w:pPr>
                  <w:r>
                    <w:rPr>
                      <w:rFonts w:hint="eastAsia" w:ascii="Times New Roman" w:hAnsi="Times New Roman" w:cs="Times New Roman"/>
                      <w:szCs w:val="21"/>
                    </w:rPr>
                    <w:t>总悬浮颗粒物</w:t>
                  </w:r>
                  <w:r>
                    <w:rPr>
                      <w:rFonts w:ascii="Times New Roman" w:hAnsi="Times New Roman" w:cs="Times New Roman"/>
                      <w:szCs w:val="21"/>
                    </w:rPr>
                    <w:t>（ug/m</w:t>
                  </w:r>
                  <w:r>
                    <w:rPr>
                      <w:rFonts w:ascii="Times New Roman" w:hAnsi="Times New Roman" w:cs="Times New Roman"/>
                      <w:szCs w:val="21"/>
                      <w:vertAlign w:val="superscript"/>
                    </w:rPr>
                    <w:t>3</w:t>
                  </w:r>
                  <w:r>
                    <w:rPr>
                      <w:rFonts w:ascii="Times New Roman" w:hAnsi="Times New Roman" w:cs="Times New Roman"/>
                      <w:szCs w:val="21"/>
                    </w:rPr>
                    <w:t>）</w:t>
                  </w:r>
                </w:p>
              </w:tc>
              <w:tc>
                <w:tcPr>
                  <w:tcW w:w="1258" w:type="dxa"/>
                  <w:tcBorders>
                    <w:tl2br w:val="nil"/>
                    <w:tr2bl w:val="nil"/>
                  </w:tcBorders>
                  <w:vAlign w:val="center"/>
                </w:tcPr>
                <w:p w14:paraId="1876B2FD">
                  <w:pPr>
                    <w:jc w:val="center"/>
                    <w:rPr>
                      <w:rFonts w:ascii="Times New Roman" w:hAnsi="Times New Roman" w:cs="Times New Roman"/>
                      <w:szCs w:val="21"/>
                    </w:rPr>
                  </w:pPr>
                  <w:r>
                    <w:rPr>
                      <w:rFonts w:hint="eastAsia" w:ascii="Times New Roman" w:hAnsi="Times New Roman" w:cs="Times New Roman"/>
                      <w:szCs w:val="21"/>
                    </w:rPr>
                    <w:t>日均值</w:t>
                  </w:r>
                </w:p>
              </w:tc>
              <w:tc>
                <w:tcPr>
                  <w:tcW w:w="1407" w:type="dxa"/>
                  <w:tcBorders>
                    <w:tl2br w:val="nil"/>
                    <w:tr2bl w:val="nil"/>
                  </w:tcBorders>
                  <w:vAlign w:val="center"/>
                </w:tcPr>
                <w:p w14:paraId="1CBD53C0">
                  <w:pPr>
                    <w:jc w:val="center"/>
                    <w:rPr>
                      <w:rFonts w:ascii="Times New Roman" w:hAnsi="Times New Roman" w:cs="Times New Roman"/>
                      <w:szCs w:val="21"/>
                    </w:rPr>
                  </w:pPr>
                  <w:r>
                    <w:rPr>
                      <w:rFonts w:hint="eastAsia" w:ascii="Times New Roman" w:hAnsi="Times New Roman" w:cs="Times New Roman"/>
                      <w:szCs w:val="21"/>
                    </w:rPr>
                    <w:t>108</w:t>
                  </w:r>
                </w:p>
              </w:tc>
              <w:tc>
                <w:tcPr>
                  <w:tcW w:w="1407" w:type="dxa"/>
                  <w:tcBorders>
                    <w:tl2br w:val="nil"/>
                    <w:tr2bl w:val="nil"/>
                  </w:tcBorders>
                  <w:vAlign w:val="center"/>
                </w:tcPr>
                <w:p w14:paraId="2642BD4D">
                  <w:pPr>
                    <w:jc w:val="center"/>
                    <w:rPr>
                      <w:rFonts w:ascii="Times New Roman" w:hAnsi="Times New Roman" w:cs="Times New Roman"/>
                      <w:szCs w:val="21"/>
                    </w:rPr>
                  </w:pPr>
                  <w:r>
                    <w:rPr>
                      <w:rFonts w:hint="eastAsia" w:ascii="Times New Roman" w:hAnsi="Times New Roman" w:cs="Times New Roman"/>
                      <w:szCs w:val="21"/>
                    </w:rPr>
                    <w:t>127</w:t>
                  </w:r>
                </w:p>
              </w:tc>
              <w:tc>
                <w:tcPr>
                  <w:tcW w:w="1412" w:type="dxa"/>
                  <w:tcBorders>
                    <w:tl2br w:val="nil"/>
                    <w:tr2bl w:val="nil"/>
                  </w:tcBorders>
                  <w:vAlign w:val="center"/>
                </w:tcPr>
                <w:p w14:paraId="6964F090">
                  <w:pPr>
                    <w:jc w:val="center"/>
                    <w:rPr>
                      <w:rFonts w:ascii="Times New Roman" w:hAnsi="Times New Roman" w:cs="Times New Roman"/>
                      <w:szCs w:val="21"/>
                    </w:rPr>
                  </w:pPr>
                  <w:r>
                    <w:rPr>
                      <w:rFonts w:hint="eastAsia" w:ascii="Times New Roman" w:hAnsi="Times New Roman" w:cs="Times New Roman"/>
                      <w:szCs w:val="21"/>
                    </w:rPr>
                    <w:t>135</w:t>
                  </w:r>
                </w:p>
              </w:tc>
            </w:tr>
            <w:tr w14:paraId="4E50F702">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PrEx>
              <w:trPr>
                <w:trHeight w:val="312" w:hRule="atLeast"/>
                <w:jc w:val="center"/>
              </w:trPr>
              <w:tc>
                <w:tcPr>
                  <w:tcW w:w="1014" w:type="dxa"/>
                  <w:vMerge w:val="restart"/>
                  <w:tcBorders>
                    <w:tl2br w:val="nil"/>
                    <w:tr2bl w:val="nil"/>
                  </w:tcBorders>
                  <w:vAlign w:val="center"/>
                </w:tcPr>
                <w:p w14:paraId="6A1F3B67">
                  <w:pPr>
                    <w:jc w:val="center"/>
                    <w:rPr>
                      <w:rFonts w:ascii="Times New Roman" w:hAnsi="Times New Roman" w:cs="Times New Roman"/>
                      <w:szCs w:val="21"/>
                    </w:rPr>
                  </w:pPr>
                  <w:r>
                    <w:rPr>
                      <w:rFonts w:hint="eastAsia" w:ascii="Times New Roman" w:hAnsi="Times New Roman" w:cs="Times New Roman"/>
                      <w:szCs w:val="21"/>
                    </w:rPr>
                    <w:t>2#板桥村</w:t>
                  </w:r>
                </w:p>
              </w:tc>
              <w:tc>
                <w:tcPr>
                  <w:tcW w:w="1420" w:type="dxa"/>
                  <w:vMerge w:val="restart"/>
                  <w:tcBorders>
                    <w:tl2br w:val="nil"/>
                    <w:tr2bl w:val="nil"/>
                  </w:tcBorders>
                  <w:vAlign w:val="center"/>
                </w:tcPr>
                <w:p w14:paraId="4B36DF38">
                  <w:pPr>
                    <w:jc w:val="center"/>
                    <w:rPr>
                      <w:rFonts w:ascii="Times New Roman" w:hAnsi="Times New Roman" w:cs="Times New Roman"/>
                      <w:szCs w:val="21"/>
                    </w:rPr>
                  </w:pPr>
                  <w:r>
                    <w:rPr>
                      <w:rFonts w:hint="eastAsia" w:ascii="Times New Roman" w:hAnsi="Times New Roman" w:cs="Times New Roman"/>
                      <w:szCs w:val="21"/>
                    </w:rPr>
                    <w:t>非甲烷总烃</w:t>
                  </w:r>
                </w:p>
                <w:p w14:paraId="131E4A67">
                  <w:pPr>
                    <w:jc w:val="center"/>
                    <w:rPr>
                      <w:rFonts w:ascii="Times New Roman" w:hAnsi="Times New Roman" w:cs="Times New Roman"/>
                      <w:szCs w:val="21"/>
                    </w:rPr>
                  </w:pPr>
                  <w:r>
                    <w:rPr>
                      <w:rFonts w:hint="eastAsia" w:ascii="Times New Roman" w:hAnsi="Times New Roman" w:cs="Times New Roman"/>
                      <w:szCs w:val="21"/>
                    </w:rPr>
                    <w:t>（m</w:t>
                  </w:r>
                  <w:r>
                    <w:rPr>
                      <w:rFonts w:ascii="Times New Roman" w:hAnsi="Times New Roman" w:cs="Times New Roman"/>
                      <w:szCs w:val="21"/>
                    </w:rPr>
                    <w:t>g/m³</w:t>
                  </w:r>
                  <w:r>
                    <w:rPr>
                      <w:rFonts w:hint="eastAsia" w:ascii="Times New Roman" w:hAnsi="Times New Roman" w:cs="Times New Roman"/>
                      <w:szCs w:val="21"/>
                    </w:rPr>
                    <w:t>）</w:t>
                  </w:r>
                </w:p>
              </w:tc>
              <w:tc>
                <w:tcPr>
                  <w:tcW w:w="1258" w:type="dxa"/>
                  <w:tcBorders>
                    <w:tl2br w:val="nil"/>
                    <w:tr2bl w:val="nil"/>
                  </w:tcBorders>
                  <w:vAlign w:val="center"/>
                </w:tcPr>
                <w:p w14:paraId="0C1909D8">
                  <w:pPr>
                    <w:jc w:val="center"/>
                    <w:rPr>
                      <w:rFonts w:ascii="Times New Roman" w:hAnsi="Times New Roman" w:cs="Times New Roman"/>
                      <w:szCs w:val="21"/>
                    </w:rPr>
                  </w:pPr>
                  <w:r>
                    <w:rPr>
                      <w:rFonts w:ascii="Times New Roman" w:hAnsi="Times New Roman" w:cs="Times New Roman"/>
                      <w:szCs w:val="21"/>
                    </w:rPr>
                    <w:t>第1次</w:t>
                  </w:r>
                </w:p>
              </w:tc>
              <w:tc>
                <w:tcPr>
                  <w:tcW w:w="1407" w:type="dxa"/>
                  <w:tcBorders>
                    <w:tl2br w:val="nil"/>
                    <w:tr2bl w:val="nil"/>
                  </w:tcBorders>
                  <w:vAlign w:val="center"/>
                </w:tcPr>
                <w:p w14:paraId="379B4E54">
                  <w:pPr>
                    <w:jc w:val="center"/>
                    <w:rPr>
                      <w:rFonts w:ascii="Times New Roman" w:hAnsi="Times New Roman" w:cs="Times New Roman"/>
                      <w:szCs w:val="21"/>
                    </w:rPr>
                  </w:pPr>
                  <w:r>
                    <w:rPr>
                      <w:rFonts w:hint="eastAsia" w:ascii="Times New Roman" w:hAnsi="Times New Roman" w:cs="Times New Roman"/>
                      <w:szCs w:val="21"/>
                    </w:rPr>
                    <w:t>0.65</w:t>
                  </w:r>
                </w:p>
              </w:tc>
              <w:tc>
                <w:tcPr>
                  <w:tcW w:w="1407" w:type="dxa"/>
                  <w:tcBorders>
                    <w:tl2br w:val="nil"/>
                    <w:tr2bl w:val="nil"/>
                  </w:tcBorders>
                  <w:vAlign w:val="center"/>
                </w:tcPr>
                <w:p w14:paraId="5C18C275">
                  <w:pPr>
                    <w:jc w:val="center"/>
                    <w:rPr>
                      <w:rFonts w:ascii="Times New Roman" w:hAnsi="Times New Roman" w:cs="Times New Roman"/>
                      <w:szCs w:val="21"/>
                    </w:rPr>
                  </w:pPr>
                  <w:r>
                    <w:rPr>
                      <w:rFonts w:hint="eastAsia" w:ascii="Times New Roman" w:hAnsi="Times New Roman" w:cs="Times New Roman"/>
                      <w:szCs w:val="21"/>
                    </w:rPr>
                    <w:t>0.63</w:t>
                  </w:r>
                </w:p>
              </w:tc>
              <w:tc>
                <w:tcPr>
                  <w:tcW w:w="1412" w:type="dxa"/>
                  <w:tcBorders>
                    <w:tl2br w:val="nil"/>
                    <w:tr2bl w:val="nil"/>
                  </w:tcBorders>
                  <w:vAlign w:val="center"/>
                </w:tcPr>
                <w:p w14:paraId="3CE8E975">
                  <w:pPr>
                    <w:jc w:val="center"/>
                    <w:rPr>
                      <w:rFonts w:ascii="Times New Roman" w:hAnsi="Times New Roman" w:cs="Times New Roman"/>
                      <w:szCs w:val="21"/>
                    </w:rPr>
                  </w:pPr>
                  <w:r>
                    <w:rPr>
                      <w:rFonts w:hint="eastAsia" w:ascii="Times New Roman" w:hAnsi="Times New Roman" w:cs="Times New Roman"/>
                      <w:szCs w:val="21"/>
                    </w:rPr>
                    <w:t>0.65</w:t>
                  </w:r>
                </w:p>
              </w:tc>
            </w:tr>
            <w:tr w14:paraId="27194ECC">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014" w:type="dxa"/>
                  <w:vMerge w:val="continue"/>
                  <w:tcBorders>
                    <w:tl2br w:val="nil"/>
                    <w:tr2bl w:val="nil"/>
                  </w:tcBorders>
                  <w:vAlign w:val="center"/>
                </w:tcPr>
                <w:p w14:paraId="1320E8D6">
                  <w:pPr>
                    <w:jc w:val="center"/>
                    <w:rPr>
                      <w:rFonts w:ascii="Times New Roman" w:hAnsi="Times New Roman" w:cs="Times New Roman"/>
                      <w:szCs w:val="21"/>
                    </w:rPr>
                  </w:pPr>
                </w:p>
              </w:tc>
              <w:tc>
                <w:tcPr>
                  <w:tcW w:w="1420" w:type="dxa"/>
                  <w:vMerge w:val="continue"/>
                  <w:tcBorders>
                    <w:tl2br w:val="nil"/>
                    <w:tr2bl w:val="nil"/>
                  </w:tcBorders>
                  <w:vAlign w:val="center"/>
                </w:tcPr>
                <w:p w14:paraId="70911CCD">
                  <w:pPr>
                    <w:jc w:val="center"/>
                    <w:rPr>
                      <w:rFonts w:ascii="Times New Roman" w:hAnsi="Times New Roman" w:cs="Times New Roman"/>
                      <w:szCs w:val="21"/>
                    </w:rPr>
                  </w:pPr>
                </w:p>
              </w:tc>
              <w:tc>
                <w:tcPr>
                  <w:tcW w:w="1258" w:type="dxa"/>
                  <w:tcBorders>
                    <w:tl2br w:val="nil"/>
                    <w:tr2bl w:val="nil"/>
                  </w:tcBorders>
                  <w:vAlign w:val="center"/>
                </w:tcPr>
                <w:p w14:paraId="0A0AD41F">
                  <w:pPr>
                    <w:jc w:val="center"/>
                    <w:rPr>
                      <w:rFonts w:ascii="Times New Roman" w:hAnsi="Times New Roman" w:cs="Times New Roman"/>
                      <w:szCs w:val="21"/>
                    </w:rPr>
                  </w:pPr>
                  <w:r>
                    <w:rPr>
                      <w:rFonts w:ascii="Times New Roman" w:hAnsi="Times New Roman" w:cs="Times New Roman"/>
                      <w:szCs w:val="21"/>
                    </w:rPr>
                    <w:t>第2次</w:t>
                  </w:r>
                </w:p>
              </w:tc>
              <w:tc>
                <w:tcPr>
                  <w:tcW w:w="1407" w:type="dxa"/>
                  <w:tcBorders>
                    <w:tl2br w:val="nil"/>
                    <w:tr2bl w:val="nil"/>
                  </w:tcBorders>
                  <w:vAlign w:val="center"/>
                </w:tcPr>
                <w:p w14:paraId="5C784F40">
                  <w:pPr>
                    <w:jc w:val="center"/>
                    <w:rPr>
                      <w:rFonts w:ascii="Times New Roman" w:hAnsi="Times New Roman" w:cs="Times New Roman"/>
                      <w:szCs w:val="21"/>
                    </w:rPr>
                  </w:pPr>
                  <w:r>
                    <w:rPr>
                      <w:rFonts w:hint="eastAsia" w:ascii="Times New Roman" w:hAnsi="Times New Roman" w:cs="Times New Roman"/>
                      <w:szCs w:val="21"/>
                    </w:rPr>
                    <w:t>0.74</w:t>
                  </w:r>
                </w:p>
              </w:tc>
              <w:tc>
                <w:tcPr>
                  <w:tcW w:w="1407" w:type="dxa"/>
                  <w:tcBorders>
                    <w:tl2br w:val="nil"/>
                    <w:tr2bl w:val="nil"/>
                  </w:tcBorders>
                  <w:vAlign w:val="center"/>
                </w:tcPr>
                <w:p w14:paraId="0E85279D">
                  <w:pPr>
                    <w:jc w:val="center"/>
                    <w:rPr>
                      <w:rFonts w:ascii="Times New Roman" w:hAnsi="Times New Roman" w:cs="Times New Roman"/>
                      <w:szCs w:val="21"/>
                    </w:rPr>
                  </w:pPr>
                  <w:r>
                    <w:rPr>
                      <w:rFonts w:hint="eastAsia" w:ascii="Times New Roman" w:hAnsi="Times New Roman" w:cs="Times New Roman"/>
                      <w:szCs w:val="21"/>
                    </w:rPr>
                    <w:t>0.64</w:t>
                  </w:r>
                </w:p>
              </w:tc>
              <w:tc>
                <w:tcPr>
                  <w:tcW w:w="1412" w:type="dxa"/>
                  <w:tcBorders>
                    <w:tl2br w:val="nil"/>
                    <w:tr2bl w:val="nil"/>
                  </w:tcBorders>
                  <w:vAlign w:val="center"/>
                </w:tcPr>
                <w:p w14:paraId="254D71F3">
                  <w:pPr>
                    <w:jc w:val="center"/>
                    <w:rPr>
                      <w:rFonts w:ascii="Times New Roman" w:hAnsi="Times New Roman" w:cs="Times New Roman"/>
                      <w:szCs w:val="21"/>
                    </w:rPr>
                  </w:pPr>
                  <w:r>
                    <w:rPr>
                      <w:rFonts w:hint="eastAsia" w:ascii="Times New Roman" w:hAnsi="Times New Roman" w:cs="Times New Roman"/>
                      <w:szCs w:val="21"/>
                    </w:rPr>
                    <w:t>0.66</w:t>
                  </w:r>
                </w:p>
              </w:tc>
            </w:tr>
            <w:tr w14:paraId="28727675">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014" w:type="dxa"/>
                  <w:vMerge w:val="continue"/>
                  <w:tcBorders>
                    <w:tl2br w:val="nil"/>
                    <w:tr2bl w:val="nil"/>
                  </w:tcBorders>
                  <w:vAlign w:val="center"/>
                </w:tcPr>
                <w:p w14:paraId="10F0A195">
                  <w:pPr>
                    <w:jc w:val="center"/>
                    <w:rPr>
                      <w:rFonts w:ascii="Times New Roman" w:hAnsi="Times New Roman" w:cs="Times New Roman"/>
                      <w:szCs w:val="21"/>
                    </w:rPr>
                  </w:pPr>
                </w:p>
              </w:tc>
              <w:tc>
                <w:tcPr>
                  <w:tcW w:w="1420" w:type="dxa"/>
                  <w:vMerge w:val="continue"/>
                  <w:tcBorders>
                    <w:tl2br w:val="nil"/>
                    <w:tr2bl w:val="nil"/>
                  </w:tcBorders>
                  <w:vAlign w:val="center"/>
                </w:tcPr>
                <w:p w14:paraId="7A7390D1">
                  <w:pPr>
                    <w:jc w:val="center"/>
                    <w:rPr>
                      <w:rFonts w:ascii="Times New Roman" w:hAnsi="Times New Roman" w:cs="Times New Roman"/>
                      <w:szCs w:val="21"/>
                    </w:rPr>
                  </w:pPr>
                </w:p>
              </w:tc>
              <w:tc>
                <w:tcPr>
                  <w:tcW w:w="1258" w:type="dxa"/>
                  <w:tcBorders>
                    <w:tl2br w:val="nil"/>
                    <w:tr2bl w:val="nil"/>
                  </w:tcBorders>
                  <w:vAlign w:val="center"/>
                </w:tcPr>
                <w:p w14:paraId="3E878AE7">
                  <w:pPr>
                    <w:jc w:val="center"/>
                    <w:rPr>
                      <w:rFonts w:ascii="Times New Roman" w:hAnsi="Times New Roman" w:cs="Times New Roman"/>
                      <w:szCs w:val="21"/>
                    </w:rPr>
                  </w:pPr>
                  <w:r>
                    <w:rPr>
                      <w:rFonts w:ascii="Times New Roman" w:hAnsi="Times New Roman" w:cs="Times New Roman"/>
                      <w:szCs w:val="21"/>
                    </w:rPr>
                    <w:t>第</w:t>
                  </w:r>
                  <w:r>
                    <w:rPr>
                      <w:rFonts w:hint="eastAsia" w:ascii="Times New Roman" w:hAnsi="Times New Roman" w:cs="Times New Roman"/>
                      <w:szCs w:val="21"/>
                    </w:rPr>
                    <w:t>3</w:t>
                  </w:r>
                  <w:r>
                    <w:rPr>
                      <w:rFonts w:ascii="Times New Roman" w:hAnsi="Times New Roman" w:cs="Times New Roman"/>
                      <w:szCs w:val="21"/>
                    </w:rPr>
                    <w:t>次</w:t>
                  </w:r>
                </w:p>
              </w:tc>
              <w:tc>
                <w:tcPr>
                  <w:tcW w:w="1407" w:type="dxa"/>
                  <w:tcBorders>
                    <w:tl2br w:val="nil"/>
                    <w:tr2bl w:val="nil"/>
                  </w:tcBorders>
                  <w:vAlign w:val="center"/>
                </w:tcPr>
                <w:p w14:paraId="70E885D3">
                  <w:pPr>
                    <w:jc w:val="center"/>
                    <w:rPr>
                      <w:rFonts w:ascii="Times New Roman" w:hAnsi="Times New Roman" w:cs="Times New Roman"/>
                      <w:szCs w:val="21"/>
                    </w:rPr>
                  </w:pPr>
                  <w:r>
                    <w:rPr>
                      <w:rFonts w:hint="eastAsia" w:ascii="Times New Roman" w:hAnsi="Times New Roman" w:cs="Times New Roman"/>
                      <w:szCs w:val="21"/>
                    </w:rPr>
                    <w:t>0.71</w:t>
                  </w:r>
                </w:p>
              </w:tc>
              <w:tc>
                <w:tcPr>
                  <w:tcW w:w="1407" w:type="dxa"/>
                  <w:tcBorders>
                    <w:tl2br w:val="nil"/>
                    <w:tr2bl w:val="nil"/>
                  </w:tcBorders>
                  <w:vAlign w:val="center"/>
                </w:tcPr>
                <w:p w14:paraId="2362DB8D">
                  <w:pPr>
                    <w:jc w:val="center"/>
                    <w:rPr>
                      <w:rFonts w:ascii="Times New Roman" w:hAnsi="Times New Roman" w:cs="Times New Roman"/>
                      <w:szCs w:val="21"/>
                    </w:rPr>
                  </w:pPr>
                  <w:r>
                    <w:rPr>
                      <w:rFonts w:hint="eastAsia" w:ascii="Times New Roman" w:hAnsi="Times New Roman" w:cs="Times New Roman"/>
                      <w:szCs w:val="21"/>
                    </w:rPr>
                    <w:t>0.57</w:t>
                  </w:r>
                </w:p>
              </w:tc>
              <w:tc>
                <w:tcPr>
                  <w:tcW w:w="1412" w:type="dxa"/>
                  <w:tcBorders>
                    <w:tl2br w:val="nil"/>
                    <w:tr2bl w:val="nil"/>
                  </w:tcBorders>
                  <w:vAlign w:val="center"/>
                </w:tcPr>
                <w:p w14:paraId="228D7948">
                  <w:pPr>
                    <w:jc w:val="center"/>
                    <w:rPr>
                      <w:rFonts w:ascii="Times New Roman" w:hAnsi="Times New Roman" w:cs="Times New Roman"/>
                      <w:szCs w:val="21"/>
                    </w:rPr>
                  </w:pPr>
                  <w:r>
                    <w:rPr>
                      <w:rFonts w:hint="eastAsia" w:ascii="Times New Roman" w:hAnsi="Times New Roman" w:cs="Times New Roman"/>
                      <w:szCs w:val="21"/>
                    </w:rPr>
                    <w:t>0.66</w:t>
                  </w:r>
                </w:p>
              </w:tc>
            </w:tr>
            <w:tr w14:paraId="33D305C6">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014" w:type="dxa"/>
                  <w:vMerge w:val="continue"/>
                  <w:tcBorders>
                    <w:tl2br w:val="nil"/>
                    <w:tr2bl w:val="nil"/>
                  </w:tcBorders>
                  <w:vAlign w:val="center"/>
                </w:tcPr>
                <w:p w14:paraId="4A371BED">
                  <w:pPr>
                    <w:jc w:val="center"/>
                    <w:rPr>
                      <w:rFonts w:ascii="Times New Roman" w:hAnsi="Times New Roman" w:cs="Times New Roman"/>
                      <w:szCs w:val="21"/>
                    </w:rPr>
                  </w:pPr>
                </w:p>
              </w:tc>
              <w:tc>
                <w:tcPr>
                  <w:tcW w:w="1420" w:type="dxa"/>
                  <w:vMerge w:val="continue"/>
                  <w:tcBorders>
                    <w:tl2br w:val="nil"/>
                    <w:tr2bl w:val="nil"/>
                  </w:tcBorders>
                  <w:vAlign w:val="center"/>
                </w:tcPr>
                <w:p w14:paraId="3F37407E">
                  <w:pPr>
                    <w:jc w:val="center"/>
                    <w:rPr>
                      <w:rFonts w:ascii="Times New Roman" w:hAnsi="Times New Roman" w:cs="Times New Roman"/>
                      <w:szCs w:val="21"/>
                    </w:rPr>
                  </w:pPr>
                </w:p>
              </w:tc>
              <w:tc>
                <w:tcPr>
                  <w:tcW w:w="1258" w:type="dxa"/>
                  <w:tcBorders>
                    <w:tl2br w:val="nil"/>
                    <w:tr2bl w:val="nil"/>
                  </w:tcBorders>
                  <w:vAlign w:val="center"/>
                </w:tcPr>
                <w:p w14:paraId="45B2031B">
                  <w:pPr>
                    <w:jc w:val="center"/>
                    <w:rPr>
                      <w:rFonts w:ascii="Times New Roman" w:hAnsi="Times New Roman" w:cs="Times New Roman"/>
                      <w:szCs w:val="21"/>
                    </w:rPr>
                  </w:pPr>
                  <w:r>
                    <w:rPr>
                      <w:rFonts w:ascii="Times New Roman" w:hAnsi="Times New Roman" w:cs="Times New Roman"/>
                      <w:szCs w:val="21"/>
                    </w:rPr>
                    <w:t>第4次</w:t>
                  </w:r>
                </w:p>
              </w:tc>
              <w:tc>
                <w:tcPr>
                  <w:tcW w:w="1407" w:type="dxa"/>
                  <w:tcBorders>
                    <w:tl2br w:val="nil"/>
                    <w:tr2bl w:val="nil"/>
                  </w:tcBorders>
                  <w:vAlign w:val="center"/>
                </w:tcPr>
                <w:p w14:paraId="592DFAC6">
                  <w:pPr>
                    <w:jc w:val="center"/>
                    <w:rPr>
                      <w:rFonts w:ascii="Times New Roman" w:hAnsi="Times New Roman" w:cs="Times New Roman"/>
                      <w:szCs w:val="21"/>
                    </w:rPr>
                  </w:pPr>
                  <w:r>
                    <w:rPr>
                      <w:rFonts w:hint="eastAsia" w:ascii="Times New Roman" w:hAnsi="Times New Roman" w:cs="Times New Roman"/>
                      <w:szCs w:val="21"/>
                    </w:rPr>
                    <w:t>0.67</w:t>
                  </w:r>
                </w:p>
              </w:tc>
              <w:tc>
                <w:tcPr>
                  <w:tcW w:w="1407" w:type="dxa"/>
                  <w:tcBorders>
                    <w:tl2br w:val="nil"/>
                    <w:tr2bl w:val="nil"/>
                  </w:tcBorders>
                  <w:vAlign w:val="center"/>
                </w:tcPr>
                <w:p w14:paraId="53FA6135">
                  <w:pPr>
                    <w:jc w:val="center"/>
                    <w:rPr>
                      <w:rFonts w:ascii="Times New Roman" w:hAnsi="Times New Roman" w:cs="Times New Roman"/>
                      <w:szCs w:val="21"/>
                    </w:rPr>
                  </w:pPr>
                  <w:r>
                    <w:rPr>
                      <w:rFonts w:hint="eastAsia" w:ascii="Times New Roman" w:hAnsi="Times New Roman" w:cs="Times New Roman"/>
                      <w:szCs w:val="21"/>
                    </w:rPr>
                    <w:t>0.60</w:t>
                  </w:r>
                </w:p>
              </w:tc>
              <w:tc>
                <w:tcPr>
                  <w:tcW w:w="1412" w:type="dxa"/>
                  <w:tcBorders>
                    <w:tl2br w:val="nil"/>
                    <w:tr2bl w:val="nil"/>
                  </w:tcBorders>
                  <w:vAlign w:val="center"/>
                </w:tcPr>
                <w:p w14:paraId="477021F1">
                  <w:pPr>
                    <w:jc w:val="center"/>
                    <w:rPr>
                      <w:rFonts w:ascii="Times New Roman" w:hAnsi="Times New Roman" w:cs="Times New Roman"/>
                      <w:szCs w:val="21"/>
                    </w:rPr>
                  </w:pPr>
                  <w:r>
                    <w:rPr>
                      <w:rFonts w:hint="eastAsia" w:ascii="Times New Roman" w:hAnsi="Times New Roman" w:cs="Times New Roman"/>
                      <w:szCs w:val="21"/>
                    </w:rPr>
                    <w:t>0.65</w:t>
                  </w:r>
                </w:p>
              </w:tc>
            </w:tr>
            <w:tr w14:paraId="076BEC32">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014" w:type="dxa"/>
                  <w:vMerge w:val="continue"/>
                  <w:tcBorders>
                    <w:tl2br w:val="nil"/>
                    <w:tr2bl w:val="nil"/>
                  </w:tcBorders>
                  <w:vAlign w:val="center"/>
                </w:tcPr>
                <w:p w14:paraId="419153FF">
                  <w:pPr>
                    <w:jc w:val="center"/>
                    <w:rPr>
                      <w:rFonts w:ascii="Times New Roman" w:hAnsi="Times New Roman" w:cs="Times New Roman"/>
                      <w:szCs w:val="21"/>
                    </w:rPr>
                  </w:pPr>
                </w:p>
              </w:tc>
              <w:tc>
                <w:tcPr>
                  <w:tcW w:w="1420" w:type="dxa"/>
                  <w:tcBorders>
                    <w:tl2br w:val="nil"/>
                    <w:tr2bl w:val="nil"/>
                  </w:tcBorders>
                  <w:vAlign w:val="center"/>
                </w:tcPr>
                <w:p w14:paraId="7F503A05">
                  <w:pPr>
                    <w:jc w:val="center"/>
                    <w:rPr>
                      <w:rFonts w:ascii="Times New Roman" w:hAnsi="Times New Roman" w:cs="Times New Roman"/>
                      <w:szCs w:val="21"/>
                    </w:rPr>
                  </w:pPr>
                  <w:r>
                    <w:rPr>
                      <w:rFonts w:ascii="Times New Roman" w:hAnsi="Times New Roman" w:cs="Times New Roman"/>
                      <w:szCs w:val="21"/>
                    </w:rPr>
                    <w:t>苯并[а]芘</w:t>
                  </w:r>
                </w:p>
                <w:p w14:paraId="43CED098">
                  <w:pPr>
                    <w:jc w:val="center"/>
                    <w:rPr>
                      <w:rFonts w:ascii="Times New Roman" w:hAnsi="Times New Roman" w:cs="Times New Roman"/>
                      <w:szCs w:val="21"/>
                    </w:rPr>
                  </w:pPr>
                  <w:r>
                    <w:rPr>
                      <w:rFonts w:ascii="Times New Roman" w:hAnsi="Times New Roman" w:cs="Times New Roman"/>
                      <w:szCs w:val="21"/>
                    </w:rPr>
                    <w:t>（ug/m</w:t>
                  </w:r>
                  <w:r>
                    <w:rPr>
                      <w:rFonts w:ascii="Times New Roman" w:hAnsi="Times New Roman" w:cs="Times New Roman"/>
                      <w:szCs w:val="21"/>
                      <w:vertAlign w:val="superscript"/>
                    </w:rPr>
                    <w:t>3</w:t>
                  </w:r>
                  <w:r>
                    <w:rPr>
                      <w:rFonts w:ascii="Times New Roman" w:hAnsi="Times New Roman" w:cs="Times New Roman"/>
                      <w:szCs w:val="21"/>
                    </w:rPr>
                    <w:t>）</w:t>
                  </w:r>
                </w:p>
              </w:tc>
              <w:tc>
                <w:tcPr>
                  <w:tcW w:w="1258" w:type="dxa"/>
                  <w:tcBorders>
                    <w:tl2br w:val="nil"/>
                    <w:tr2bl w:val="nil"/>
                  </w:tcBorders>
                  <w:vAlign w:val="center"/>
                </w:tcPr>
                <w:p w14:paraId="70253DF1">
                  <w:pPr>
                    <w:jc w:val="center"/>
                    <w:rPr>
                      <w:rFonts w:ascii="Times New Roman" w:hAnsi="Times New Roman" w:cs="Times New Roman"/>
                      <w:szCs w:val="21"/>
                    </w:rPr>
                  </w:pPr>
                  <w:r>
                    <w:rPr>
                      <w:rFonts w:hint="eastAsia" w:ascii="Times New Roman" w:hAnsi="Times New Roman" w:cs="Times New Roman"/>
                      <w:szCs w:val="21"/>
                    </w:rPr>
                    <w:t>日均值</w:t>
                  </w:r>
                </w:p>
              </w:tc>
              <w:tc>
                <w:tcPr>
                  <w:tcW w:w="1407" w:type="dxa"/>
                  <w:tcBorders>
                    <w:tl2br w:val="nil"/>
                    <w:tr2bl w:val="nil"/>
                  </w:tcBorders>
                  <w:vAlign w:val="center"/>
                </w:tcPr>
                <w:p w14:paraId="5FC647E0">
                  <w:pPr>
                    <w:jc w:val="center"/>
                    <w:rPr>
                      <w:rFonts w:ascii="Times New Roman" w:hAnsi="Times New Roman" w:cs="Times New Roman"/>
                      <w:szCs w:val="21"/>
                    </w:rPr>
                  </w:pPr>
                  <w:r>
                    <w:rPr>
                      <w:rFonts w:hint="eastAsia" w:ascii="Times New Roman" w:hAnsi="Times New Roman" w:cs="Times New Roman"/>
                      <w:szCs w:val="21"/>
                    </w:rPr>
                    <w:t>ND</w:t>
                  </w:r>
                </w:p>
              </w:tc>
              <w:tc>
                <w:tcPr>
                  <w:tcW w:w="1407" w:type="dxa"/>
                  <w:tcBorders>
                    <w:tl2br w:val="nil"/>
                    <w:tr2bl w:val="nil"/>
                  </w:tcBorders>
                  <w:vAlign w:val="center"/>
                </w:tcPr>
                <w:p w14:paraId="54C049FF">
                  <w:pPr>
                    <w:jc w:val="center"/>
                    <w:rPr>
                      <w:rFonts w:ascii="Times New Roman" w:hAnsi="Times New Roman" w:cs="Times New Roman"/>
                      <w:szCs w:val="21"/>
                    </w:rPr>
                  </w:pPr>
                  <w:r>
                    <w:rPr>
                      <w:rFonts w:hint="eastAsia" w:ascii="Times New Roman" w:hAnsi="Times New Roman" w:cs="Times New Roman"/>
                      <w:szCs w:val="21"/>
                    </w:rPr>
                    <w:t>ND</w:t>
                  </w:r>
                </w:p>
              </w:tc>
              <w:tc>
                <w:tcPr>
                  <w:tcW w:w="1412" w:type="dxa"/>
                  <w:tcBorders>
                    <w:tl2br w:val="nil"/>
                    <w:tr2bl w:val="nil"/>
                  </w:tcBorders>
                  <w:vAlign w:val="center"/>
                </w:tcPr>
                <w:p w14:paraId="6FE38B82">
                  <w:pPr>
                    <w:jc w:val="center"/>
                    <w:rPr>
                      <w:rFonts w:ascii="Times New Roman" w:hAnsi="Times New Roman" w:cs="Times New Roman"/>
                      <w:szCs w:val="21"/>
                    </w:rPr>
                  </w:pPr>
                  <w:r>
                    <w:rPr>
                      <w:rFonts w:hint="eastAsia" w:ascii="Times New Roman" w:hAnsi="Times New Roman" w:cs="Times New Roman"/>
                      <w:szCs w:val="21"/>
                    </w:rPr>
                    <w:t>ND</w:t>
                  </w:r>
                </w:p>
              </w:tc>
            </w:tr>
            <w:tr w14:paraId="62861331">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014" w:type="dxa"/>
                  <w:vMerge w:val="continue"/>
                  <w:tcBorders>
                    <w:tl2br w:val="nil"/>
                    <w:tr2bl w:val="nil"/>
                  </w:tcBorders>
                  <w:vAlign w:val="center"/>
                </w:tcPr>
                <w:p w14:paraId="5250F847">
                  <w:pPr>
                    <w:jc w:val="center"/>
                    <w:rPr>
                      <w:rFonts w:ascii="Times New Roman" w:hAnsi="Times New Roman" w:cs="Times New Roman"/>
                      <w:szCs w:val="21"/>
                    </w:rPr>
                  </w:pPr>
                </w:p>
              </w:tc>
              <w:tc>
                <w:tcPr>
                  <w:tcW w:w="1420" w:type="dxa"/>
                  <w:tcBorders>
                    <w:tl2br w:val="nil"/>
                    <w:tr2bl w:val="nil"/>
                  </w:tcBorders>
                  <w:vAlign w:val="center"/>
                </w:tcPr>
                <w:p w14:paraId="0751ABE4">
                  <w:pPr>
                    <w:jc w:val="center"/>
                    <w:rPr>
                      <w:rFonts w:ascii="Times New Roman" w:hAnsi="Times New Roman" w:cs="Times New Roman"/>
                      <w:szCs w:val="21"/>
                    </w:rPr>
                  </w:pPr>
                  <w:r>
                    <w:rPr>
                      <w:rFonts w:hint="eastAsia" w:ascii="Times New Roman" w:hAnsi="Times New Roman" w:cs="Times New Roman"/>
                      <w:szCs w:val="21"/>
                    </w:rPr>
                    <w:t>总悬浮颗粒物</w:t>
                  </w:r>
                  <w:r>
                    <w:rPr>
                      <w:rFonts w:ascii="Times New Roman" w:hAnsi="Times New Roman" w:cs="Times New Roman"/>
                      <w:szCs w:val="21"/>
                    </w:rPr>
                    <w:t>（ug/m</w:t>
                  </w:r>
                  <w:r>
                    <w:rPr>
                      <w:rFonts w:ascii="Times New Roman" w:hAnsi="Times New Roman" w:cs="Times New Roman"/>
                      <w:szCs w:val="21"/>
                      <w:vertAlign w:val="superscript"/>
                    </w:rPr>
                    <w:t>3</w:t>
                  </w:r>
                  <w:r>
                    <w:rPr>
                      <w:rFonts w:ascii="Times New Roman" w:hAnsi="Times New Roman" w:cs="Times New Roman"/>
                      <w:szCs w:val="21"/>
                    </w:rPr>
                    <w:t>）</w:t>
                  </w:r>
                </w:p>
              </w:tc>
              <w:tc>
                <w:tcPr>
                  <w:tcW w:w="1258" w:type="dxa"/>
                  <w:tcBorders>
                    <w:tl2br w:val="nil"/>
                    <w:tr2bl w:val="nil"/>
                  </w:tcBorders>
                  <w:vAlign w:val="center"/>
                </w:tcPr>
                <w:p w14:paraId="633BF31D">
                  <w:pPr>
                    <w:jc w:val="center"/>
                    <w:rPr>
                      <w:rFonts w:ascii="Times New Roman" w:hAnsi="Times New Roman" w:cs="Times New Roman"/>
                      <w:szCs w:val="21"/>
                    </w:rPr>
                  </w:pPr>
                  <w:r>
                    <w:rPr>
                      <w:rFonts w:hint="eastAsia" w:ascii="Times New Roman" w:hAnsi="Times New Roman" w:cs="Times New Roman"/>
                      <w:szCs w:val="21"/>
                    </w:rPr>
                    <w:t>日均值</w:t>
                  </w:r>
                </w:p>
              </w:tc>
              <w:tc>
                <w:tcPr>
                  <w:tcW w:w="1407" w:type="dxa"/>
                  <w:tcBorders>
                    <w:tl2br w:val="nil"/>
                    <w:tr2bl w:val="nil"/>
                  </w:tcBorders>
                  <w:vAlign w:val="center"/>
                </w:tcPr>
                <w:p w14:paraId="0DEA7C99">
                  <w:pPr>
                    <w:jc w:val="center"/>
                    <w:rPr>
                      <w:rFonts w:ascii="Times New Roman" w:hAnsi="Times New Roman" w:cs="Times New Roman"/>
                      <w:szCs w:val="21"/>
                    </w:rPr>
                  </w:pPr>
                  <w:r>
                    <w:rPr>
                      <w:rFonts w:hint="eastAsia" w:ascii="Times New Roman" w:hAnsi="Times New Roman" w:cs="Times New Roman"/>
                      <w:szCs w:val="21"/>
                    </w:rPr>
                    <w:t>99</w:t>
                  </w:r>
                </w:p>
              </w:tc>
              <w:tc>
                <w:tcPr>
                  <w:tcW w:w="1407" w:type="dxa"/>
                  <w:tcBorders>
                    <w:tl2br w:val="nil"/>
                    <w:tr2bl w:val="nil"/>
                  </w:tcBorders>
                  <w:vAlign w:val="center"/>
                </w:tcPr>
                <w:p w14:paraId="77BAC3FC">
                  <w:pPr>
                    <w:jc w:val="center"/>
                    <w:rPr>
                      <w:rFonts w:ascii="Times New Roman" w:hAnsi="Times New Roman" w:cs="Times New Roman"/>
                      <w:szCs w:val="21"/>
                    </w:rPr>
                  </w:pPr>
                  <w:r>
                    <w:rPr>
                      <w:rFonts w:hint="eastAsia" w:ascii="Times New Roman" w:hAnsi="Times New Roman" w:cs="Times New Roman"/>
                      <w:szCs w:val="21"/>
                    </w:rPr>
                    <w:t>116</w:t>
                  </w:r>
                </w:p>
              </w:tc>
              <w:tc>
                <w:tcPr>
                  <w:tcW w:w="1412" w:type="dxa"/>
                  <w:tcBorders>
                    <w:tl2br w:val="nil"/>
                    <w:tr2bl w:val="nil"/>
                  </w:tcBorders>
                  <w:vAlign w:val="center"/>
                </w:tcPr>
                <w:p w14:paraId="52FD828C">
                  <w:pPr>
                    <w:jc w:val="center"/>
                    <w:rPr>
                      <w:rFonts w:ascii="Times New Roman" w:hAnsi="Times New Roman" w:cs="Times New Roman"/>
                      <w:szCs w:val="21"/>
                    </w:rPr>
                  </w:pPr>
                  <w:r>
                    <w:rPr>
                      <w:rFonts w:hint="eastAsia" w:ascii="Times New Roman" w:hAnsi="Times New Roman" w:cs="Times New Roman"/>
                      <w:szCs w:val="21"/>
                    </w:rPr>
                    <w:t>124</w:t>
                  </w:r>
                </w:p>
              </w:tc>
            </w:tr>
            <w:tr w14:paraId="78FE0FDA">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7918" w:type="dxa"/>
                  <w:gridSpan w:val="6"/>
                  <w:tcBorders>
                    <w:tl2br w:val="nil"/>
                    <w:tr2bl w:val="nil"/>
                  </w:tcBorders>
                  <w:vAlign w:val="center"/>
                </w:tcPr>
                <w:p w14:paraId="4C9B32F0">
                  <w:pPr>
                    <w:rPr>
                      <w:rFonts w:ascii="Times New Roman" w:hAnsi="Times New Roman" w:cs="Times New Roman"/>
                      <w:szCs w:val="21"/>
                    </w:rPr>
                  </w:pPr>
                  <w:r>
                    <w:rPr>
                      <w:rFonts w:hint="eastAsia" w:ascii="Times New Roman" w:hAnsi="Times New Roman" w:cs="Times New Roman"/>
                      <w:szCs w:val="21"/>
                    </w:rPr>
                    <w:t>注：</w:t>
                  </w:r>
                  <w:r>
                    <w:rPr>
                      <w:rFonts w:ascii="Times New Roman" w:hAnsi="Times New Roman" w:cs="Times New Roman"/>
                      <w:szCs w:val="21"/>
                    </w:rPr>
                    <w:t>“</w:t>
                  </w:r>
                  <w:r>
                    <w:rPr>
                      <w:rFonts w:hint="eastAsia" w:ascii="Times New Roman" w:hAnsi="Times New Roman" w:cs="Times New Roman"/>
                      <w:szCs w:val="21"/>
                    </w:rPr>
                    <w:t>ND</w:t>
                  </w:r>
                  <w:r>
                    <w:rPr>
                      <w:rFonts w:ascii="Times New Roman" w:hAnsi="Times New Roman" w:cs="Times New Roman"/>
                      <w:szCs w:val="21"/>
                    </w:rPr>
                    <w:t>”表示检测结果低于</w:t>
                  </w:r>
                  <w:r>
                    <w:rPr>
                      <w:rFonts w:hint="eastAsia" w:ascii="Times New Roman" w:hAnsi="Times New Roman" w:cs="Times New Roman"/>
                      <w:szCs w:val="21"/>
                    </w:rPr>
                    <w:t>方法</w:t>
                  </w:r>
                  <w:r>
                    <w:rPr>
                      <w:rFonts w:ascii="Times New Roman" w:hAnsi="Times New Roman" w:cs="Times New Roman"/>
                      <w:szCs w:val="21"/>
                    </w:rPr>
                    <w:t>检出限，即未检出。</w:t>
                  </w:r>
                </w:p>
              </w:tc>
            </w:tr>
          </w:tbl>
          <w:p w14:paraId="45B32943">
            <w:pPr>
              <w:widowControl/>
              <w:wordWrap w:val="0"/>
              <w:topLinePunct/>
              <w:adjustRightInd w:val="0"/>
              <w:snapToGrid w:val="0"/>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表3-3（续） 环境空气质量现状检测结果一览表</w:t>
            </w:r>
          </w:p>
          <w:tbl>
            <w:tblPr>
              <w:tblStyle w:val="28"/>
              <w:tblW w:w="7979" w:type="dxa"/>
              <w:jc w:val="center"/>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Layout w:type="fixed"/>
              <w:tblCellMar>
                <w:top w:w="15" w:type="dxa"/>
                <w:left w:w="15" w:type="dxa"/>
                <w:bottom w:w="15" w:type="dxa"/>
                <w:right w:w="15" w:type="dxa"/>
              </w:tblCellMar>
            </w:tblPr>
            <w:tblGrid>
              <w:gridCol w:w="1410"/>
              <w:gridCol w:w="1199"/>
              <w:gridCol w:w="1733"/>
              <w:gridCol w:w="1932"/>
              <w:gridCol w:w="1705"/>
            </w:tblGrid>
            <w:tr w14:paraId="7FC4C6BC">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410" w:type="dxa"/>
                  <w:vMerge w:val="restart"/>
                  <w:tcBorders>
                    <w:tl2br w:val="nil"/>
                    <w:tr2bl w:val="nil"/>
                  </w:tcBorders>
                  <w:vAlign w:val="center"/>
                </w:tcPr>
                <w:p w14:paraId="0542CDFA">
                  <w:pPr>
                    <w:widowControl/>
                    <w:jc w:val="center"/>
                    <w:rPr>
                      <w:rFonts w:ascii="Times New Roman" w:hAnsi="Times New Roman" w:cs="Times New Roman"/>
                      <w:b/>
                      <w:bCs/>
                      <w:szCs w:val="21"/>
                    </w:rPr>
                  </w:pPr>
                  <w:r>
                    <w:rPr>
                      <w:rFonts w:hint="eastAsia" w:ascii="Times New Roman" w:hAnsi="Times New Roman" w:cs="Times New Roman"/>
                      <w:b/>
                      <w:bCs/>
                      <w:szCs w:val="21"/>
                    </w:rPr>
                    <w:t>检测点位</w:t>
                  </w:r>
                </w:p>
              </w:tc>
              <w:tc>
                <w:tcPr>
                  <w:tcW w:w="1199" w:type="dxa"/>
                  <w:vMerge w:val="restart"/>
                  <w:tcBorders>
                    <w:tl2br w:val="nil"/>
                    <w:tr2bl w:val="nil"/>
                  </w:tcBorders>
                  <w:vAlign w:val="center"/>
                </w:tcPr>
                <w:p w14:paraId="6EE4B31A">
                  <w:pPr>
                    <w:widowControl/>
                    <w:jc w:val="center"/>
                    <w:rPr>
                      <w:rFonts w:ascii="Times New Roman" w:hAnsi="Times New Roman" w:cs="Times New Roman"/>
                      <w:b/>
                      <w:bCs/>
                      <w:szCs w:val="21"/>
                    </w:rPr>
                  </w:pPr>
                  <w:r>
                    <w:rPr>
                      <w:rFonts w:ascii="Times New Roman" w:hAnsi="Times New Roman" w:cs="Times New Roman"/>
                      <w:b/>
                      <w:bCs/>
                      <w:szCs w:val="21"/>
                    </w:rPr>
                    <w:t>检测</w:t>
                  </w:r>
                </w:p>
                <w:p w14:paraId="56B7F0FE">
                  <w:pPr>
                    <w:widowControl/>
                    <w:jc w:val="center"/>
                    <w:rPr>
                      <w:rFonts w:ascii="Times New Roman" w:hAnsi="Times New Roman" w:cs="Times New Roman"/>
                      <w:b/>
                      <w:bCs/>
                      <w:szCs w:val="21"/>
                    </w:rPr>
                  </w:pPr>
                  <w:r>
                    <w:rPr>
                      <w:rFonts w:ascii="Times New Roman" w:hAnsi="Times New Roman" w:cs="Times New Roman"/>
                      <w:b/>
                      <w:bCs/>
                      <w:szCs w:val="21"/>
                    </w:rPr>
                    <w:t>频次</w:t>
                  </w:r>
                </w:p>
              </w:tc>
              <w:tc>
                <w:tcPr>
                  <w:tcW w:w="5370" w:type="dxa"/>
                  <w:gridSpan w:val="3"/>
                  <w:tcBorders>
                    <w:tl2br w:val="nil"/>
                    <w:tr2bl w:val="nil"/>
                  </w:tcBorders>
                  <w:vAlign w:val="center"/>
                </w:tcPr>
                <w:p w14:paraId="69A5268C">
                  <w:pPr>
                    <w:widowControl/>
                    <w:jc w:val="center"/>
                    <w:textAlignment w:val="center"/>
                    <w:rPr>
                      <w:rFonts w:ascii="Times New Roman" w:hAnsi="Times New Roman" w:cs="Times New Roman"/>
                      <w:b/>
                      <w:bCs/>
                      <w:szCs w:val="21"/>
                    </w:rPr>
                  </w:pPr>
                  <w:r>
                    <w:rPr>
                      <w:rFonts w:hint="eastAsia" w:ascii="Times New Roman" w:hAnsi="Times New Roman" w:cs="Times New Roman"/>
                      <w:b/>
                      <w:bCs/>
                      <w:szCs w:val="21"/>
                    </w:rPr>
                    <w:t>检测项目、</w:t>
                  </w:r>
                  <w:r>
                    <w:rPr>
                      <w:rFonts w:ascii="Times New Roman" w:hAnsi="Times New Roman" w:cs="Times New Roman"/>
                      <w:b/>
                      <w:bCs/>
                      <w:szCs w:val="21"/>
                    </w:rPr>
                    <w:t>检测日期</w:t>
                  </w:r>
                  <w:r>
                    <w:rPr>
                      <w:rFonts w:hint="eastAsia" w:ascii="Times New Roman" w:hAnsi="Times New Roman" w:cs="Times New Roman"/>
                      <w:b/>
                      <w:bCs/>
                      <w:szCs w:val="21"/>
                    </w:rPr>
                    <w:t>、</w:t>
                  </w:r>
                  <w:r>
                    <w:rPr>
                      <w:rFonts w:ascii="Times New Roman" w:hAnsi="Times New Roman" w:cs="Times New Roman"/>
                      <w:b/>
                      <w:bCs/>
                      <w:szCs w:val="21"/>
                    </w:rPr>
                    <w:t>检测结果</w:t>
                  </w:r>
                </w:p>
              </w:tc>
            </w:tr>
            <w:tr w14:paraId="67AE3A36">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410" w:type="dxa"/>
                  <w:vMerge w:val="continue"/>
                  <w:tcBorders>
                    <w:tl2br w:val="nil"/>
                    <w:tr2bl w:val="nil"/>
                  </w:tcBorders>
                  <w:vAlign w:val="center"/>
                </w:tcPr>
                <w:p w14:paraId="3B09207E">
                  <w:pPr>
                    <w:widowControl/>
                    <w:jc w:val="center"/>
                    <w:rPr>
                      <w:rFonts w:ascii="Times New Roman" w:hAnsi="Times New Roman" w:cs="Times New Roman"/>
                      <w:b/>
                      <w:bCs/>
                      <w:szCs w:val="21"/>
                    </w:rPr>
                  </w:pPr>
                </w:p>
              </w:tc>
              <w:tc>
                <w:tcPr>
                  <w:tcW w:w="1199" w:type="dxa"/>
                  <w:vMerge w:val="continue"/>
                  <w:tcBorders>
                    <w:tl2br w:val="nil"/>
                    <w:tr2bl w:val="nil"/>
                  </w:tcBorders>
                  <w:vAlign w:val="center"/>
                </w:tcPr>
                <w:p w14:paraId="683067E6">
                  <w:pPr>
                    <w:widowControl/>
                    <w:jc w:val="center"/>
                    <w:rPr>
                      <w:rFonts w:ascii="Times New Roman" w:hAnsi="Times New Roman" w:cs="Times New Roman"/>
                      <w:b/>
                      <w:bCs/>
                      <w:szCs w:val="21"/>
                    </w:rPr>
                  </w:pPr>
                </w:p>
              </w:tc>
              <w:tc>
                <w:tcPr>
                  <w:tcW w:w="5370" w:type="dxa"/>
                  <w:gridSpan w:val="3"/>
                  <w:tcBorders>
                    <w:tl2br w:val="nil"/>
                    <w:tr2bl w:val="nil"/>
                  </w:tcBorders>
                  <w:vAlign w:val="center"/>
                </w:tcPr>
                <w:p w14:paraId="240ED280">
                  <w:pPr>
                    <w:widowControl/>
                    <w:jc w:val="center"/>
                    <w:textAlignment w:val="center"/>
                    <w:rPr>
                      <w:rFonts w:ascii="Times New Roman" w:hAnsi="Times New Roman" w:cs="Times New Roman"/>
                      <w:b/>
                      <w:bCs/>
                      <w:szCs w:val="21"/>
                    </w:rPr>
                  </w:pPr>
                  <w:r>
                    <w:rPr>
                      <w:rFonts w:hint="eastAsia" w:ascii="Times New Roman" w:hAnsi="Times New Roman" w:eastAsia="宋体" w:cs="Times New Roman"/>
                      <w:b/>
                      <w:kern w:val="0"/>
                      <w:szCs w:val="21"/>
                    </w:rPr>
                    <w:t>氮氧化物</w:t>
                  </w:r>
                  <w:r>
                    <w:rPr>
                      <w:rFonts w:hint="eastAsia" w:ascii="Times New Roman" w:hAnsi="Times New Roman" w:eastAsia="宋体" w:cs="Times New Roman"/>
                      <w:b/>
                      <w:szCs w:val="21"/>
                    </w:rPr>
                    <w:t>（</w:t>
                  </w:r>
                  <w:r>
                    <w:rPr>
                      <w:rFonts w:ascii="Times New Roman" w:hAnsi="Times New Roman" w:eastAsia="宋体" w:cs="Times New Roman"/>
                      <w:b/>
                      <w:szCs w:val="21"/>
                    </w:rPr>
                    <w:t>μg/m³</w:t>
                  </w:r>
                  <w:r>
                    <w:rPr>
                      <w:rFonts w:hint="eastAsia" w:ascii="Times New Roman" w:hAnsi="Times New Roman" w:eastAsia="宋体" w:cs="Times New Roman"/>
                      <w:b/>
                      <w:szCs w:val="21"/>
                    </w:rPr>
                    <w:t>）</w:t>
                  </w:r>
                </w:p>
              </w:tc>
            </w:tr>
            <w:tr w14:paraId="39D91102">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410" w:type="dxa"/>
                  <w:vMerge w:val="continue"/>
                  <w:tcBorders>
                    <w:tl2br w:val="nil"/>
                    <w:tr2bl w:val="nil"/>
                  </w:tcBorders>
                  <w:vAlign w:val="center"/>
                </w:tcPr>
                <w:p w14:paraId="21FC0EEC">
                  <w:pPr>
                    <w:widowControl/>
                    <w:jc w:val="center"/>
                    <w:rPr>
                      <w:rFonts w:ascii="Times New Roman" w:hAnsi="Times New Roman" w:cs="Times New Roman"/>
                      <w:b/>
                      <w:bCs/>
                      <w:szCs w:val="21"/>
                    </w:rPr>
                  </w:pPr>
                </w:p>
              </w:tc>
              <w:tc>
                <w:tcPr>
                  <w:tcW w:w="1199" w:type="dxa"/>
                  <w:vMerge w:val="continue"/>
                  <w:tcBorders>
                    <w:tl2br w:val="nil"/>
                    <w:tr2bl w:val="nil"/>
                  </w:tcBorders>
                  <w:vAlign w:val="center"/>
                </w:tcPr>
                <w:p w14:paraId="5DD53D63">
                  <w:pPr>
                    <w:widowControl/>
                    <w:jc w:val="center"/>
                    <w:rPr>
                      <w:rFonts w:ascii="Times New Roman" w:hAnsi="Times New Roman" w:cs="Times New Roman"/>
                      <w:b/>
                      <w:bCs/>
                      <w:szCs w:val="21"/>
                    </w:rPr>
                  </w:pPr>
                </w:p>
              </w:tc>
              <w:tc>
                <w:tcPr>
                  <w:tcW w:w="1733" w:type="dxa"/>
                  <w:tcBorders>
                    <w:tl2br w:val="nil"/>
                    <w:tr2bl w:val="nil"/>
                  </w:tcBorders>
                  <w:vAlign w:val="center"/>
                </w:tcPr>
                <w:p w14:paraId="58A0EE02">
                  <w:pPr>
                    <w:widowControl/>
                    <w:jc w:val="center"/>
                    <w:textAlignment w:val="center"/>
                    <w:rPr>
                      <w:rFonts w:ascii="Times New Roman" w:hAnsi="Times New Roman" w:eastAsia="宋体" w:cs="Times New Roman"/>
                      <w:b/>
                      <w:bCs/>
                      <w:szCs w:val="21"/>
                    </w:rPr>
                  </w:pPr>
                  <w:r>
                    <w:rPr>
                      <w:rFonts w:hint="eastAsia" w:ascii="Times New Roman" w:hAnsi="Times New Roman" w:eastAsia="宋体" w:cs="Times New Roman"/>
                      <w:b/>
                      <w:bCs/>
                      <w:szCs w:val="21"/>
                    </w:rPr>
                    <w:t>2026.06.06</w:t>
                  </w:r>
                </w:p>
              </w:tc>
              <w:tc>
                <w:tcPr>
                  <w:tcW w:w="1932" w:type="dxa"/>
                  <w:tcBorders>
                    <w:tl2br w:val="nil"/>
                    <w:tr2bl w:val="nil"/>
                  </w:tcBorders>
                  <w:vAlign w:val="center"/>
                </w:tcPr>
                <w:p w14:paraId="30D7A3E9">
                  <w:pPr>
                    <w:widowControl/>
                    <w:jc w:val="center"/>
                    <w:textAlignment w:val="center"/>
                    <w:rPr>
                      <w:rFonts w:ascii="Times New Roman" w:hAnsi="Times New Roman" w:eastAsia="宋体" w:cs="Times New Roman"/>
                      <w:b/>
                      <w:bCs/>
                      <w:szCs w:val="21"/>
                    </w:rPr>
                  </w:pPr>
                  <w:r>
                    <w:rPr>
                      <w:rFonts w:hint="eastAsia" w:ascii="Times New Roman" w:hAnsi="Times New Roman" w:eastAsia="宋体" w:cs="Times New Roman"/>
                      <w:b/>
                      <w:bCs/>
                      <w:szCs w:val="21"/>
                    </w:rPr>
                    <w:t>2026.06.07</w:t>
                  </w:r>
                </w:p>
              </w:tc>
              <w:tc>
                <w:tcPr>
                  <w:tcW w:w="1705" w:type="dxa"/>
                  <w:tcBorders>
                    <w:tl2br w:val="nil"/>
                    <w:tr2bl w:val="nil"/>
                  </w:tcBorders>
                  <w:vAlign w:val="center"/>
                </w:tcPr>
                <w:p w14:paraId="5BB7EBAC">
                  <w:pPr>
                    <w:widowControl/>
                    <w:jc w:val="center"/>
                    <w:textAlignment w:val="center"/>
                    <w:rPr>
                      <w:rFonts w:ascii="Times New Roman" w:hAnsi="Times New Roman" w:eastAsia="宋体" w:cs="Times New Roman"/>
                      <w:b/>
                      <w:bCs/>
                      <w:szCs w:val="21"/>
                    </w:rPr>
                  </w:pPr>
                  <w:r>
                    <w:rPr>
                      <w:rFonts w:hint="eastAsia" w:ascii="Times New Roman" w:hAnsi="Times New Roman" w:eastAsia="宋体" w:cs="Times New Roman"/>
                      <w:b/>
                      <w:bCs/>
                      <w:szCs w:val="21"/>
                    </w:rPr>
                    <w:t>2026.06.08</w:t>
                  </w:r>
                </w:p>
              </w:tc>
            </w:tr>
            <w:tr w14:paraId="62B78BCD">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410" w:type="dxa"/>
                  <w:vMerge w:val="restart"/>
                  <w:tcBorders>
                    <w:tl2br w:val="nil"/>
                    <w:tr2bl w:val="nil"/>
                  </w:tcBorders>
                  <w:vAlign w:val="center"/>
                </w:tcPr>
                <w:p w14:paraId="576E464D">
                  <w:pPr>
                    <w:widowControl/>
                    <w:jc w:val="center"/>
                    <w:rPr>
                      <w:rFonts w:ascii="Times New Roman" w:hAnsi="Times New Roman" w:eastAsia="宋体" w:cs="Times New Roman"/>
                      <w:szCs w:val="21"/>
                    </w:rPr>
                  </w:pPr>
                  <w:r>
                    <w:rPr>
                      <w:rFonts w:hint="eastAsia" w:ascii="Times New Roman" w:hAnsi="Times New Roman" w:eastAsia="宋体" w:cs="Times New Roman"/>
                      <w:bCs/>
                      <w:kern w:val="0"/>
                      <w:szCs w:val="21"/>
                    </w:rPr>
                    <w:t xml:space="preserve"> 1# 厂址 </w:t>
                  </w:r>
                </w:p>
              </w:tc>
              <w:tc>
                <w:tcPr>
                  <w:tcW w:w="1199" w:type="dxa"/>
                  <w:tcBorders>
                    <w:tl2br w:val="nil"/>
                    <w:tr2bl w:val="nil"/>
                  </w:tcBorders>
                  <w:vAlign w:val="center"/>
                </w:tcPr>
                <w:p w14:paraId="3C8BEA3D">
                  <w:pPr>
                    <w:widowControl/>
                    <w:jc w:val="center"/>
                    <w:rPr>
                      <w:rFonts w:ascii="Times New Roman" w:hAnsi="Times New Roman" w:cs="Times New Roman"/>
                      <w:spacing w:val="-11"/>
                      <w:szCs w:val="21"/>
                    </w:rPr>
                  </w:pPr>
                  <w:r>
                    <w:rPr>
                      <w:rFonts w:ascii="Times New Roman" w:hAnsi="Times New Roman" w:cs="Times New Roman"/>
                      <w:spacing w:val="-11"/>
                      <w:szCs w:val="21"/>
                    </w:rPr>
                    <w:t>第1次</w:t>
                  </w:r>
                </w:p>
              </w:tc>
              <w:tc>
                <w:tcPr>
                  <w:tcW w:w="1733" w:type="dxa"/>
                  <w:tcBorders>
                    <w:tl2br w:val="nil"/>
                    <w:tr2bl w:val="nil"/>
                  </w:tcBorders>
                  <w:vAlign w:val="center"/>
                </w:tcPr>
                <w:p w14:paraId="5EA60013">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20</w:t>
                  </w:r>
                </w:p>
              </w:tc>
              <w:tc>
                <w:tcPr>
                  <w:tcW w:w="1932" w:type="dxa"/>
                  <w:tcBorders>
                    <w:tl2br w:val="nil"/>
                    <w:tr2bl w:val="nil"/>
                  </w:tcBorders>
                  <w:vAlign w:val="center"/>
                </w:tcPr>
                <w:p w14:paraId="215DB18B">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20</w:t>
                  </w:r>
                </w:p>
              </w:tc>
              <w:tc>
                <w:tcPr>
                  <w:tcW w:w="1705" w:type="dxa"/>
                  <w:tcBorders>
                    <w:tl2br w:val="nil"/>
                    <w:tr2bl w:val="nil"/>
                  </w:tcBorders>
                  <w:vAlign w:val="center"/>
                </w:tcPr>
                <w:p w14:paraId="2270F6C4">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21</w:t>
                  </w:r>
                </w:p>
              </w:tc>
            </w:tr>
            <w:tr w14:paraId="19082127">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PrEx>
              <w:trPr>
                <w:trHeight w:val="312" w:hRule="atLeast"/>
                <w:jc w:val="center"/>
              </w:trPr>
              <w:tc>
                <w:tcPr>
                  <w:tcW w:w="1410" w:type="dxa"/>
                  <w:vMerge w:val="continue"/>
                  <w:tcBorders>
                    <w:tl2br w:val="nil"/>
                    <w:tr2bl w:val="nil"/>
                  </w:tcBorders>
                  <w:vAlign w:val="center"/>
                </w:tcPr>
                <w:p w14:paraId="367B2611">
                  <w:pPr>
                    <w:widowControl/>
                    <w:jc w:val="center"/>
                    <w:rPr>
                      <w:rFonts w:ascii="Times New Roman" w:hAnsi="Times New Roman" w:cs="Times New Roman"/>
                      <w:szCs w:val="21"/>
                    </w:rPr>
                  </w:pPr>
                </w:p>
              </w:tc>
              <w:tc>
                <w:tcPr>
                  <w:tcW w:w="1199" w:type="dxa"/>
                  <w:tcBorders>
                    <w:tl2br w:val="nil"/>
                    <w:tr2bl w:val="nil"/>
                  </w:tcBorders>
                  <w:vAlign w:val="center"/>
                </w:tcPr>
                <w:p w14:paraId="2D7037EA">
                  <w:pPr>
                    <w:widowControl/>
                    <w:jc w:val="center"/>
                    <w:rPr>
                      <w:rFonts w:ascii="Times New Roman" w:hAnsi="Times New Roman" w:cs="Times New Roman"/>
                      <w:spacing w:val="-11"/>
                      <w:szCs w:val="21"/>
                    </w:rPr>
                  </w:pPr>
                  <w:r>
                    <w:rPr>
                      <w:rFonts w:ascii="Times New Roman" w:hAnsi="Times New Roman" w:cs="Times New Roman"/>
                      <w:spacing w:val="-11"/>
                      <w:szCs w:val="21"/>
                    </w:rPr>
                    <w:t>第2次</w:t>
                  </w:r>
                </w:p>
              </w:tc>
              <w:tc>
                <w:tcPr>
                  <w:tcW w:w="1733" w:type="dxa"/>
                  <w:tcBorders>
                    <w:tl2br w:val="nil"/>
                    <w:tr2bl w:val="nil"/>
                  </w:tcBorders>
                  <w:vAlign w:val="center"/>
                </w:tcPr>
                <w:p w14:paraId="451DC866">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23</w:t>
                  </w:r>
                </w:p>
              </w:tc>
              <w:tc>
                <w:tcPr>
                  <w:tcW w:w="1932" w:type="dxa"/>
                  <w:tcBorders>
                    <w:tl2br w:val="nil"/>
                    <w:tr2bl w:val="nil"/>
                  </w:tcBorders>
                  <w:vAlign w:val="center"/>
                </w:tcPr>
                <w:p w14:paraId="229DDA55">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21</w:t>
                  </w:r>
                </w:p>
              </w:tc>
              <w:tc>
                <w:tcPr>
                  <w:tcW w:w="1705" w:type="dxa"/>
                  <w:tcBorders>
                    <w:tl2br w:val="nil"/>
                    <w:tr2bl w:val="nil"/>
                  </w:tcBorders>
                  <w:vAlign w:val="center"/>
                </w:tcPr>
                <w:p w14:paraId="1CCDAA39">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20</w:t>
                  </w:r>
                </w:p>
              </w:tc>
            </w:tr>
            <w:tr w14:paraId="35D680CC">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410" w:type="dxa"/>
                  <w:vMerge w:val="continue"/>
                  <w:tcBorders>
                    <w:tl2br w:val="nil"/>
                    <w:tr2bl w:val="nil"/>
                  </w:tcBorders>
                  <w:vAlign w:val="center"/>
                </w:tcPr>
                <w:p w14:paraId="67ECA3D7">
                  <w:pPr>
                    <w:widowControl/>
                    <w:jc w:val="center"/>
                    <w:rPr>
                      <w:rFonts w:ascii="Times New Roman" w:hAnsi="Times New Roman" w:cs="Times New Roman"/>
                      <w:szCs w:val="21"/>
                    </w:rPr>
                  </w:pPr>
                </w:p>
              </w:tc>
              <w:tc>
                <w:tcPr>
                  <w:tcW w:w="1199" w:type="dxa"/>
                  <w:tcBorders>
                    <w:tl2br w:val="nil"/>
                    <w:tr2bl w:val="nil"/>
                  </w:tcBorders>
                  <w:vAlign w:val="center"/>
                </w:tcPr>
                <w:p w14:paraId="7C5664AA">
                  <w:pPr>
                    <w:widowControl/>
                    <w:jc w:val="center"/>
                    <w:rPr>
                      <w:rFonts w:ascii="Times New Roman" w:hAnsi="Times New Roman" w:cs="Times New Roman"/>
                      <w:spacing w:val="-11"/>
                      <w:szCs w:val="21"/>
                    </w:rPr>
                  </w:pPr>
                  <w:r>
                    <w:rPr>
                      <w:rFonts w:ascii="Times New Roman" w:hAnsi="Times New Roman" w:cs="Times New Roman"/>
                      <w:spacing w:val="-11"/>
                      <w:szCs w:val="21"/>
                    </w:rPr>
                    <w:t>第</w:t>
                  </w:r>
                  <w:r>
                    <w:rPr>
                      <w:rFonts w:hint="eastAsia" w:ascii="Times New Roman" w:hAnsi="Times New Roman" w:cs="Times New Roman"/>
                      <w:spacing w:val="-11"/>
                      <w:szCs w:val="21"/>
                    </w:rPr>
                    <w:t>3</w:t>
                  </w:r>
                  <w:r>
                    <w:rPr>
                      <w:rFonts w:ascii="Times New Roman" w:hAnsi="Times New Roman" w:cs="Times New Roman"/>
                      <w:spacing w:val="-11"/>
                      <w:szCs w:val="21"/>
                    </w:rPr>
                    <w:t>次</w:t>
                  </w:r>
                </w:p>
              </w:tc>
              <w:tc>
                <w:tcPr>
                  <w:tcW w:w="1733" w:type="dxa"/>
                  <w:tcBorders>
                    <w:tl2br w:val="nil"/>
                    <w:tr2bl w:val="nil"/>
                  </w:tcBorders>
                  <w:vAlign w:val="center"/>
                </w:tcPr>
                <w:p w14:paraId="1960CDBD">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21</w:t>
                  </w:r>
                </w:p>
              </w:tc>
              <w:tc>
                <w:tcPr>
                  <w:tcW w:w="1932" w:type="dxa"/>
                  <w:tcBorders>
                    <w:tl2br w:val="nil"/>
                    <w:tr2bl w:val="nil"/>
                  </w:tcBorders>
                  <w:vAlign w:val="center"/>
                </w:tcPr>
                <w:p w14:paraId="31C1886E">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20</w:t>
                  </w:r>
                </w:p>
              </w:tc>
              <w:tc>
                <w:tcPr>
                  <w:tcW w:w="1705" w:type="dxa"/>
                  <w:tcBorders>
                    <w:tl2br w:val="nil"/>
                    <w:tr2bl w:val="nil"/>
                  </w:tcBorders>
                  <w:vAlign w:val="center"/>
                </w:tcPr>
                <w:p w14:paraId="689BA359">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22</w:t>
                  </w:r>
                </w:p>
              </w:tc>
            </w:tr>
            <w:tr w14:paraId="58657E85">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410" w:type="dxa"/>
                  <w:vMerge w:val="continue"/>
                  <w:tcBorders>
                    <w:tl2br w:val="nil"/>
                    <w:tr2bl w:val="nil"/>
                  </w:tcBorders>
                  <w:vAlign w:val="center"/>
                </w:tcPr>
                <w:p w14:paraId="0117E86E">
                  <w:pPr>
                    <w:widowControl/>
                    <w:jc w:val="center"/>
                    <w:rPr>
                      <w:rFonts w:ascii="Times New Roman" w:hAnsi="Times New Roman" w:cs="Times New Roman"/>
                      <w:szCs w:val="21"/>
                    </w:rPr>
                  </w:pPr>
                </w:p>
              </w:tc>
              <w:tc>
                <w:tcPr>
                  <w:tcW w:w="1199" w:type="dxa"/>
                  <w:tcBorders>
                    <w:tl2br w:val="nil"/>
                    <w:tr2bl w:val="nil"/>
                  </w:tcBorders>
                  <w:vAlign w:val="center"/>
                </w:tcPr>
                <w:p w14:paraId="0D3C8108">
                  <w:pPr>
                    <w:widowControl/>
                    <w:jc w:val="center"/>
                    <w:rPr>
                      <w:rFonts w:ascii="Times New Roman" w:hAnsi="Times New Roman" w:cs="Times New Roman"/>
                      <w:spacing w:val="-11"/>
                      <w:szCs w:val="21"/>
                    </w:rPr>
                  </w:pPr>
                  <w:r>
                    <w:rPr>
                      <w:rFonts w:ascii="Times New Roman" w:hAnsi="Times New Roman" w:cs="Times New Roman"/>
                      <w:spacing w:val="-11"/>
                      <w:szCs w:val="21"/>
                    </w:rPr>
                    <w:t>第4次</w:t>
                  </w:r>
                </w:p>
              </w:tc>
              <w:tc>
                <w:tcPr>
                  <w:tcW w:w="1733" w:type="dxa"/>
                  <w:tcBorders>
                    <w:tl2br w:val="nil"/>
                    <w:tr2bl w:val="nil"/>
                  </w:tcBorders>
                  <w:vAlign w:val="center"/>
                </w:tcPr>
                <w:p w14:paraId="652EC4CE">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22</w:t>
                  </w:r>
                </w:p>
              </w:tc>
              <w:tc>
                <w:tcPr>
                  <w:tcW w:w="1932" w:type="dxa"/>
                  <w:tcBorders>
                    <w:tl2br w:val="nil"/>
                    <w:tr2bl w:val="nil"/>
                  </w:tcBorders>
                  <w:vAlign w:val="center"/>
                </w:tcPr>
                <w:p w14:paraId="4E410151">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22</w:t>
                  </w:r>
                </w:p>
              </w:tc>
              <w:tc>
                <w:tcPr>
                  <w:tcW w:w="1705" w:type="dxa"/>
                  <w:tcBorders>
                    <w:tl2br w:val="nil"/>
                    <w:tr2bl w:val="nil"/>
                  </w:tcBorders>
                  <w:vAlign w:val="center"/>
                </w:tcPr>
                <w:p w14:paraId="2EDC66EE">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22</w:t>
                  </w:r>
                </w:p>
              </w:tc>
            </w:tr>
            <w:tr w14:paraId="4537B923">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410" w:type="dxa"/>
                  <w:vMerge w:val="continue"/>
                  <w:tcBorders>
                    <w:tl2br w:val="nil"/>
                    <w:tr2bl w:val="nil"/>
                  </w:tcBorders>
                  <w:vAlign w:val="center"/>
                </w:tcPr>
                <w:p w14:paraId="48B387C9">
                  <w:pPr>
                    <w:widowControl/>
                    <w:jc w:val="center"/>
                    <w:rPr>
                      <w:rFonts w:ascii="Times New Roman" w:hAnsi="Times New Roman" w:cs="Times New Roman"/>
                      <w:szCs w:val="21"/>
                    </w:rPr>
                  </w:pPr>
                </w:p>
              </w:tc>
              <w:tc>
                <w:tcPr>
                  <w:tcW w:w="1199" w:type="dxa"/>
                  <w:tcBorders>
                    <w:tl2br w:val="nil"/>
                    <w:tr2bl w:val="nil"/>
                  </w:tcBorders>
                  <w:vAlign w:val="center"/>
                </w:tcPr>
                <w:p w14:paraId="2A6D1133">
                  <w:pPr>
                    <w:widowControl/>
                    <w:jc w:val="center"/>
                    <w:rPr>
                      <w:rFonts w:ascii="Times New Roman" w:hAnsi="Times New Roman" w:cs="Times New Roman"/>
                      <w:spacing w:val="-11"/>
                      <w:szCs w:val="21"/>
                    </w:rPr>
                  </w:pPr>
                  <w:r>
                    <w:rPr>
                      <w:rFonts w:hint="eastAsia" w:ascii="Times New Roman" w:hAnsi="Times New Roman" w:cs="Times New Roman"/>
                      <w:spacing w:val="-11"/>
                      <w:szCs w:val="21"/>
                    </w:rPr>
                    <w:t>日均值</w:t>
                  </w:r>
                </w:p>
              </w:tc>
              <w:tc>
                <w:tcPr>
                  <w:tcW w:w="1733" w:type="dxa"/>
                  <w:tcBorders>
                    <w:tl2br w:val="nil"/>
                    <w:tr2bl w:val="nil"/>
                  </w:tcBorders>
                  <w:vAlign w:val="center"/>
                </w:tcPr>
                <w:p w14:paraId="35398993">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21</w:t>
                  </w:r>
                </w:p>
              </w:tc>
              <w:tc>
                <w:tcPr>
                  <w:tcW w:w="1932" w:type="dxa"/>
                  <w:tcBorders>
                    <w:tl2br w:val="nil"/>
                    <w:tr2bl w:val="nil"/>
                  </w:tcBorders>
                  <w:vAlign w:val="center"/>
                </w:tcPr>
                <w:p w14:paraId="7B5FA125">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23</w:t>
                  </w:r>
                </w:p>
              </w:tc>
              <w:tc>
                <w:tcPr>
                  <w:tcW w:w="1705" w:type="dxa"/>
                  <w:tcBorders>
                    <w:tl2br w:val="nil"/>
                    <w:tr2bl w:val="nil"/>
                  </w:tcBorders>
                  <w:vAlign w:val="center"/>
                </w:tcPr>
                <w:p w14:paraId="1EB5F2FE">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20</w:t>
                  </w:r>
                </w:p>
              </w:tc>
            </w:tr>
            <w:tr w14:paraId="0481177A">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410" w:type="dxa"/>
                  <w:vMerge w:val="restart"/>
                  <w:tcBorders>
                    <w:tl2br w:val="nil"/>
                    <w:tr2bl w:val="nil"/>
                  </w:tcBorders>
                  <w:vAlign w:val="center"/>
                </w:tcPr>
                <w:p w14:paraId="05C65CC5">
                  <w:pPr>
                    <w:widowControl/>
                    <w:jc w:val="center"/>
                    <w:rPr>
                      <w:rFonts w:ascii="Times New Roman" w:hAnsi="Times New Roman" w:eastAsia="宋体" w:cs="Times New Roman"/>
                      <w:szCs w:val="21"/>
                    </w:rPr>
                  </w:pPr>
                  <w:r>
                    <w:rPr>
                      <w:rFonts w:hint="eastAsia" w:ascii="Times New Roman" w:hAnsi="Times New Roman" w:eastAsia="宋体" w:cs="Times New Roman"/>
                      <w:bCs/>
                      <w:kern w:val="0"/>
                      <w:szCs w:val="21"/>
                    </w:rPr>
                    <w:t>2# 板桥村</w:t>
                  </w:r>
                </w:p>
              </w:tc>
              <w:tc>
                <w:tcPr>
                  <w:tcW w:w="1199" w:type="dxa"/>
                  <w:tcBorders>
                    <w:tl2br w:val="nil"/>
                    <w:tr2bl w:val="nil"/>
                  </w:tcBorders>
                  <w:vAlign w:val="center"/>
                </w:tcPr>
                <w:p w14:paraId="25E19802">
                  <w:pPr>
                    <w:widowControl/>
                    <w:jc w:val="center"/>
                    <w:rPr>
                      <w:rFonts w:ascii="Times New Roman" w:hAnsi="Times New Roman" w:cs="Times New Roman"/>
                      <w:spacing w:val="-11"/>
                      <w:szCs w:val="21"/>
                    </w:rPr>
                  </w:pPr>
                  <w:r>
                    <w:rPr>
                      <w:rFonts w:ascii="Times New Roman" w:hAnsi="Times New Roman" w:cs="Times New Roman"/>
                      <w:spacing w:val="-11"/>
                      <w:szCs w:val="21"/>
                    </w:rPr>
                    <w:t>第1次</w:t>
                  </w:r>
                </w:p>
              </w:tc>
              <w:tc>
                <w:tcPr>
                  <w:tcW w:w="1733" w:type="dxa"/>
                  <w:tcBorders>
                    <w:tl2br w:val="nil"/>
                    <w:tr2bl w:val="nil"/>
                  </w:tcBorders>
                  <w:vAlign w:val="center"/>
                </w:tcPr>
                <w:p w14:paraId="5A913F2B">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22</w:t>
                  </w:r>
                </w:p>
              </w:tc>
              <w:tc>
                <w:tcPr>
                  <w:tcW w:w="1932" w:type="dxa"/>
                  <w:tcBorders>
                    <w:tl2br w:val="nil"/>
                    <w:tr2bl w:val="nil"/>
                  </w:tcBorders>
                  <w:vAlign w:val="center"/>
                </w:tcPr>
                <w:p w14:paraId="1131488A">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23</w:t>
                  </w:r>
                </w:p>
              </w:tc>
              <w:tc>
                <w:tcPr>
                  <w:tcW w:w="1705" w:type="dxa"/>
                  <w:tcBorders>
                    <w:tl2br w:val="nil"/>
                    <w:tr2bl w:val="nil"/>
                  </w:tcBorders>
                  <w:vAlign w:val="center"/>
                </w:tcPr>
                <w:p w14:paraId="2AB88989">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21</w:t>
                  </w:r>
                </w:p>
              </w:tc>
            </w:tr>
            <w:tr w14:paraId="4C7AEE47">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410" w:type="dxa"/>
                  <w:vMerge w:val="continue"/>
                  <w:tcBorders>
                    <w:tl2br w:val="nil"/>
                    <w:tr2bl w:val="nil"/>
                  </w:tcBorders>
                  <w:vAlign w:val="center"/>
                </w:tcPr>
                <w:p w14:paraId="676E5A77">
                  <w:pPr>
                    <w:widowControl/>
                    <w:jc w:val="center"/>
                    <w:rPr>
                      <w:rFonts w:ascii="Times New Roman" w:hAnsi="Times New Roman" w:cs="Times New Roman"/>
                      <w:szCs w:val="21"/>
                    </w:rPr>
                  </w:pPr>
                </w:p>
              </w:tc>
              <w:tc>
                <w:tcPr>
                  <w:tcW w:w="1199" w:type="dxa"/>
                  <w:tcBorders>
                    <w:tl2br w:val="nil"/>
                    <w:tr2bl w:val="nil"/>
                  </w:tcBorders>
                  <w:vAlign w:val="center"/>
                </w:tcPr>
                <w:p w14:paraId="0F917B73">
                  <w:pPr>
                    <w:widowControl/>
                    <w:jc w:val="center"/>
                    <w:rPr>
                      <w:rFonts w:ascii="Times New Roman" w:hAnsi="Times New Roman" w:cs="Times New Roman"/>
                      <w:spacing w:val="-11"/>
                      <w:szCs w:val="21"/>
                    </w:rPr>
                  </w:pPr>
                  <w:r>
                    <w:rPr>
                      <w:rFonts w:ascii="Times New Roman" w:hAnsi="Times New Roman" w:cs="Times New Roman"/>
                      <w:spacing w:val="-11"/>
                      <w:szCs w:val="21"/>
                    </w:rPr>
                    <w:t>第2次</w:t>
                  </w:r>
                </w:p>
              </w:tc>
              <w:tc>
                <w:tcPr>
                  <w:tcW w:w="1733" w:type="dxa"/>
                  <w:tcBorders>
                    <w:tl2br w:val="nil"/>
                    <w:tr2bl w:val="nil"/>
                  </w:tcBorders>
                  <w:vAlign w:val="center"/>
                </w:tcPr>
                <w:p w14:paraId="5B3993B0">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19</w:t>
                  </w:r>
                </w:p>
              </w:tc>
              <w:tc>
                <w:tcPr>
                  <w:tcW w:w="1932" w:type="dxa"/>
                  <w:tcBorders>
                    <w:tl2br w:val="nil"/>
                    <w:tr2bl w:val="nil"/>
                  </w:tcBorders>
                  <w:vAlign w:val="center"/>
                </w:tcPr>
                <w:p w14:paraId="4AE3A785">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20</w:t>
                  </w:r>
                </w:p>
              </w:tc>
              <w:tc>
                <w:tcPr>
                  <w:tcW w:w="1705" w:type="dxa"/>
                  <w:tcBorders>
                    <w:tl2br w:val="nil"/>
                    <w:tr2bl w:val="nil"/>
                  </w:tcBorders>
                  <w:vAlign w:val="center"/>
                </w:tcPr>
                <w:p w14:paraId="1A9E7854">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20</w:t>
                  </w:r>
                </w:p>
              </w:tc>
            </w:tr>
            <w:tr w14:paraId="25B29362">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410" w:type="dxa"/>
                  <w:vMerge w:val="continue"/>
                  <w:tcBorders>
                    <w:tl2br w:val="nil"/>
                    <w:tr2bl w:val="nil"/>
                  </w:tcBorders>
                  <w:vAlign w:val="center"/>
                </w:tcPr>
                <w:p w14:paraId="231409BD">
                  <w:pPr>
                    <w:widowControl/>
                    <w:jc w:val="center"/>
                    <w:rPr>
                      <w:rFonts w:ascii="Times New Roman" w:hAnsi="Times New Roman" w:cs="Times New Roman"/>
                      <w:szCs w:val="21"/>
                    </w:rPr>
                  </w:pPr>
                </w:p>
              </w:tc>
              <w:tc>
                <w:tcPr>
                  <w:tcW w:w="1199" w:type="dxa"/>
                  <w:tcBorders>
                    <w:tl2br w:val="nil"/>
                    <w:tr2bl w:val="nil"/>
                  </w:tcBorders>
                  <w:vAlign w:val="center"/>
                </w:tcPr>
                <w:p w14:paraId="52C6595F">
                  <w:pPr>
                    <w:widowControl/>
                    <w:jc w:val="center"/>
                    <w:rPr>
                      <w:rFonts w:ascii="Times New Roman" w:hAnsi="Times New Roman" w:cs="Times New Roman"/>
                      <w:spacing w:val="-11"/>
                      <w:szCs w:val="21"/>
                    </w:rPr>
                  </w:pPr>
                  <w:r>
                    <w:rPr>
                      <w:rFonts w:ascii="Times New Roman" w:hAnsi="Times New Roman" w:cs="Times New Roman"/>
                      <w:spacing w:val="-11"/>
                      <w:szCs w:val="21"/>
                    </w:rPr>
                    <w:t>第</w:t>
                  </w:r>
                  <w:r>
                    <w:rPr>
                      <w:rFonts w:hint="eastAsia" w:ascii="Times New Roman" w:hAnsi="Times New Roman" w:cs="Times New Roman"/>
                      <w:spacing w:val="-11"/>
                      <w:szCs w:val="21"/>
                    </w:rPr>
                    <w:t>3</w:t>
                  </w:r>
                  <w:r>
                    <w:rPr>
                      <w:rFonts w:ascii="Times New Roman" w:hAnsi="Times New Roman" w:cs="Times New Roman"/>
                      <w:spacing w:val="-11"/>
                      <w:szCs w:val="21"/>
                    </w:rPr>
                    <w:t>次</w:t>
                  </w:r>
                </w:p>
              </w:tc>
              <w:tc>
                <w:tcPr>
                  <w:tcW w:w="1733" w:type="dxa"/>
                  <w:tcBorders>
                    <w:tl2br w:val="nil"/>
                    <w:tr2bl w:val="nil"/>
                  </w:tcBorders>
                  <w:vAlign w:val="center"/>
                </w:tcPr>
                <w:p w14:paraId="1E5F76D1">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21</w:t>
                  </w:r>
                </w:p>
              </w:tc>
              <w:tc>
                <w:tcPr>
                  <w:tcW w:w="1932" w:type="dxa"/>
                  <w:tcBorders>
                    <w:tl2br w:val="nil"/>
                    <w:tr2bl w:val="nil"/>
                  </w:tcBorders>
                  <w:vAlign w:val="center"/>
                </w:tcPr>
                <w:p w14:paraId="4F5DF994">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21</w:t>
                  </w:r>
                </w:p>
              </w:tc>
              <w:tc>
                <w:tcPr>
                  <w:tcW w:w="1705" w:type="dxa"/>
                  <w:tcBorders>
                    <w:tl2br w:val="nil"/>
                    <w:tr2bl w:val="nil"/>
                  </w:tcBorders>
                  <w:vAlign w:val="center"/>
                </w:tcPr>
                <w:p w14:paraId="633C91CF">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22</w:t>
                  </w:r>
                </w:p>
              </w:tc>
            </w:tr>
            <w:tr w14:paraId="432E645C">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410" w:type="dxa"/>
                  <w:vMerge w:val="continue"/>
                  <w:tcBorders>
                    <w:tl2br w:val="nil"/>
                    <w:tr2bl w:val="nil"/>
                  </w:tcBorders>
                  <w:vAlign w:val="center"/>
                </w:tcPr>
                <w:p w14:paraId="4ECCE0A1">
                  <w:pPr>
                    <w:widowControl/>
                    <w:jc w:val="center"/>
                    <w:rPr>
                      <w:rFonts w:ascii="Times New Roman" w:hAnsi="Times New Roman" w:cs="Times New Roman"/>
                      <w:szCs w:val="21"/>
                    </w:rPr>
                  </w:pPr>
                </w:p>
              </w:tc>
              <w:tc>
                <w:tcPr>
                  <w:tcW w:w="1199" w:type="dxa"/>
                  <w:tcBorders>
                    <w:tl2br w:val="nil"/>
                    <w:tr2bl w:val="nil"/>
                  </w:tcBorders>
                  <w:vAlign w:val="center"/>
                </w:tcPr>
                <w:p w14:paraId="24D26C03">
                  <w:pPr>
                    <w:widowControl/>
                    <w:jc w:val="center"/>
                    <w:rPr>
                      <w:rFonts w:ascii="Times New Roman" w:hAnsi="Times New Roman" w:cs="Times New Roman"/>
                      <w:spacing w:val="-11"/>
                      <w:szCs w:val="21"/>
                    </w:rPr>
                  </w:pPr>
                  <w:r>
                    <w:rPr>
                      <w:rFonts w:ascii="Times New Roman" w:hAnsi="Times New Roman" w:cs="Times New Roman"/>
                      <w:spacing w:val="-11"/>
                      <w:szCs w:val="21"/>
                    </w:rPr>
                    <w:t>第4次</w:t>
                  </w:r>
                </w:p>
              </w:tc>
              <w:tc>
                <w:tcPr>
                  <w:tcW w:w="1733" w:type="dxa"/>
                  <w:tcBorders>
                    <w:tl2br w:val="nil"/>
                    <w:tr2bl w:val="nil"/>
                  </w:tcBorders>
                  <w:vAlign w:val="center"/>
                </w:tcPr>
                <w:p w14:paraId="37867BAB">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20</w:t>
                  </w:r>
                </w:p>
              </w:tc>
              <w:tc>
                <w:tcPr>
                  <w:tcW w:w="1932" w:type="dxa"/>
                  <w:tcBorders>
                    <w:tl2br w:val="nil"/>
                    <w:tr2bl w:val="nil"/>
                  </w:tcBorders>
                  <w:vAlign w:val="center"/>
                </w:tcPr>
                <w:p w14:paraId="3D431B06">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22</w:t>
                  </w:r>
                </w:p>
              </w:tc>
              <w:tc>
                <w:tcPr>
                  <w:tcW w:w="1705" w:type="dxa"/>
                  <w:tcBorders>
                    <w:tl2br w:val="nil"/>
                    <w:tr2bl w:val="nil"/>
                  </w:tcBorders>
                  <w:vAlign w:val="center"/>
                </w:tcPr>
                <w:p w14:paraId="52708F18">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21</w:t>
                  </w:r>
                </w:p>
              </w:tc>
            </w:tr>
            <w:tr w14:paraId="77509908">
              <w:tblPrEx>
                <w:tblBorders>
                  <w:top w:val="single" w:color="444444" w:sz="4" w:space="0"/>
                  <w:left w:val="single" w:color="444444" w:sz="4" w:space="0"/>
                  <w:bottom w:val="single" w:color="444444" w:sz="4" w:space="0"/>
                  <w:right w:val="single" w:color="444444" w:sz="4" w:space="0"/>
                  <w:insideH w:val="single" w:color="444444" w:sz="4" w:space="0"/>
                  <w:insideV w:val="single" w:color="444444" w:sz="4" w:space="0"/>
                </w:tblBorders>
                <w:tblCellMar>
                  <w:top w:w="15" w:type="dxa"/>
                  <w:left w:w="15" w:type="dxa"/>
                  <w:bottom w:w="15" w:type="dxa"/>
                  <w:right w:w="15" w:type="dxa"/>
                </w:tblCellMar>
              </w:tblPrEx>
              <w:trPr>
                <w:trHeight w:val="312" w:hRule="atLeast"/>
                <w:jc w:val="center"/>
              </w:trPr>
              <w:tc>
                <w:tcPr>
                  <w:tcW w:w="1410" w:type="dxa"/>
                  <w:vMerge w:val="continue"/>
                  <w:tcBorders>
                    <w:tl2br w:val="nil"/>
                    <w:tr2bl w:val="nil"/>
                  </w:tcBorders>
                  <w:vAlign w:val="center"/>
                </w:tcPr>
                <w:p w14:paraId="65CCF2B0">
                  <w:pPr>
                    <w:widowControl/>
                    <w:jc w:val="center"/>
                    <w:rPr>
                      <w:rFonts w:ascii="Times New Roman" w:hAnsi="Times New Roman" w:cs="Times New Roman"/>
                      <w:szCs w:val="21"/>
                    </w:rPr>
                  </w:pPr>
                </w:p>
              </w:tc>
              <w:tc>
                <w:tcPr>
                  <w:tcW w:w="1199" w:type="dxa"/>
                  <w:tcBorders>
                    <w:tl2br w:val="nil"/>
                    <w:tr2bl w:val="nil"/>
                  </w:tcBorders>
                  <w:vAlign w:val="center"/>
                </w:tcPr>
                <w:p w14:paraId="02873EE8">
                  <w:pPr>
                    <w:widowControl/>
                    <w:jc w:val="center"/>
                    <w:rPr>
                      <w:rFonts w:ascii="Times New Roman" w:hAnsi="Times New Roman" w:cs="Times New Roman"/>
                      <w:spacing w:val="-11"/>
                      <w:szCs w:val="21"/>
                    </w:rPr>
                  </w:pPr>
                  <w:r>
                    <w:rPr>
                      <w:rFonts w:hint="eastAsia" w:ascii="Times New Roman" w:hAnsi="Times New Roman" w:cs="Times New Roman"/>
                      <w:spacing w:val="-11"/>
                      <w:szCs w:val="21"/>
                    </w:rPr>
                    <w:t>日均值</w:t>
                  </w:r>
                </w:p>
              </w:tc>
              <w:tc>
                <w:tcPr>
                  <w:tcW w:w="1733" w:type="dxa"/>
                  <w:tcBorders>
                    <w:tl2br w:val="nil"/>
                    <w:tr2bl w:val="nil"/>
                  </w:tcBorders>
                  <w:vAlign w:val="center"/>
                </w:tcPr>
                <w:p w14:paraId="1984EC27">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22</w:t>
                  </w:r>
                </w:p>
              </w:tc>
              <w:tc>
                <w:tcPr>
                  <w:tcW w:w="1932" w:type="dxa"/>
                  <w:tcBorders>
                    <w:tl2br w:val="nil"/>
                    <w:tr2bl w:val="nil"/>
                  </w:tcBorders>
                  <w:vAlign w:val="center"/>
                </w:tcPr>
                <w:p w14:paraId="1B644B8B">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21</w:t>
                  </w:r>
                </w:p>
              </w:tc>
              <w:tc>
                <w:tcPr>
                  <w:tcW w:w="1705" w:type="dxa"/>
                  <w:tcBorders>
                    <w:tl2br w:val="nil"/>
                    <w:tr2bl w:val="nil"/>
                  </w:tcBorders>
                  <w:vAlign w:val="center"/>
                </w:tcPr>
                <w:p w14:paraId="71B2E6E3">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20</w:t>
                  </w:r>
                </w:p>
              </w:tc>
            </w:tr>
          </w:tbl>
          <w:p w14:paraId="6A0BD0CC">
            <w:pPr>
              <w:widowControl/>
              <w:snapToGrid w:val="0"/>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③</w:t>
            </w:r>
            <w:r>
              <w:rPr>
                <w:rFonts w:hint="eastAsia" w:ascii="Times New Roman" w:hAnsi="Times New Roman" w:eastAsia="宋体" w:cs="Times New Roman"/>
                <w:sz w:val="24"/>
              </w:rPr>
              <w:t>现状检测评价结果及结论</w:t>
            </w:r>
          </w:p>
          <w:p w14:paraId="62561CEA">
            <w:pPr>
              <w:widowControl/>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环境空气质量现状检测结果统计分析情况见下表</w:t>
            </w:r>
            <w:r>
              <w:rPr>
                <w:rFonts w:ascii="Times New Roman" w:hAnsi="Times New Roman" w:eastAsia="宋体" w:cs="Times New Roman"/>
                <w:sz w:val="24"/>
              </w:rPr>
              <w:t>。</w:t>
            </w:r>
          </w:p>
          <w:p w14:paraId="1CA0320C">
            <w:pPr>
              <w:widowControl/>
              <w:snapToGrid w:val="0"/>
              <w:spacing w:line="360" w:lineRule="auto"/>
              <w:ind w:firstLine="480" w:firstLineChars="200"/>
              <w:rPr>
                <w:rFonts w:ascii="Times New Roman" w:hAnsi="Times New Roman" w:eastAsia="宋体" w:cs="Times New Roman"/>
                <w:color w:val="FF0000"/>
                <w:sz w:val="24"/>
              </w:rPr>
            </w:pPr>
          </w:p>
          <w:p w14:paraId="48ACC58F">
            <w:pPr>
              <w:widowControl/>
              <w:snapToGrid w:val="0"/>
              <w:spacing w:line="360" w:lineRule="auto"/>
              <w:jc w:val="center"/>
              <w:rPr>
                <w:rFonts w:ascii="Times New Roman" w:hAnsi="Times New Roman" w:eastAsia="宋体" w:cs="宋体-PUA"/>
                <w:b/>
                <w:sz w:val="24"/>
                <w:shd w:val="clear" w:color="auto" w:fill="FFFFFF"/>
                <w:lang w:val="en-GB"/>
              </w:rPr>
            </w:pPr>
            <w:r>
              <w:rPr>
                <w:rFonts w:ascii="Times New Roman" w:hAnsi="Times New Roman" w:eastAsia="宋体" w:cs="宋体-PUA"/>
                <w:b/>
                <w:sz w:val="24"/>
                <w:shd w:val="clear" w:color="auto" w:fill="FFFFFF"/>
                <w:lang w:val="en-GB"/>
              </w:rPr>
              <w:t>表</w:t>
            </w:r>
            <w:r>
              <w:rPr>
                <w:rFonts w:hint="eastAsia" w:ascii="Times New Roman" w:hAnsi="Times New Roman" w:eastAsia="宋体" w:cs="宋体-PUA"/>
                <w:b/>
                <w:sz w:val="24"/>
                <w:shd w:val="clear" w:color="auto" w:fill="FFFFFF"/>
              </w:rPr>
              <w:t>3-4 环境空气质量现状检测结果统计分析</w:t>
            </w:r>
            <w:r>
              <w:rPr>
                <w:rFonts w:ascii="Times New Roman" w:hAnsi="Times New Roman" w:eastAsia="宋体" w:cs="宋体-PUA"/>
                <w:b/>
                <w:sz w:val="24"/>
                <w:shd w:val="clear" w:color="auto" w:fill="FFFFFF"/>
                <w:lang w:val="en-GB"/>
              </w:rPr>
              <w:t>表</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430"/>
              <w:gridCol w:w="1073"/>
              <w:gridCol w:w="1114"/>
              <w:gridCol w:w="1076"/>
              <w:gridCol w:w="899"/>
              <w:gridCol w:w="733"/>
              <w:gridCol w:w="825"/>
            </w:tblGrid>
            <w:tr w14:paraId="5C44B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6" w:type="pct"/>
                  <w:tcBorders>
                    <w:tl2br w:val="nil"/>
                    <w:tr2bl w:val="nil"/>
                  </w:tcBorders>
                  <w:vAlign w:val="center"/>
                </w:tcPr>
                <w:p w14:paraId="2723D891">
                  <w:pPr>
                    <w:widowControl/>
                    <w:jc w:val="center"/>
                    <w:textAlignment w:val="center"/>
                    <w:rPr>
                      <w:rFonts w:ascii="Times New Roman" w:hAnsi="Times New Roman" w:eastAsia="宋体" w:cs="Times New Roman"/>
                      <w:b/>
                      <w:bCs/>
                      <w:szCs w:val="21"/>
                    </w:rPr>
                  </w:pPr>
                  <w:r>
                    <w:rPr>
                      <w:rFonts w:ascii="Times New Roman" w:hAnsi="Times New Roman" w:eastAsia="宋体" w:cs="Times New Roman"/>
                      <w:b/>
                      <w:bCs/>
                      <w:szCs w:val="21"/>
                    </w:rPr>
                    <w:t>污染物</w:t>
                  </w:r>
                  <w:r>
                    <w:rPr>
                      <w:rFonts w:hint="eastAsia" w:ascii="Times New Roman" w:hAnsi="Times New Roman" w:eastAsia="宋体" w:cs="Times New Roman"/>
                      <w:b/>
                      <w:bCs/>
                      <w:szCs w:val="21"/>
                    </w:rPr>
                    <w:t>项目</w:t>
                  </w:r>
                </w:p>
              </w:tc>
              <w:tc>
                <w:tcPr>
                  <w:tcW w:w="908" w:type="pct"/>
                  <w:tcBorders>
                    <w:tl2br w:val="nil"/>
                    <w:tr2bl w:val="nil"/>
                  </w:tcBorders>
                  <w:vAlign w:val="center"/>
                </w:tcPr>
                <w:p w14:paraId="2537EF72">
                  <w:pPr>
                    <w:widowControl/>
                    <w:jc w:val="center"/>
                    <w:textAlignment w:val="center"/>
                    <w:rPr>
                      <w:rFonts w:ascii="Times New Roman" w:hAnsi="Times New Roman" w:eastAsia="宋体" w:cs="Times New Roman"/>
                      <w:b/>
                      <w:bCs/>
                      <w:szCs w:val="21"/>
                    </w:rPr>
                  </w:pPr>
                  <w:r>
                    <w:rPr>
                      <w:rFonts w:ascii="Times New Roman" w:hAnsi="Times New Roman" w:eastAsia="宋体" w:cs="Times New Roman"/>
                      <w:b/>
                      <w:bCs/>
                      <w:szCs w:val="21"/>
                    </w:rPr>
                    <w:t>检测点位</w:t>
                  </w:r>
                </w:p>
              </w:tc>
              <w:tc>
                <w:tcPr>
                  <w:tcW w:w="681" w:type="pct"/>
                  <w:tcBorders>
                    <w:tl2br w:val="nil"/>
                    <w:tr2bl w:val="nil"/>
                  </w:tcBorders>
                  <w:vAlign w:val="center"/>
                </w:tcPr>
                <w:p w14:paraId="6DE9A7CD">
                  <w:pPr>
                    <w:widowControl/>
                    <w:jc w:val="center"/>
                    <w:textAlignment w:val="center"/>
                    <w:rPr>
                      <w:rFonts w:ascii="Times New Roman" w:hAnsi="Times New Roman" w:eastAsia="宋体" w:cs="Times New Roman"/>
                      <w:b/>
                      <w:bCs/>
                      <w:szCs w:val="21"/>
                    </w:rPr>
                  </w:pPr>
                  <w:r>
                    <w:rPr>
                      <w:rFonts w:ascii="Times New Roman" w:hAnsi="Times New Roman" w:eastAsia="宋体" w:cs="Times New Roman"/>
                      <w:b/>
                      <w:bCs/>
                      <w:szCs w:val="21"/>
                    </w:rPr>
                    <w:t>平均时间</w:t>
                  </w:r>
                </w:p>
              </w:tc>
              <w:tc>
                <w:tcPr>
                  <w:tcW w:w="707" w:type="pct"/>
                  <w:tcBorders>
                    <w:tl2br w:val="nil"/>
                    <w:tr2bl w:val="nil"/>
                  </w:tcBorders>
                  <w:vAlign w:val="center"/>
                </w:tcPr>
                <w:p w14:paraId="37D756F0">
                  <w:pPr>
                    <w:widowControl/>
                    <w:jc w:val="center"/>
                    <w:textAlignment w:val="center"/>
                    <w:rPr>
                      <w:rFonts w:ascii="Times New Roman" w:hAnsi="Times New Roman" w:eastAsia="宋体" w:cs="Times New Roman"/>
                      <w:b/>
                      <w:bCs/>
                      <w:szCs w:val="21"/>
                    </w:rPr>
                  </w:pPr>
                  <w:r>
                    <w:rPr>
                      <w:rFonts w:ascii="Times New Roman" w:hAnsi="Times New Roman" w:eastAsia="宋体" w:cs="Times New Roman"/>
                      <w:b/>
                      <w:bCs/>
                      <w:szCs w:val="21"/>
                    </w:rPr>
                    <w:t>评价标准/μg/m</w:t>
                  </w:r>
                  <w:r>
                    <w:rPr>
                      <w:rFonts w:ascii="Times New Roman" w:hAnsi="Times New Roman" w:eastAsia="宋体" w:cs="Times New Roman"/>
                      <w:b/>
                      <w:bCs/>
                      <w:szCs w:val="21"/>
                      <w:vertAlign w:val="superscript"/>
                    </w:rPr>
                    <w:t>3</w:t>
                  </w:r>
                </w:p>
              </w:tc>
              <w:tc>
                <w:tcPr>
                  <w:tcW w:w="683" w:type="pct"/>
                  <w:tcBorders>
                    <w:tl2br w:val="nil"/>
                    <w:tr2bl w:val="nil"/>
                  </w:tcBorders>
                  <w:vAlign w:val="center"/>
                </w:tcPr>
                <w:p w14:paraId="5B2F0B94">
                  <w:pPr>
                    <w:widowControl/>
                    <w:jc w:val="center"/>
                    <w:textAlignment w:val="center"/>
                    <w:rPr>
                      <w:rFonts w:ascii="Times New Roman" w:hAnsi="Times New Roman" w:eastAsia="宋体" w:cs="Times New Roman"/>
                      <w:b/>
                      <w:bCs/>
                      <w:szCs w:val="21"/>
                    </w:rPr>
                  </w:pPr>
                  <w:r>
                    <w:rPr>
                      <w:rFonts w:ascii="Times New Roman" w:hAnsi="Times New Roman" w:eastAsia="宋体" w:cs="Times New Roman"/>
                      <w:b/>
                      <w:bCs/>
                      <w:szCs w:val="21"/>
                    </w:rPr>
                    <w:t>监测浓度范围/μg/m</w:t>
                  </w:r>
                  <w:r>
                    <w:rPr>
                      <w:rFonts w:ascii="Times New Roman" w:hAnsi="Times New Roman" w:eastAsia="宋体" w:cs="Times New Roman"/>
                      <w:b/>
                      <w:bCs/>
                      <w:szCs w:val="21"/>
                      <w:vertAlign w:val="superscript"/>
                    </w:rPr>
                    <w:t>3</w:t>
                  </w:r>
                </w:p>
              </w:tc>
              <w:tc>
                <w:tcPr>
                  <w:tcW w:w="571" w:type="pct"/>
                  <w:tcBorders>
                    <w:tl2br w:val="nil"/>
                    <w:tr2bl w:val="nil"/>
                  </w:tcBorders>
                  <w:vAlign w:val="center"/>
                </w:tcPr>
                <w:p w14:paraId="36DC172A">
                  <w:pPr>
                    <w:widowControl/>
                    <w:jc w:val="center"/>
                    <w:textAlignment w:val="center"/>
                    <w:rPr>
                      <w:rFonts w:ascii="Times New Roman" w:hAnsi="Times New Roman" w:eastAsia="宋体" w:cs="Times New Roman"/>
                      <w:b/>
                      <w:bCs/>
                      <w:szCs w:val="21"/>
                    </w:rPr>
                  </w:pPr>
                  <w:r>
                    <w:rPr>
                      <w:rFonts w:ascii="Times New Roman" w:hAnsi="Times New Roman" w:eastAsia="宋体" w:cs="Times New Roman"/>
                      <w:b/>
                      <w:bCs/>
                      <w:szCs w:val="21"/>
                    </w:rPr>
                    <w:t>最大浓度占标率/%</w:t>
                  </w:r>
                </w:p>
              </w:tc>
              <w:tc>
                <w:tcPr>
                  <w:tcW w:w="466" w:type="pct"/>
                  <w:tcBorders>
                    <w:tl2br w:val="nil"/>
                    <w:tr2bl w:val="nil"/>
                  </w:tcBorders>
                  <w:vAlign w:val="center"/>
                </w:tcPr>
                <w:p w14:paraId="34717D67">
                  <w:pPr>
                    <w:widowControl/>
                    <w:jc w:val="center"/>
                    <w:textAlignment w:val="center"/>
                    <w:rPr>
                      <w:rFonts w:ascii="Times New Roman" w:hAnsi="Times New Roman" w:eastAsia="宋体" w:cs="Times New Roman"/>
                      <w:b/>
                      <w:bCs/>
                      <w:szCs w:val="21"/>
                    </w:rPr>
                  </w:pPr>
                  <w:r>
                    <w:rPr>
                      <w:rFonts w:ascii="Times New Roman" w:hAnsi="Times New Roman" w:eastAsia="宋体" w:cs="Times New Roman"/>
                      <w:b/>
                      <w:bCs/>
                      <w:szCs w:val="21"/>
                    </w:rPr>
                    <w:t>超标率/%</w:t>
                  </w:r>
                </w:p>
              </w:tc>
              <w:tc>
                <w:tcPr>
                  <w:tcW w:w="524" w:type="pct"/>
                  <w:tcBorders>
                    <w:tl2br w:val="nil"/>
                    <w:tr2bl w:val="nil"/>
                  </w:tcBorders>
                  <w:vAlign w:val="center"/>
                </w:tcPr>
                <w:p w14:paraId="00E4956A">
                  <w:pPr>
                    <w:widowControl/>
                    <w:jc w:val="center"/>
                    <w:textAlignment w:val="center"/>
                    <w:rPr>
                      <w:rFonts w:ascii="Times New Roman" w:hAnsi="Times New Roman" w:eastAsia="宋体" w:cs="Times New Roman"/>
                      <w:b/>
                      <w:bCs/>
                      <w:szCs w:val="21"/>
                    </w:rPr>
                  </w:pPr>
                  <w:r>
                    <w:rPr>
                      <w:rFonts w:ascii="Times New Roman" w:hAnsi="Times New Roman" w:eastAsia="宋体" w:cs="Times New Roman"/>
                      <w:b/>
                      <w:bCs/>
                      <w:szCs w:val="21"/>
                    </w:rPr>
                    <w:t>达标情况</w:t>
                  </w:r>
                </w:p>
              </w:tc>
            </w:tr>
            <w:tr w14:paraId="317EB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6" w:type="pct"/>
                  <w:vMerge w:val="restart"/>
                  <w:tcBorders>
                    <w:tl2br w:val="nil"/>
                    <w:tr2bl w:val="nil"/>
                  </w:tcBorders>
                  <w:vAlign w:val="center"/>
                </w:tcPr>
                <w:p w14:paraId="5257FCCA">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TSP</w:t>
                  </w:r>
                </w:p>
              </w:tc>
              <w:tc>
                <w:tcPr>
                  <w:tcW w:w="908" w:type="pct"/>
                  <w:tcBorders>
                    <w:tl2br w:val="nil"/>
                    <w:tr2bl w:val="nil"/>
                  </w:tcBorders>
                  <w:vAlign w:val="center"/>
                </w:tcPr>
                <w:p w14:paraId="1489B44B">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1#厂址中心</w:t>
                  </w:r>
                </w:p>
              </w:tc>
              <w:tc>
                <w:tcPr>
                  <w:tcW w:w="681" w:type="pct"/>
                  <w:tcBorders>
                    <w:tl2br w:val="nil"/>
                    <w:tr2bl w:val="nil"/>
                  </w:tcBorders>
                  <w:vAlign w:val="center"/>
                </w:tcPr>
                <w:p w14:paraId="01D64BBC">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日平均</w:t>
                  </w:r>
                </w:p>
              </w:tc>
              <w:tc>
                <w:tcPr>
                  <w:tcW w:w="707" w:type="pct"/>
                  <w:tcBorders>
                    <w:tl2br w:val="nil"/>
                    <w:tr2bl w:val="nil"/>
                  </w:tcBorders>
                  <w:vAlign w:val="center"/>
                </w:tcPr>
                <w:p w14:paraId="15241E67">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300</w:t>
                  </w:r>
                </w:p>
              </w:tc>
              <w:tc>
                <w:tcPr>
                  <w:tcW w:w="683" w:type="pct"/>
                  <w:tcBorders>
                    <w:tl2br w:val="nil"/>
                    <w:tr2bl w:val="nil"/>
                  </w:tcBorders>
                  <w:vAlign w:val="center"/>
                </w:tcPr>
                <w:p w14:paraId="25AF0441">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108</w:t>
                  </w:r>
                  <w:r>
                    <w:rPr>
                      <w:rFonts w:ascii="Times New Roman" w:hAnsi="Times New Roman" w:eastAsia="宋体" w:cs="Times New Roman"/>
                      <w:szCs w:val="21"/>
                    </w:rPr>
                    <w:t>~</w:t>
                  </w:r>
                  <w:r>
                    <w:rPr>
                      <w:rFonts w:hint="eastAsia" w:ascii="Times New Roman" w:hAnsi="Times New Roman" w:eastAsia="宋体" w:cs="Times New Roman"/>
                      <w:szCs w:val="21"/>
                    </w:rPr>
                    <w:t>135</w:t>
                  </w:r>
                </w:p>
              </w:tc>
              <w:tc>
                <w:tcPr>
                  <w:tcW w:w="571" w:type="pct"/>
                  <w:tcBorders>
                    <w:tl2br w:val="nil"/>
                    <w:tr2bl w:val="nil"/>
                  </w:tcBorders>
                  <w:vAlign w:val="center"/>
                </w:tcPr>
                <w:p w14:paraId="4642E9E2">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45%</w:t>
                  </w:r>
                </w:p>
              </w:tc>
              <w:tc>
                <w:tcPr>
                  <w:tcW w:w="466" w:type="pct"/>
                  <w:tcBorders>
                    <w:tl2br w:val="nil"/>
                    <w:tr2bl w:val="nil"/>
                  </w:tcBorders>
                  <w:vAlign w:val="center"/>
                </w:tcPr>
                <w:p w14:paraId="10136CC1">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0</w:t>
                  </w:r>
                </w:p>
              </w:tc>
              <w:tc>
                <w:tcPr>
                  <w:tcW w:w="524" w:type="pct"/>
                  <w:tcBorders>
                    <w:tl2br w:val="nil"/>
                    <w:tr2bl w:val="nil"/>
                  </w:tcBorders>
                  <w:vAlign w:val="center"/>
                </w:tcPr>
                <w:p w14:paraId="543FDFEF">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达标</w:t>
                  </w:r>
                </w:p>
              </w:tc>
            </w:tr>
            <w:tr w14:paraId="35308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6" w:type="pct"/>
                  <w:vMerge w:val="continue"/>
                  <w:tcBorders>
                    <w:tl2br w:val="nil"/>
                    <w:tr2bl w:val="nil"/>
                  </w:tcBorders>
                  <w:vAlign w:val="center"/>
                </w:tcPr>
                <w:p w14:paraId="65B36F17">
                  <w:pPr>
                    <w:widowControl/>
                    <w:jc w:val="center"/>
                    <w:textAlignment w:val="center"/>
                    <w:rPr>
                      <w:rFonts w:ascii="Times New Roman" w:hAnsi="Times New Roman" w:eastAsia="宋体" w:cs="Times New Roman"/>
                      <w:szCs w:val="21"/>
                    </w:rPr>
                  </w:pPr>
                </w:p>
              </w:tc>
              <w:tc>
                <w:tcPr>
                  <w:tcW w:w="908" w:type="pct"/>
                  <w:tcBorders>
                    <w:tl2br w:val="nil"/>
                    <w:tr2bl w:val="nil"/>
                  </w:tcBorders>
                  <w:vAlign w:val="center"/>
                </w:tcPr>
                <w:p w14:paraId="2FB9A950">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2#板桥村</w:t>
                  </w:r>
                </w:p>
              </w:tc>
              <w:tc>
                <w:tcPr>
                  <w:tcW w:w="681" w:type="pct"/>
                  <w:tcBorders>
                    <w:tl2br w:val="nil"/>
                    <w:tr2bl w:val="nil"/>
                  </w:tcBorders>
                  <w:vAlign w:val="center"/>
                </w:tcPr>
                <w:p w14:paraId="00A12162">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日平均</w:t>
                  </w:r>
                </w:p>
              </w:tc>
              <w:tc>
                <w:tcPr>
                  <w:tcW w:w="707" w:type="pct"/>
                  <w:tcBorders>
                    <w:tl2br w:val="nil"/>
                    <w:tr2bl w:val="nil"/>
                  </w:tcBorders>
                  <w:vAlign w:val="center"/>
                </w:tcPr>
                <w:p w14:paraId="408A4C5F">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300</w:t>
                  </w:r>
                </w:p>
              </w:tc>
              <w:tc>
                <w:tcPr>
                  <w:tcW w:w="683" w:type="pct"/>
                  <w:tcBorders>
                    <w:tl2br w:val="nil"/>
                    <w:tr2bl w:val="nil"/>
                  </w:tcBorders>
                  <w:vAlign w:val="center"/>
                </w:tcPr>
                <w:p w14:paraId="14A0B2F4">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99</w:t>
                  </w:r>
                  <w:r>
                    <w:rPr>
                      <w:rFonts w:ascii="Times New Roman" w:hAnsi="Times New Roman" w:eastAsia="宋体" w:cs="Times New Roman"/>
                      <w:szCs w:val="21"/>
                    </w:rPr>
                    <w:t>~</w:t>
                  </w:r>
                  <w:r>
                    <w:rPr>
                      <w:rFonts w:hint="eastAsia" w:ascii="Times New Roman" w:hAnsi="Times New Roman" w:eastAsia="宋体" w:cs="Times New Roman"/>
                      <w:szCs w:val="21"/>
                    </w:rPr>
                    <w:t>124</w:t>
                  </w:r>
                </w:p>
              </w:tc>
              <w:tc>
                <w:tcPr>
                  <w:tcW w:w="571" w:type="pct"/>
                  <w:tcBorders>
                    <w:tl2br w:val="nil"/>
                    <w:tr2bl w:val="nil"/>
                  </w:tcBorders>
                  <w:vAlign w:val="center"/>
                </w:tcPr>
                <w:p w14:paraId="73FE02CB">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41.33%</w:t>
                  </w:r>
                </w:p>
              </w:tc>
              <w:tc>
                <w:tcPr>
                  <w:tcW w:w="466" w:type="pct"/>
                  <w:tcBorders>
                    <w:tl2br w:val="nil"/>
                    <w:tr2bl w:val="nil"/>
                  </w:tcBorders>
                  <w:vAlign w:val="center"/>
                </w:tcPr>
                <w:p w14:paraId="72BE22E0">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0</w:t>
                  </w:r>
                </w:p>
              </w:tc>
              <w:tc>
                <w:tcPr>
                  <w:tcW w:w="524" w:type="pct"/>
                  <w:tcBorders>
                    <w:tl2br w:val="nil"/>
                    <w:tr2bl w:val="nil"/>
                  </w:tcBorders>
                  <w:vAlign w:val="center"/>
                </w:tcPr>
                <w:p w14:paraId="034CD268">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达标</w:t>
                  </w:r>
                </w:p>
              </w:tc>
            </w:tr>
            <w:tr w14:paraId="1E633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6" w:type="pct"/>
                  <w:vMerge w:val="restart"/>
                  <w:tcBorders>
                    <w:tl2br w:val="nil"/>
                    <w:tr2bl w:val="nil"/>
                  </w:tcBorders>
                  <w:vAlign w:val="center"/>
                </w:tcPr>
                <w:p w14:paraId="2229ACB0">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苯并[a]芘</w:t>
                  </w:r>
                </w:p>
              </w:tc>
              <w:tc>
                <w:tcPr>
                  <w:tcW w:w="1430" w:type="dxa"/>
                  <w:tcBorders>
                    <w:tl2br w:val="nil"/>
                    <w:tr2bl w:val="nil"/>
                  </w:tcBorders>
                  <w:vAlign w:val="center"/>
                </w:tcPr>
                <w:p w14:paraId="33D2B242">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1#厂址中心</w:t>
                  </w:r>
                </w:p>
              </w:tc>
              <w:tc>
                <w:tcPr>
                  <w:tcW w:w="1073" w:type="dxa"/>
                  <w:tcBorders>
                    <w:tl2br w:val="nil"/>
                    <w:tr2bl w:val="nil"/>
                  </w:tcBorders>
                  <w:vAlign w:val="center"/>
                </w:tcPr>
                <w:p w14:paraId="350D4B0B">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日平均</w:t>
                  </w:r>
                </w:p>
              </w:tc>
              <w:tc>
                <w:tcPr>
                  <w:tcW w:w="707" w:type="pct"/>
                  <w:tcBorders>
                    <w:tl2br w:val="nil"/>
                    <w:tr2bl w:val="nil"/>
                  </w:tcBorders>
                  <w:vAlign w:val="center"/>
                </w:tcPr>
                <w:p w14:paraId="5A04C042">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0.0025</w:t>
                  </w:r>
                </w:p>
              </w:tc>
              <w:tc>
                <w:tcPr>
                  <w:tcW w:w="683" w:type="pct"/>
                  <w:tcBorders>
                    <w:tl2br w:val="nil"/>
                    <w:tr2bl w:val="nil"/>
                  </w:tcBorders>
                  <w:vAlign w:val="center"/>
                </w:tcPr>
                <w:p w14:paraId="035086F6">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ND</w:t>
                  </w:r>
                </w:p>
              </w:tc>
              <w:tc>
                <w:tcPr>
                  <w:tcW w:w="571" w:type="pct"/>
                  <w:tcBorders>
                    <w:tl2br w:val="nil"/>
                    <w:tr2bl w:val="nil"/>
                  </w:tcBorders>
                  <w:vAlign w:val="center"/>
                </w:tcPr>
                <w:p w14:paraId="43563CD2">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w:t>
                  </w:r>
                </w:p>
              </w:tc>
              <w:tc>
                <w:tcPr>
                  <w:tcW w:w="466" w:type="pct"/>
                  <w:tcBorders>
                    <w:tl2br w:val="nil"/>
                    <w:tr2bl w:val="nil"/>
                  </w:tcBorders>
                  <w:vAlign w:val="center"/>
                </w:tcPr>
                <w:p w14:paraId="5E6819A2">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0</w:t>
                  </w:r>
                </w:p>
              </w:tc>
              <w:tc>
                <w:tcPr>
                  <w:tcW w:w="524" w:type="pct"/>
                  <w:tcBorders>
                    <w:tl2br w:val="nil"/>
                    <w:tr2bl w:val="nil"/>
                  </w:tcBorders>
                  <w:vAlign w:val="center"/>
                </w:tcPr>
                <w:p w14:paraId="5AAC486C">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达标</w:t>
                  </w:r>
                </w:p>
              </w:tc>
            </w:tr>
            <w:tr w14:paraId="7CDF8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6" w:type="pct"/>
                  <w:vMerge w:val="continue"/>
                  <w:tcBorders>
                    <w:tl2br w:val="nil"/>
                    <w:tr2bl w:val="nil"/>
                  </w:tcBorders>
                  <w:vAlign w:val="center"/>
                </w:tcPr>
                <w:p w14:paraId="5F80CA83">
                  <w:pPr>
                    <w:widowControl/>
                    <w:jc w:val="center"/>
                    <w:textAlignment w:val="center"/>
                    <w:rPr>
                      <w:rFonts w:ascii="Times New Roman" w:hAnsi="Times New Roman" w:eastAsia="宋体" w:cs="Times New Roman"/>
                      <w:szCs w:val="21"/>
                    </w:rPr>
                  </w:pPr>
                </w:p>
              </w:tc>
              <w:tc>
                <w:tcPr>
                  <w:tcW w:w="1430" w:type="dxa"/>
                  <w:tcBorders>
                    <w:tl2br w:val="nil"/>
                    <w:tr2bl w:val="nil"/>
                  </w:tcBorders>
                  <w:vAlign w:val="center"/>
                </w:tcPr>
                <w:p w14:paraId="6AE5E2BF">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2#板桥村</w:t>
                  </w:r>
                </w:p>
              </w:tc>
              <w:tc>
                <w:tcPr>
                  <w:tcW w:w="1073" w:type="dxa"/>
                  <w:tcBorders>
                    <w:tl2br w:val="nil"/>
                    <w:tr2bl w:val="nil"/>
                  </w:tcBorders>
                  <w:vAlign w:val="center"/>
                </w:tcPr>
                <w:p w14:paraId="1038AD74">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日平均</w:t>
                  </w:r>
                </w:p>
              </w:tc>
              <w:tc>
                <w:tcPr>
                  <w:tcW w:w="707" w:type="pct"/>
                  <w:tcBorders>
                    <w:tl2br w:val="nil"/>
                    <w:tr2bl w:val="nil"/>
                  </w:tcBorders>
                  <w:vAlign w:val="center"/>
                </w:tcPr>
                <w:p w14:paraId="6962FC8D">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0.0025</w:t>
                  </w:r>
                </w:p>
              </w:tc>
              <w:tc>
                <w:tcPr>
                  <w:tcW w:w="683" w:type="pct"/>
                  <w:tcBorders>
                    <w:tl2br w:val="nil"/>
                    <w:tr2bl w:val="nil"/>
                  </w:tcBorders>
                  <w:vAlign w:val="center"/>
                </w:tcPr>
                <w:p w14:paraId="157F9D05">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ND</w:t>
                  </w:r>
                </w:p>
              </w:tc>
              <w:tc>
                <w:tcPr>
                  <w:tcW w:w="571" w:type="pct"/>
                  <w:tcBorders>
                    <w:tl2br w:val="nil"/>
                    <w:tr2bl w:val="nil"/>
                  </w:tcBorders>
                  <w:vAlign w:val="center"/>
                </w:tcPr>
                <w:p w14:paraId="5BB77C97">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w:t>
                  </w:r>
                </w:p>
              </w:tc>
              <w:tc>
                <w:tcPr>
                  <w:tcW w:w="466" w:type="pct"/>
                  <w:tcBorders>
                    <w:tl2br w:val="nil"/>
                    <w:tr2bl w:val="nil"/>
                  </w:tcBorders>
                  <w:vAlign w:val="center"/>
                </w:tcPr>
                <w:p w14:paraId="29339A67">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0</w:t>
                  </w:r>
                </w:p>
              </w:tc>
              <w:tc>
                <w:tcPr>
                  <w:tcW w:w="524" w:type="pct"/>
                  <w:tcBorders>
                    <w:tl2br w:val="nil"/>
                    <w:tr2bl w:val="nil"/>
                  </w:tcBorders>
                  <w:vAlign w:val="center"/>
                </w:tcPr>
                <w:p w14:paraId="3BB72A53">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达标</w:t>
                  </w:r>
                </w:p>
              </w:tc>
            </w:tr>
            <w:tr w14:paraId="5B96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6" w:type="pct"/>
                  <w:vMerge w:val="restart"/>
                  <w:tcBorders>
                    <w:tl2br w:val="nil"/>
                    <w:tr2bl w:val="nil"/>
                  </w:tcBorders>
                  <w:vAlign w:val="center"/>
                </w:tcPr>
                <w:p w14:paraId="25865268">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氮氧化物</w:t>
                  </w:r>
                </w:p>
              </w:tc>
              <w:tc>
                <w:tcPr>
                  <w:tcW w:w="1430" w:type="dxa"/>
                  <w:tcBorders>
                    <w:tl2br w:val="nil"/>
                    <w:tr2bl w:val="nil"/>
                  </w:tcBorders>
                  <w:vAlign w:val="center"/>
                </w:tcPr>
                <w:p w14:paraId="2D142624">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1#厂址中心</w:t>
                  </w:r>
                </w:p>
              </w:tc>
              <w:tc>
                <w:tcPr>
                  <w:tcW w:w="681" w:type="pct"/>
                  <w:tcBorders>
                    <w:tl2br w:val="nil"/>
                    <w:tr2bl w:val="nil"/>
                  </w:tcBorders>
                  <w:vAlign w:val="center"/>
                </w:tcPr>
                <w:p w14:paraId="7907FC0E">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1</w:t>
                  </w:r>
                  <w:r>
                    <w:rPr>
                      <w:rFonts w:ascii="Times New Roman" w:hAnsi="Times New Roman" w:eastAsia="宋体" w:cs="Times New Roman"/>
                      <w:szCs w:val="21"/>
                    </w:rPr>
                    <w:t>h平均</w:t>
                  </w:r>
                </w:p>
              </w:tc>
              <w:tc>
                <w:tcPr>
                  <w:tcW w:w="707" w:type="pct"/>
                  <w:tcBorders>
                    <w:tl2br w:val="nil"/>
                    <w:tr2bl w:val="nil"/>
                  </w:tcBorders>
                  <w:vAlign w:val="center"/>
                </w:tcPr>
                <w:p w14:paraId="425DA224">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250</w:t>
                  </w:r>
                </w:p>
              </w:tc>
              <w:tc>
                <w:tcPr>
                  <w:tcW w:w="683" w:type="pct"/>
                  <w:tcBorders>
                    <w:tl2br w:val="nil"/>
                    <w:tr2bl w:val="nil"/>
                  </w:tcBorders>
                  <w:vAlign w:val="center"/>
                </w:tcPr>
                <w:p w14:paraId="1D221F10">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＜23</w:t>
                  </w:r>
                </w:p>
              </w:tc>
              <w:tc>
                <w:tcPr>
                  <w:tcW w:w="571" w:type="pct"/>
                  <w:tcBorders>
                    <w:tl2br w:val="nil"/>
                    <w:tr2bl w:val="nil"/>
                  </w:tcBorders>
                  <w:vAlign w:val="center"/>
                </w:tcPr>
                <w:p w14:paraId="410E7670">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9.2%</w:t>
                  </w:r>
                </w:p>
              </w:tc>
              <w:tc>
                <w:tcPr>
                  <w:tcW w:w="466" w:type="pct"/>
                  <w:tcBorders>
                    <w:tl2br w:val="nil"/>
                    <w:tr2bl w:val="nil"/>
                  </w:tcBorders>
                  <w:vAlign w:val="center"/>
                </w:tcPr>
                <w:p w14:paraId="62E2876B">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0</w:t>
                  </w:r>
                </w:p>
              </w:tc>
              <w:tc>
                <w:tcPr>
                  <w:tcW w:w="524" w:type="pct"/>
                  <w:tcBorders>
                    <w:tl2br w:val="nil"/>
                    <w:tr2bl w:val="nil"/>
                  </w:tcBorders>
                  <w:vAlign w:val="center"/>
                </w:tcPr>
                <w:p w14:paraId="277200D2">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达标</w:t>
                  </w:r>
                </w:p>
              </w:tc>
            </w:tr>
            <w:tr w14:paraId="7937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6" w:type="pct"/>
                  <w:vMerge w:val="continue"/>
                  <w:tcBorders>
                    <w:tl2br w:val="nil"/>
                    <w:tr2bl w:val="nil"/>
                  </w:tcBorders>
                  <w:vAlign w:val="center"/>
                </w:tcPr>
                <w:p w14:paraId="2BB508E5">
                  <w:pPr>
                    <w:widowControl/>
                    <w:jc w:val="center"/>
                    <w:textAlignment w:val="center"/>
                    <w:rPr>
                      <w:rFonts w:ascii="Times New Roman" w:hAnsi="Times New Roman" w:eastAsia="宋体" w:cs="Times New Roman"/>
                      <w:szCs w:val="21"/>
                    </w:rPr>
                  </w:pPr>
                </w:p>
              </w:tc>
              <w:tc>
                <w:tcPr>
                  <w:tcW w:w="1430" w:type="dxa"/>
                  <w:tcBorders>
                    <w:bottom w:val="single" w:color="000000" w:sz="4" w:space="0"/>
                    <w:tl2br w:val="nil"/>
                    <w:tr2bl w:val="nil"/>
                  </w:tcBorders>
                  <w:vAlign w:val="center"/>
                </w:tcPr>
                <w:p w14:paraId="5B22F3DC">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2#板桥村</w:t>
                  </w:r>
                </w:p>
              </w:tc>
              <w:tc>
                <w:tcPr>
                  <w:tcW w:w="681" w:type="pct"/>
                  <w:tcBorders>
                    <w:bottom w:val="single" w:color="000000" w:sz="4" w:space="0"/>
                    <w:tl2br w:val="nil"/>
                    <w:tr2bl w:val="nil"/>
                  </w:tcBorders>
                  <w:vAlign w:val="center"/>
                </w:tcPr>
                <w:p w14:paraId="66F22160">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1</w:t>
                  </w:r>
                  <w:r>
                    <w:rPr>
                      <w:rFonts w:ascii="Times New Roman" w:hAnsi="Times New Roman" w:eastAsia="宋体" w:cs="Times New Roman"/>
                      <w:szCs w:val="21"/>
                    </w:rPr>
                    <w:t>h平均</w:t>
                  </w:r>
                </w:p>
              </w:tc>
              <w:tc>
                <w:tcPr>
                  <w:tcW w:w="707" w:type="pct"/>
                  <w:tcBorders>
                    <w:bottom w:val="single" w:color="000000" w:sz="4" w:space="0"/>
                    <w:tl2br w:val="nil"/>
                    <w:tr2bl w:val="nil"/>
                  </w:tcBorders>
                  <w:vAlign w:val="center"/>
                </w:tcPr>
                <w:p w14:paraId="71F753A3">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250</w:t>
                  </w:r>
                </w:p>
              </w:tc>
              <w:tc>
                <w:tcPr>
                  <w:tcW w:w="683" w:type="pct"/>
                  <w:tcBorders>
                    <w:bottom w:val="single" w:color="000000" w:sz="4" w:space="0"/>
                    <w:tl2br w:val="nil"/>
                    <w:tr2bl w:val="nil"/>
                  </w:tcBorders>
                  <w:vAlign w:val="center"/>
                </w:tcPr>
                <w:p w14:paraId="38508668">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＜23</w:t>
                  </w:r>
                </w:p>
              </w:tc>
              <w:tc>
                <w:tcPr>
                  <w:tcW w:w="571" w:type="pct"/>
                  <w:tcBorders>
                    <w:bottom w:val="single" w:color="000000" w:sz="4" w:space="0"/>
                    <w:tl2br w:val="nil"/>
                    <w:tr2bl w:val="nil"/>
                  </w:tcBorders>
                  <w:vAlign w:val="center"/>
                </w:tcPr>
                <w:p w14:paraId="044116BB">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9.2%</w:t>
                  </w:r>
                </w:p>
              </w:tc>
              <w:tc>
                <w:tcPr>
                  <w:tcW w:w="466" w:type="pct"/>
                  <w:tcBorders>
                    <w:bottom w:val="single" w:color="000000" w:sz="4" w:space="0"/>
                    <w:tl2br w:val="nil"/>
                    <w:tr2bl w:val="nil"/>
                  </w:tcBorders>
                  <w:vAlign w:val="center"/>
                </w:tcPr>
                <w:p w14:paraId="5011BA55">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0</w:t>
                  </w:r>
                </w:p>
              </w:tc>
              <w:tc>
                <w:tcPr>
                  <w:tcW w:w="524" w:type="pct"/>
                  <w:tcBorders>
                    <w:bottom w:val="single" w:color="000000" w:sz="4" w:space="0"/>
                    <w:tl2br w:val="nil"/>
                    <w:tr2bl w:val="nil"/>
                  </w:tcBorders>
                  <w:vAlign w:val="center"/>
                </w:tcPr>
                <w:p w14:paraId="532623C6">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达标</w:t>
                  </w:r>
                </w:p>
              </w:tc>
            </w:tr>
            <w:tr w14:paraId="15092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6" w:type="pct"/>
                  <w:vMerge w:val="continue"/>
                  <w:tcBorders>
                    <w:tl2br w:val="nil"/>
                    <w:tr2bl w:val="nil"/>
                  </w:tcBorders>
                  <w:vAlign w:val="center"/>
                </w:tcPr>
                <w:p w14:paraId="55FB108F">
                  <w:pPr>
                    <w:widowControl/>
                    <w:jc w:val="center"/>
                    <w:textAlignment w:val="center"/>
                    <w:rPr>
                      <w:rFonts w:ascii="Times New Roman" w:hAnsi="Times New Roman" w:eastAsia="宋体" w:cs="Times New Roman"/>
                      <w:szCs w:val="21"/>
                    </w:rPr>
                  </w:pPr>
                </w:p>
              </w:tc>
              <w:tc>
                <w:tcPr>
                  <w:tcW w:w="1430" w:type="dxa"/>
                  <w:tcBorders>
                    <w:top w:val="single" w:color="000000" w:sz="4" w:space="0"/>
                    <w:bottom w:val="single" w:color="000000" w:sz="4" w:space="0"/>
                    <w:tl2br w:val="nil"/>
                    <w:tr2bl w:val="nil"/>
                  </w:tcBorders>
                  <w:vAlign w:val="center"/>
                </w:tcPr>
                <w:p w14:paraId="1BB719E4">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1#厂址中心</w:t>
                  </w:r>
                </w:p>
              </w:tc>
              <w:tc>
                <w:tcPr>
                  <w:tcW w:w="1073" w:type="dxa"/>
                  <w:tcBorders>
                    <w:top w:val="single" w:color="000000" w:sz="4" w:space="0"/>
                    <w:bottom w:val="single" w:color="000000" w:sz="4" w:space="0"/>
                    <w:tl2br w:val="nil"/>
                    <w:tr2bl w:val="nil"/>
                  </w:tcBorders>
                  <w:vAlign w:val="center"/>
                </w:tcPr>
                <w:p w14:paraId="5A68EE6F">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日平均</w:t>
                  </w:r>
                </w:p>
              </w:tc>
              <w:tc>
                <w:tcPr>
                  <w:tcW w:w="707" w:type="pct"/>
                  <w:tcBorders>
                    <w:top w:val="single" w:color="000000" w:sz="4" w:space="0"/>
                    <w:bottom w:val="single" w:color="000000" w:sz="4" w:space="0"/>
                    <w:tl2br w:val="nil"/>
                    <w:tr2bl w:val="nil"/>
                  </w:tcBorders>
                  <w:vAlign w:val="center"/>
                </w:tcPr>
                <w:p w14:paraId="068FF16B">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70</w:t>
                  </w:r>
                </w:p>
              </w:tc>
              <w:tc>
                <w:tcPr>
                  <w:tcW w:w="683" w:type="pct"/>
                  <w:tcBorders>
                    <w:top w:val="single" w:color="000000" w:sz="4" w:space="0"/>
                    <w:bottom w:val="single" w:color="000000" w:sz="4" w:space="0"/>
                    <w:tl2br w:val="nil"/>
                    <w:tr2bl w:val="nil"/>
                  </w:tcBorders>
                  <w:vAlign w:val="center"/>
                </w:tcPr>
                <w:p w14:paraId="5B2D4839">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20</w:t>
                  </w:r>
                  <w:r>
                    <w:rPr>
                      <w:rFonts w:ascii="Times New Roman" w:hAnsi="Times New Roman" w:eastAsia="宋体" w:cs="Times New Roman"/>
                      <w:szCs w:val="21"/>
                    </w:rPr>
                    <w:t>~</w:t>
                  </w:r>
                  <w:r>
                    <w:rPr>
                      <w:rFonts w:hint="eastAsia" w:ascii="Times New Roman" w:hAnsi="Times New Roman" w:eastAsia="宋体" w:cs="Times New Roman"/>
                      <w:szCs w:val="21"/>
                    </w:rPr>
                    <w:t>23</w:t>
                  </w:r>
                </w:p>
              </w:tc>
              <w:tc>
                <w:tcPr>
                  <w:tcW w:w="571" w:type="pct"/>
                  <w:tcBorders>
                    <w:top w:val="single" w:color="000000" w:sz="4" w:space="0"/>
                    <w:bottom w:val="single" w:color="000000" w:sz="4" w:space="0"/>
                    <w:tl2br w:val="nil"/>
                    <w:tr2bl w:val="nil"/>
                  </w:tcBorders>
                  <w:vAlign w:val="center"/>
                </w:tcPr>
                <w:p w14:paraId="73388EF1">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32.86%</w:t>
                  </w:r>
                </w:p>
              </w:tc>
              <w:tc>
                <w:tcPr>
                  <w:tcW w:w="734" w:type="dxa"/>
                  <w:tcBorders>
                    <w:top w:val="single" w:color="000000" w:sz="4" w:space="0"/>
                    <w:bottom w:val="single" w:color="000000" w:sz="4" w:space="0"/>
                    <w:tl2br w:val="nil"/>
                    <w:tr2bl w:val="nil"/>
                  </w:tcBorders>
                  <w:vAlign w:val="center"/>
                </w:tcPr>
                <w:p w14:paraId="5BD0A464">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0</w:t>
                  </w:r>
                </w:p>
              </w:tc>
              <w:tc>
                <w:tcPr>
                  <w:tcW w:w="825" w:type="dxa"/>
                  <w:tcBorders>
                    <w:top w:val="single" w:color="000000" w:sz="4" w:space="0"/>
                    <w:bottom w:val="single" w:color="000000" w:sz="4" w:space="0"/>
                    <w:tl2br w:val="nil"/>
                    <w:tr2bl w:val="nil"/>
                  </w:tcBorders>
                  <w:vAlign w:val="center"/>
                </w:tcPr>
                <w:p w14:paraId="6E3F7F72">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达标</w:t>
                  </w:r>
                </w:p>
              </w:tc>
            </w:tr>
            <w:tr w14:paraId="2C37E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6" w:type="pct"/>
                  <w:vMerge w:val="continue"/>
                  <w:tcBorders>
                    <w:tl2br w:val="nil"/>
                    <w:tr2bl w:val="nil"/>
                  </w:tcBorders>
                  <w:vAlign w:val="center"/>
                </w:tcPr>
                <w:p w14:paraId="1A3320BD">
                  <w:pPr>
                    <w:widowControl/>
                    <w:jc w:val="center"/>
                    <w:textAlignment w:val="center"/>
                    <w:rPr>
                      <w:rFonts w:ascii="Times New Roman" w:hAnsi="Times New Roman" w:eastAsia="宋体" w:cs="Times New Roman"/>
                      <w:szCs w:val="21"/>
                    </w:rPr>
                  </w:pPr>
                </w:p>
              </w:tc>
              <w:tc>
                <w:tcPr>
                  <w:tcW w:w="1430" w:type="dxa"/>
                  <w:tcBorders>
                    <w:top w:val="single" w:color="000000" w:sz="4" w:space="0"/>
                    <w:tl2br w:val="nil"/>
                    <w:tr2bl w:val="nil"/>
                  </w:tcBorders>
                  <w:vAlign w:val="center"/>
                </w:tcPr>
                <w:p w14:paraId="367B9FC5">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2#板桥村</w:t>
                  </w:r>
                </w:p>
              </w:tc>
              <w:tc>
                <w:tcPr>
                  <w:tcW w:w="1073" w:type="dxa"/>
                  <w:tcBorders>
                    <w:top w:val="single" w:color="000000" w:sz="4" w:space="0"/>
                    <w:tl2br w:val="nil"/>
                    <w:tr2bl w:val="nil"/>
                  </w:tcBorders>
                  <w:vAlign w:val="center"/>
                </w:tcPr>
                <w:p w14:paraId="3FAD0961">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日平均</w:t>
                  </w:r>
                </w:p>
              </w:tc>
              <w:tc>
                <w:tcPr>
                  <w:tcW w:w="707" w:type="pct"/>
                  <w:tcBorders>
                    <w:top w:val="single" w:color="000000" w:sz="4" w:space="0"/>
                    <w:tl2br w:val="nil"/>
                    <w:tr2bl w:val="nil"/>
                  </w:tcBorders>
                  <w:vAlign w:val="center"/>
                </w:tcPr>
                <w:p w14:paraId="6C4DACA5">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70</w:t>
                  </w:r>
                </w:p>
              </w:tc>
              <w:tc>
                <w:tcPr>
                  <w:tcW w:w="683" w:type="pct"/>
                  <w:tcBorders>
                    <w:top w:val="single" w:color="000000" w:sz="4" w:space="0"/>
                    <w:tl2br w:val="nil"/>
                    <w:tr2bl w:val="nil"/>
                  </w:tcBorders>
                  <w:vAlign w:val="center"/>
                </w:tcPr>
                <w:p w14:paraId="7AE5310C">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20</w:t>
                  </w:r>
                  <w:r>
                    <w:rPr>
                      <w:rFonts w:ascii="Times New Roman" w:hAnsi="Times New Roman" w:eastAsia="宋体" w:cs="Times New Roman"/>
                      <w:szCs w:val="21"/>
                    </w:rPr>
                    <w:t>~</w:t>
                  </w:r>
                  <w:r>
                    <w:rPr>
                      <w:rFonts w:hint="eastAsia" w:ascii="Times New Roman" w:hAnsi="Times New Roman" w:eastAsia="宋体" w:cs="Times New Roman"/>
                      <w:szCs w:val="21"/>
                    </w:rPr>
                    <w:t>22</w:t>
                  </w:r>
                </w:p>
              </w:tc>
              <w:tc>
                <w:tcPr>
                  <w:tcW w:w="571" w:type="pct"/>
                  <w:tcBorders>
                    <w:top w:val="single" w:color="000000" w:sz="4" w:space="0"/>
                    <w:tl2br w:val="nil"/>
                    <w:tr2bl w:val="nil"/>
                  </w:tcBorders>
                  <w:vAlign w:val="center"/>
                </w:tcPr>
                <w:p w14:paraId="459783FB">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31.43%</w:t>
                  </w:r>
                </w:p>
              </w:tc>
              <w:tc>
                <w:tcPr>
                  <w:tcW w:w="734" w:type="dxa"/>
                  <w:tcBorders>
                    <w:top w:val="single" w:color="000000" w:sz="4" w:space="0"/>
                    <w:tl2br w:val="nil"/>
                    <w:tr2bl w:val="nil"/>
                  </w:tcBorders>
                  <w:vAlign w:val="center"/>
                </w:tcPr>
                <w:p w14:paraId="60AF204E">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0</w:t>
                  </w:r>
                </w:p>
              </w:tc>
              <w:tc>
                <w:tcPr>
                  <w:tcW w:w="825" w:type="dxa"/>
                  <w:tcBorders>
                    <w:top w:val="single" w:color="000000" w:sz="4" w:space="0"/>
                    <w:tl2br w:val="nil"/>
                    <w:tr2bl w:val="nil"/>
                  </w:tcBorders>
                  <w:vAlign w:val="center"/>
                </w:tcPr>
                <w:p w14:paraId="39772E4C">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达标</w:t>
                  </w:r>
                </w:p>
              </w:tc>
            </w:tr>
            <w:tr w14:paraId="35A2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6" w:type="pct"/>
                  <w:vMerge w:val="restart"/>
                  <w:tcBorders>
                    <w:tl2br w:val="nil"/>
                    <w:tr2bl w:val="nil"/>
                  </w:tcBorders>
                  <w:vAlign w:val="center"/>
                </w:tcPr>
                <w:p w14:paraId="783BA330">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非甲烷总烃</w:t>
                  </w:r>
                </w:p>
              </w:tc>
              <w:tc>
                <w:tcPr>
                  <w:tcW w:w="1430" w:type="dxa"/>
                  <w:tcBorders>
                    <w:tl2br w:val="nil"/>
                    <w:tr2bl w:val="nil"/>
                  </w:tcBorders>
                  <w:vAlign w:val="center"/>
                </w:tcPr>
                <w:p w14:paraId="22F071A2">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1#厂址中心</w:t>
                  </w:r>
                </w:p>
              </w:tc>
              <w:tc>
                <w:tcPr>
                  <w:tcW w:w="681" w:type="pct"/>
                  <w:tcBorders>
                    <w:tl2br w:val="nil"/>
                    <w:tr2bl w:val="nil"/>
                  </w:tcBorders>
                  <w:vAlign w:val="center"/>
                </w:tcPr>
                <w:p w14:paraId="7D441DCD">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1h平均</w:t>
                  </w:r>
                </w:p>
              </w:tc>
              <w:tc>
                <w:tcPr>
                  <w:tcW w:w="707" w:type="pct"/>
                  <w:tcBorders>
                    <w:tl2br w:val="nil"/>
                    <w:tr2bl w:val="nil"/>
                  </w:tcBorders>
                  <w:vAlign w:val="center"/>
                </w:tcPr>
                <w:p w14:paraId="39384C64">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2000</w:t>
                  </w:r>
                </w:p>
              </w:tc>
              <w:tc>
                <w:tcPr>
                  <w:tcW w:w="683" w:type="pct"/>
                  <w:tcBorders>
                    <w:tl2br w:val="nil"/>
                    <w:tr2bl w:val="nil"/>
                  </w:tcBorders>
                  <w:vAlign w:val="center"/>
                </w:tcPr>
                <w:p w14:paraId="3FD7692D">
                  <w:pPr>
                    <w:widowControl/>
                    <w:jc w:val="center"/>
                    <w:textAlignment w:val="center"/>
                    <w:rPr>
                      <w:rFonts w:ascii="Times New Roman" w:hAnsi="Times New Roman" w:cs="Times New Roman"/>
                      <w:szCs w:val="21"/>
                    </w:rPr>
                  </w:pPr>
                  <w:r>
                    <w:rPr>
                      <w:rFonts w:hint="eastAsia" w:ascii="Times New Roman" w:hAnsi="Times New Roman" w:eastAsia="宋体" w:cs="Times New Roman"/>
                      <w:szCs w:val="21"/>
                    </w:rPr>
                    <w:t>0.58</w:t>
                  </w:r>
                  <w:r>
                    <w:rPr>
                      <w:rFonts w:ascii="Times New Roman" w:hAnsi="Times New Roman" w:eastAsia="宋体" w:cs="Times New Roman"/>
                      <w:szCs w:val="21"/>
                    </w:rPr>
                    <w:t>~</w:t>
                  </w:r>
                  <w:r>
                    <w:rPr>
                      <w:rFonts w:hint="eastAsia" w:ascii="Times New Roman" w:hAnsi="Times New Roman" w:eastAsia="宋体" w:cs="Times New Roman"/>
                      <w:szCs w:val="21"/>
                    </w:rPr>
                    <w:t>0.73</w:t>
                  </w:r>
                  <w:r>
                    <w:rPr>
                      <w:rFonts w:hint="eastAsia" w:ascii="Times New Roman" w:hAnsi="Times New Roman" w:cs="Times New Roman"/>
                      <w:szCs w:val="21"/>
                    </w:rPr>
                    <w:t>m</w:t>
                  </w:r>
                  <w:r>
                    <w:rPr>
                      <w:rFonts w:ascii="Times New Roman" w:hAnsi="Times New Roman" w:cs="Times New Roman"/>
                      <w:szCs w:val="21"/>
                    </w:rPr>
                    <w:t>g/m</w:t>
                  </w:r>
                  <w:r>
                    <w:rPr>
                      <w:rFonts w:hint="eastAsia" w:ascii="Times New Roman" w:hAnsi="Times New Roman" w:cs="Times New Roman"/>
                      <w:szCs w:val="21"/>
                      <w:vertAlign w:val="superscript"/>
                    </w:rPr>
                    <w:t>3</w:t>
                  </w:r>
                </w:p>
              </w:tc>
              <w:tc>
                <w:tcPr>
                  <w:tcW w:w="571" w:type="pct"/>
                  <w:tcBorders>
                    <w:tl2br w:val="nil"/>
                    <w:tr2bl w:val="nil"/>
                  </w:tcBorders>
                  <w:vAlign w:val="center"/>
                </w:tcPr>
                <w:p w14:paraId="45EABCD0">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36.5%</w:t>
                  </w:r>
                </w:p>
              </w:tc>
              <w:tc>
                <w:tcPr>
                  <w:tcW w:w="466" w:type="pct"/>
                  <w:tcBorders>
                    <w:tl2br w:val="nil"/>
                    <w:tr2bl w:val="nil"/>
                  </w:tcBorders>
                  <w:vAlign w:val="center"/>
                </w:tcPr>
                <w:p w14:paraId="595A4CC1">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0</w:t>
                  </w:r>
                </w:p>
              </w:tc>
              <w:tc>
                <w:tcPr>
                  <w:tcW w:w="524" w:type="pct"/>
                  <w:tcBorders>
                    <w:tl2br w:val="nil"/>
                    <w:tr2bl w:val="nil"/>
                  </w:tcBorders>
                  <w:vAlign w:val="center"/>
                </w:tcPr>
                <w:p w14:paraId="783F761B">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达标</w:t>
                  </w:r>
                </w:p>
              </w:tc>
            </w:tr>
            <w:tr w14:paraId="1965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6" w:type="pct"/>
                  <w:vMerge w:val="continue"/>
                  <w:tcBorders>
                    <w:tl2br w:val="nil"/>
                    <w:tr2bl w:val="nil"/>
                  </w:tcBorders>
                </w:tcPr>
                <w:p w14:paraId="43F2DE1E">
                  <w:pPr>
                    <w:widowControl/>
                    <w:jc w:val="center"/>
                    <w:textAlignment w:val="center"/>
                    <w:rPr>
                      <w:rFonts w:ascii="Times New Roman" w:hAnsi="Times New Roman" w:eastAsia="宋体" w:cs="Times New Roman"/>
                      <w:szCs w:val="21"/>
                    </w:rPr>
                  </w:pPr>
                </w:p>
              </w:tc>
              <w:tc>
                <w:tcPr>
                  <w:tcW w:w="1430" w:type="dxa"/>
                  <w:tcBorders>
                    <w:tl2br w:val="nil"/>
                    <w:tr2bl w:val="nil"/>
                  </w:tcBorders>
                  <w:vAlign w:val="center"/>
                </w:tcPr>
                <w:p w14:paraId="573FEBC8">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2#板桥村</w:t>
                  </w:r>
                </w:p>
              </w:tc>
              <w:tc>
                <w:tcPr>
                  <w:tcW w:w="681" w:type="pct"/>
                  <w:tcBorders>
                    <w:tl2br w:val="nil"/>
                    <w:tr2bl w:val="nil"/>
                  </w:tcBorders>
                  <w:vAlign w:val="center"/>
                </w:tcPr>
                <w:p w14:paraId="4A452B0D">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1h平均</w:t>
                  </w:r>
                </w:p>
              </w:tc>
              <w:tc>
                <w:tcPr>
                  <w:tcW w:w="707" w:type="pct"/>
                  <w:tcBorders>
                    <w:tl2br w:val="nil"/>
                    <w:tr2bl w:val="nil"/>
                  </w:tcBorders>
                  <w:vAlign w:val="center"/>
                </w:tcPr>
                <w:p w14:paraId="5A9171EE">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2000</w:t>
                  </w:r>
                </w:p>
              </w:tc>
              <w:tc>
                <w:tcPr>
                  <w:tcW w:w="683" w:type="pct"/>
                  <w:tcBorders>
                    <w:tl2br w:val="nil"/>
                    <w:tr2bl w:val="nil"/>
                  </w:tcBorders>
                </w:tcPr>
                <w:p w14:paraId="18CC99FF">
                  <w:pPr>
                    <w:widowControl/>
                    <w:jc w:val="center"/>
                    <w:textAlignment w:val="center"/>
                    <w:rPr>
                      <w:rFonts w:ascii="Times New Roman" w:hAnsi="Times New Roman" w:cs="Times New Roman"/>
                      <w:szCs w:val="21"/>
                    </w:rPr>
                  </w:pPr>
                  <w:r>
                    <w:rPr>
                      <w:rFonts w:hint="eastAsia" w:ascii="Times New Roman" w:hAnsi="Times New Roman" w:cs="Times New Roman"/>
                      <w:szCs w:val="21"/>
                    </w:rPr>
                    <w:t>0.57</w:t>
                  </w:r>
                  <w:r>
                    <w:rPr>
                      <w:rFonts w:ascii="Times New Roman" w:hAnsi="Times New Roman" w:eastAsia="宋体" w:cs="Times New Roman"/>
                      <w:szCs w:val="21"/>
                    </w:rPr>
                    <w:t>~</w:t>
                  </w:r>
                  <w:r>
                    <w:rPr>
                      <w:rFonts w:hint="eastAsia" w:ascii="Times New Roman" w:hAnsi="Times New Roman" w:eastAsia="宋体" w:cs="Times New Roman"/>
                      <w:szCs w:val="21"/>
                    </w:rPr>
                    <w:t>0.74</w:t>
                  </w:r>
                </w:p>
                <w:p w14:paraId="7C3C79A4">
                  <w:pPr>
                    <w:widowControl/>
                    <w:jc w:val="center"/>
                    <w:textAlignment w:val="center"/>
                  </w:pPr>
                  <w:r>
                    <w:rPr>
                      <w:rFonts w:hint="eastAsia" w:ascii="Times New Roman" w:hAnsi="Times New Roman" w:cs="Times New Roman"/>
                      <w:szCs w:val="21"/>
                    </w:rPr>
                    <w:t>m</w:t>
                  </w:r>
                  <w:r>
                    <w:rPr>
                      <w:rFonts w:ascii="Times New Roman" w:hAnsi="Times New Roman" w:cs="Times New Roman"/>
                      <w:szCs w:val="21"/>
                    </w:rPr>
                    <w:t>g/m</w:t>
                  </w:r>
                  <w:r>
                    <w:rPr>
                      <w:rFonts w:hint="eastAsia" w:ascii="Times New Roman" w:hAnsi="Times New Roman" w:cs="Times New Roman"/>
                      <w:szCs w:val="21"/>
                      <w:vertAlign w:val="superscript"/>
                    </w:rPr>
                    <w:t>3</w:t>
                  </w:r>
                </w:p>
              </w:tc>
              <w:tc>
                <w:tcPr>
                  <w:tcW w:w="571" w:type="pct"/>
                  <w:tcBorders>
                    <w:tl2br w:val="nil"/>
                    <w:tr2bl w:val="nil"/>
                  </w:tcBorders>
                  <w:vAlign w:val="center"/>
                </w:tcPr>
                <w:p w14:paraId="371376A6">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37%</w:t>
                  </w:r>
                </w:p>
              </w:tc>
              <w:tc>
                <w:tcPr>
                  <w:tcW w:w="466" w:type="pct"/>
                  <w:tcBorders>
                    <w:tl2br w:val="nil"/>
                    <w:tr2bl w:val="nil"/>
                  </w:tcBorders>
                  <w:vAlign w:val="center"/>
                </w:tcPr>
                <w:p w14:paraId="00BB91B4">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0</w:t>
                  </w:r>
                </w:p>
              </w:tc>
              <w:tc>
                <w:tcPr>
                  <w:tcW w:w="524" w:type="pct"/>
                  <w:tcBorders>
                    <w:tl2br w:val="nil"/>
                    <w:tr2bl w:val="nil"/>
                  </w:tcBorders>
                  <w:vAlign w:val="center"/>
                </w:tcPr>
                <w:p w14:paraId="36D1603C">
                  <w:pPr>
                    <w:widowControl/>
                    <w:jc w:val="center"/>
                    <w:textAlignment w:val="center"/>
                    <w:rPr>
                      <w:rFonts w:ascii="Times New Roman" w:hAnsi="Times New Roman" w:eastAsia="宋体" w:cs="Times New Roman"/>
                      <w:szCs w:val="21"/>
                    </w:rPr>
                  </w:pPr>
                  <w:r>
                    <w:rPr>
                      <w:rFonts w:ascii="Times New Roman" w:hAnsi="Times New Roman" w:eastAsia="宋体" w:cs="Times New Roman"/>
                      <w:szCs w:val="21"/>
                    </w:rPr>
                    <w:t>达标</w:t>
                  </w:r>
                </w:p>
              </w:tc>
            </w:tr>
          </w:tbl>
          <w:p w14:paraId="6F903659">
            <w:pPr>
              <w:widowControl/>
              <w:wordWrap w:val="0"/>
              <w:topLinePunct/>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从上述结果可知，TSP、氮氧化物、</w:t>
            </w:r>
            <w:r>
              <w:rPr>
                <w:rFonts w:ascii="Times New Roman" w:hAnsi="Times New Roman" w:eastAsia="宋体" w:cs="Times New Roman"/>
                <w:kern w:val="0"/>
                <w:sz w:val="24"/>
              </w:rPr>
              <w:t>苯并[а]芘</w:t>
            </w:r>
            <w:r>
              <w:rPr>
                <w:rFonts w:hint="eastAsia" w:ascii="Times New Roman" w:hAnsi="Times New Roman" w:eastAsia="宋体" w:cs="Times New Roman"/>
                <w:sz w:val="24"/>
              </w:rPr>
              <w:t>满足《环境空气质量标准》（GB3095-2026）中的二级标准限值要求；非甲烷总烃满足《大气污染物综合排放标准 详解》中的推荐标准值。说明项目所在区域环境空气质量现状良好。</w:t>
            </w:r>
          </w:p>
          <w:p w14:paraId="0A81DA63">
            <w:pPr>
              <w:widowControl/>
              <w:wordWrap w:val="0"/>
              <w:topLinePunct/>
              <w:snapToGrid w:val="0"/>
              <w:spacing w:line="360" w:lineRule="auto"/>
              <w:rPr>
                <w:rFonts w:ascii="Times New Roman" w:hAnsi="Times New Roman" w:eastAsia="宋体" w:cs="Times New Roman"/>
                <w:b/>
                <w:bCs/>
                <w:sz w:val="24"/>
              </w:rPr>
            </w:pPr>
            <w:r>
              <w:rPr>
                <w:rFonts w:hint="eastAsia" w:ascii="Times New Roman" w:hAnsi="Times New Roman" w:eastAsia="宋体" w:cs="Times New Roman"/>
                <w:b/>
                <w:bCs/>
                <w:sz w:val="24"/>
              </w:rPr>
              <w:t>2地表水环境质量现状</w:t>
            </w:r>
          </w:p>
          <w:p w14:paraId="32A3CABA">
            <w:pPr>
              <w:widowControl/>
              <w:wordWrap w:val="0"/>
              <w:topLinePunct/>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根据《甘肃省地表水功能区划（</w:t>
            </w:r>
            <w:r>
              <w:rPr>
                <w:rFonts w:ascii="Times New Roman" w:hAnsi="Times New Roman" w:eastAsia="宋体" w:cs="Times New Roman"/>
                <w:sz w:val="24"/>
              </w:rPr>
              <w:t>2012-2030</w:t>
            </w:r>
            <w:r>
              <w:rPr>
                <w:rFonts w:hint="eastAsia" w:ascii="Times New Roman" w:hAnsi="Times New Roman" w:eastAsia="宋体" w:cs="Times New Roman"/>
                <w:sz w:val="24"/>
              </w:rPr>
              <w:t>年）》（甘政函【</w:t>
            </w:r>
            <w:r>
              <w:rPr>
                <w:rFonts w:ascii="Times New Roman" w:hAnsi="Times New Roman" w:eastAsia="宋体" w:cs="Times New Roman"/>
                <w:sz w:val="24"/>
              </w:rPr>
              <w:t>2013</w:t>
            </w:r>
            <w:r>
              <w:rPr>
                <w:rFonts w:hint="eastAsia" w:ascii="Times New Roman" w:hAnsi="Times New Roman" w:eastAsia="宋体" w:cs="Times New Roman"/>
                <w:sz w:val="24"/>
              </w:rPr>
              <w:t>】</w:t>
            </w:r>
            <w:r>
              <w:rPr>
                <w:rFonts w:ascii="Times New Roman" w:hAnsi="Times New Roman" w:eastAsia="宋体" w:cs="Times New Roman"/>
                <w:sz w:val="24"/>
              </w:rPr>
              <w:t>4</w:t>
            </w:r>
            <w:r>
              <w:rPr>
                <w:rFonts w:hint="eastAsia" w:ascii="Times New Roman" w:hAnsi="Times New Roman" w:eastAsia="宋体" w:cs="Times New Roman"/>
                <w:sz w:val="24"/>
              </w:rPr>
              <w:t>号），本项目区域地表水系为Ⅲ类水域功能区。</w:t>
            </w:r>
          </w:p>
          <w:p w14:paraId="50A51557">
            <w:pPr>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次评价引用2025年度“《张掖市生态环境局关于地表水环境质量监测结果和城市集中式饮用水水源水质状况的公告》中附件1地表水环境质量监测结果”。2025年度，张掖市临泽县区域地表水系共监测2个断面，分别为黑河高崖水文站国控/省控断面、黑河四坝省控断面，2个断面实测结果均能达标（实测水质类别Ⅱ类及以上）。</w:t>
            </w:r>
          </w:p>
          <w:p w14:paraId="6830874A">
            <w:pPr>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根据现场踏勘，距本项目南侧边界约300m处为直河，属季节性泄洪河道，向西南汇入黑河；本项目无外排生产废水，</w:t>
            </w:r>
            <w:r>
              <w:rPr>
                <w:rFonts w:hint="eastAsia" w:ascii="Times New Roman" w:hAnsi="Times New Roman" w:eastAsia="宋体" w:cs="Times New Roman"/>
                <w:color w:val="0000FF"/>
                <w:sz w:val="24"/>
              </w:rPr>
              <w:t>生活污水（含食堂废水）经隔油池</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化粪池预处理后，</w:t>
            </w:r>
            <w:r>
              <w:rPr>
                <w:rFonts w:hint="eastAsia" w:ascii="Times New Roman" w:hAnsi="Times New Roman" w:eastAsia="宋体" w:cs="Times New Roman"/>
                <w:color w:val="0000FF"/>
                <w:sz w:val="24"/>
                <w:lang w:val="en-US" w:eastAsia="zh-CN"/>
              </w:rPr>
              <w:t>暂</w:t>
            </w:r>
            <w:r>
              <w:rPr>
                <w:rFonts w:hint="eastAsia" w:ascii="Times New Roman" w:hAnsi="Times New Roman" w:eastAsia="宋体" w:cs="Times New Roman"/>
                <w:color w:val="0000FF"/>
                <w:sz w:val="24"/>
              </w:rPr>
              <w:t>定期委托专业吸污车进行抽吸清运，</w:t>
            </w:r>
            <w:r>
              <w:rPr>
                <w:rFonts w:hint="eastAsia" w:ascii="Times New Roman" w:hAnsi="Times New Roman" w:eastAsia="宋体" w:cs="Times New Roman"/>
                <w:color w:val="0000FF"/>
                <w:sz w:val="24"/>
                <w:lang w:val="en-US" w:eastAsia="zh-CN"/>
              </w:rPr>
              <w:t>并跟踪去向</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待凹凸棒石初级加工园区污水处理厂投入</w:t>
            </w:r>
            <w:r>
              <w:rPr>
                <w:rFonts w:hint="eastAsia" w:ascii="Times New Roman" w:hAnsi="Times New Roman" w:eastAsia="宋体" w:cs="Times New Roman"/>
                <w:color w:val="0000FF"/>
                <w:sz w:val="24"/>
                <w:lang w:val="en-US" w:eastAsia="zh-CN"/>
              </w:rPr>
              <w:t>稳定</w:t>
            </w:r>
            <w:r>
              <w:rPr>
                <w:rFonts w:hint="eastAsia" w:ascii="Times New Roman" w:hAnsi="Times New Roman" w:eastAsia="宋体" w:cs="Times New Roman"/>
                <w:color w:val="0000FF"/>
                <w:sz w:val="24"/>
              </w:rPr>
              <w:t>运行后，排入该污水处理厂进行处理</w:t>
            </w:r>
            <w:r>
              <w:rPr>
                <w:rFonts w:hint="eastAsia" w:ascii="Times New Roman" w:hAnsi="Times New Roman" w:eastAsia="宋体" w:cs="Times New Roman"/>
                <w:sz w:val="24"/>
              </w:rPr>
              <w:t>，不会对区域地表水环境产生明显不利影响。</w:t>
            </w:r>
          </w:p>
          <w:p w14:paraId="28C3162C">
            <w:pPr>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综上所述，本项目区域地表水质量状况良好，能够满足《地表水环境质量标准》（GB3838-2002）Ⅲ类标准。</w:t>
            </w:r>
          </w:p>
          <w:p w14:paraId="5F366C3A">
            <w:pPr>
              <w:wordWrap w:val="0"/>
              <w:topLinePunct/>
              <w:adjustRightInd w:val="0"/>
              <w:snapToGrid w:val="0"/>
              <w:spacing w:line="360" w:lineRule="auto"/>
              <w:rPr>
                <w:rFonts w:ascii="Times New Roman" w:hAnsi="Times New Roman" w:eastAsia="宋体" w:cs="Times New Roman"/>
                <w:b/>
                <w:bCs/>
                <w:sz w:val="24"/>
              </w:rPr>
            </w:pPr>
            <w:r>
              <w:rPr>
                <w:rFonts w:hint="eastAsia" w:ascii="Times New Roman" w:hAnsi="Times New Roman" w:eastAsia="宋体" w:cs="Times New Roman"/>
                <w:b/>
                <w:bCs/>
                <w:sz w:val="24"/>
              </w:rPr>
              <w:t>3声环境质量现状</w:t>
            </w:r>
          </w:p>
          <w:p w14:paraId="45E2C988">
            <w:pPr>
              <w:wordWrap w:val="0"/>
              <w:topLinePunct/>
              <w:adjustRightInd w:val="0"/>
              <w:snapToGrid w:val="0"/>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根据</w:t>
            </w:r>
            <w:r>
              <w:rPr>
                <w:rFonts w:hint="eastAsia" w:ascii="Times New Roman" w:hAnsi="Times New Roman" w:eastAsia="宋体" w:cs="Times New Roman"/>
                <w:sz w:val="24"/>
              </w:rPr>
              <w:t>“《建设项目环境影响报告表编制技术指南（污染影响类）（试行）》，厂界外周边50米范围内存在声环境保护目标的建设项目，应监测保护目标声环境质量现状并评价达标情况”。本项目厂界外周边50m范围内无声环境保护目标，因此，</w:t>
            </w:r>
            <w:r>
              <w:rPr>
                <w:rFonts w:ascii="Times New Roman" w:hAnsi="Times New Roman" w:eastAsia="宋体" w:cs="Times New Roman"/>
                <w:sz w:val="24"/>
              </w:rPr>
              <w:t>无需对</w:t>
            </w:r>
            <w:r>
              <w:rPr>
                <w:rFonts w:hint="eastAsia" w:ascii="Times New Roman" w:hAnsi="Times New Roman" w:eastAsia="宋体" w:cs="Times New Roman"/>
                <w:sz w:val="24"/>
              </w:rPr>
              <w:t>本</w:t>
            </w:r>
            <w:r>
              <w:rPr>
                <w:rFonts w:ascii="Times New Roman" w:hAnsi="Times New Roman" w:eastAsia="宋体" w:cs="Times New Roman"/>
                <w:sz w:val="24"/>
              </w:rPr>
              <w:t>项目周边声环境质量现状进行监测</w:t>
            </w:r>
            <w:r>
              <w:rPr>
                <w:rFonts w:hint="eastAsia" w:ascii="Times New Roman" w:hAnsi="Times New Roman" w:eastAsia="宋体" w:cs="Times New Roman"/>
                <w:sz w:val="24"/>
              </w:rPr>
              <w:t>评价</w:t>
            </w:r>
            <w:r>
              <w:rPr>
                <w:rFonts w:ascii="Times New Roman" w:hAnsi="Times New Roman" w:eastAsia="宋体" w:cs="Times New Roman"/>
                <w:sz w:val="24"/>
              </w:rPr>
              <w:t>。</w:t>
            </w:r>
          </w:p>
          <w:p w14:paraId="285A45CB">
            <w:pPr>
              <w:widowControl/>
              <w:wordWrap w:val="0"/>
              <w:topLinePunct/>
              <w:adjustRightInd w:val="0"/>
              <w:snapToGrid w:val="0"/>
              <w:spacing w:line="360" w:lineRule="auto"/>
              <w:rPr>
                <w:rFonts w:ascii="Times New Roman" w:hAnsi="Times New Roman" w:eastAsia="宋体" w:cs="Times New Roman"/>
                <w:b/>
                <w:bCs/>
                <w:sz w:val="24"/>
              </w:rPr>
            </w:pPr>
            <w:r>
              <w:rPr>
                <w:rFonts w:hint="eastAsia" w:ascii="Times New Roman" w:hAnsi="Times New Roman" w:eastAsia="宋体" w:cs="Times New Roman"/>
                <w:b/>
                <w:bCs/>
                <w:sz w:val="24"/>
              </w:rPr>
              <w:t>4土壤环境现状</w:t>
            </w:r>
          </w:p>
          <w:p w14:paraId="2A3438FD">
            <w:pPr>
              <w:widowControl/>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考虑本项目大气污染物排放可能通过大气沉降途径进入周边土壤环境，因此对本项目区域土壤环境开展现状调查以留作背景值。</w:t>
            </w:r>
          </w:p>
          <w:p w14:paraId="307B1D40">
            <w:pPr>
              <w:widowControl/>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根据现场踏勘，距本项目西边界约150m处有荒地存在，现场可见，地表土壤存在扰动痕迹，但未见耕种迹象，本次对该区域土壤环境开展现状调查以留作背景值。</w:t>
            </w:r>
          </w:p>
          <w:p w14:paraId="7E1DE3D5">
            <w:pPr>
              <w:widowControl/>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甘肃聚联新型材料有限公司于2026年06月04日委托甘肃领越检测技术有限公司对本项目区域土壤质量现状进行检测，甘肃领越检测技术有限公司于2026年6月25日（领越环检字（202606）第069号）出具了检测报告。</w:t>
            </w:r>
          </w:p>
          <w:p w14:paraId="5BBA5C70">
            <w:pPr>
              <w:widowControl/>
              <w:snapToGrid w:val="0"/>
              <w:spacing w:line="360" w:lineRule="auto"/>
              <w:ind w:firstLine="482"/>
              <w:rPr>
                <w:rFonts w:ascii="Times New Roman" w:hAnsi="Times New Roman" w:eastAsia="宋体" w:cs="Times New Roman"/>
                <w:sz w:val="24"/>
              </w:rPr>
            </w:pPr>
            <w:r>
              <w:rPr>
                <w:rFonts w:hint="eastAsia" w:ascii="Times New Roman" w:hAnsi="Times New Roman" w:eastAsia="宋体" w:cs="Times New Roman"/>
                <w:sz w:val="24"/>
              </w:rPr>
              <w:t>①监测项目、点位、频次</w:t>
            </w:r>
          </w:p>
          <w:p w14:paraId="17790A7C">
            <w:pPr>
              <w:widowControl/>
              <w:wordWrap w:val="0"/>
              <w:topLinePunct/>
              <w:adjustRightInd w:val="0"/>
              <w:snapToGrid w:val="0"/>
              <w:jc w:val="center"/>
            </w:pPr>
            <w:r>
              <w:rPr>
                <w:rFonts w:hint="eastAsia" w:ascii="Times New Roman" w:hAnsi="Times New Roman" w:eastAsia="宋体" w:cs="宋体-PUA"/>
                <w:b/>
                <w:sz w:val="24"/>
                <w:shd w:val="clear" w:color="auto" w:fill="FFFFFF"/>
              </w:rPr>
              <w:t xml:space="preserve"> 表3-5  土壤质量现状检测点位基本信息表</w:t>
            </w:r>
          </w:p>
          <w:tbl>
            <w:tblPr>
              <w:tblStyle w:val="28"/>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7"/>
              <w:gridCol w:w="4618"/>
              <w:gridCol w:w="976"/>
              <w:gridCol w:w="937"/>
            </w:tblGrid>
            <w:tr w14:paraId="1DD1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427" w:type="dxa"/>
                  <w:tcBorders>
                    <w:tl2br w:val="nil"/>
                    <w:tr2bl w:val="nil"/>
                  </w:tcBorders>
                  <w:vAlign w:val="center"/>
                </w:tcPr>
                <w:p w14:paraId="1993E9B3">
                  <w:pPr>
                    <w:widowControl/>
                    <w:jc w:val="center"/>
                    <w:rPr>
                      <w:rFonts w:ascii="Times New Roman" w:hAnsi="Times New Roman" w:eastAsia="宋体" w:cs="Times New Roman"/>
                      <w:b/>
                      <w:kern w:val="0"/>
                      <w:szCs w:val="21"/>
                    </w:rPr>
                  </w:pPr>
                  <w:r>
                    <w:rPr>
                      <w:rFonts w:ascii="Times New Roman" w:hAnsi="Times New Roman" w:eastAsia="宋体" w:cs="Times New Roman"/>
                      <w:b/>
                      <w:kern w:val="0"/>
                      <w:szCs w:val="21"/>
                    </w:rPr>
                    <w:t>检测点位</w:t>
                  </w:r>
                </w:p>
              </w:tc>
              <w:tc>
                <w:tcPr>
                  <w:tcW w:w="4618" w:type="dxa"/>
                  <w:tcBorders>
                    <w:tl2br w:val="nil"/>
                    <w:tr2bl w:val="nil"/>
                  </w:tcBorders>
                  <w:vAlign w:val="center"/>
                </w:tcPr>
                <w:p w14:paraId="5A7949C6">
                  <w:pPr>
                    <w:widowControl/>
                    <w:jc w:val="center"/>
                    <w:rPr>
                      <w:rFonts w:ascii="Times New Roman" w:hAnsi="Times New Roman" w:eastAsia="宋体" w:cs="Times New Roman"/>
                      <w:b/>
                    </w:rPr>
                  </w:pPr>
                  <w:r>
                    <w:rPr>
                      <w:rFonts w:ascii="Times New Roman" w:hAnsi="Times New Roman" w:eastAsia="宋体" w:cs="Times New Roman"/>
                      <w:b/>
                    </w:rPr>
                    <w:t>检测项目</w:t>
                  </w:r>
                </w:p>
              </w:tc>
              <w:tc>
                <w:tcPr>
                  <w:tcW w:w="976" w:type="dxa"/>
                  <w:tcBorders>
                    <w:tl2br w:val="nil"/>
                    <w:tr2bl w:val="nil"/>
                  </w:tcBorders>
                  <w:vAlign w:val="center"/>
                </w:tcPr>
                <w:p w14:paraId="7A101149">
                  <w:pPr>
                    <w:widowControl/>
                    <w:jc w:val="center"/>
                    <w:rPr>
                      <w:rFonts w:ascii="Times New Roman" w:hAnsi="Times New Roman" w:eastAsia="宋体" w:cs="Times New Roman"/>
                      <w:b/>
                      <w:kern w:val="0"/>
                      <w:szCs w:val="21"/>
                    </w:rPr>
                  </w:pPr>
                  <w:r>
                    <w:rPr>
                      <w:rFonts w:ascii="Times New Roman" w:hAnsi="Times New Roman" w:eastAsia="宋体" w:cs="Times New Roman"/>
                      <w:b/>
                      <w:kern w:val="0"/>
                      <w:szCs w:val="21"/>
                    </w:rPr>
                    <w:t>样品</w:t>
                  </w:r>
                </w:p>
                <w:p w14:paraId="55740DFC">
                  <w:pPr>
                    <w:widowControl/>
                    <w:jc w:val="center"/>
                    <w:rPr>
                      <w:rFonts w:ascii="Times New Roman" w:hAnsi="Times New Roman" w:eastAsia="宋体" w:cs="Times New Roman"/>
                      <w:b/>
                      <w:kern w:val="0"/>
                      <w:szCs w:val="21"/>
                    </w:rPr>
                  </w:pPr>
                  <w:r>
                    <w:rPr>
                      <w:rFonts w:ascii="Times New Roman" w:hAnsi="Times New Roman" w:eastAsia="宋体" w:cs="Times New Roman"/>
                      <w:b/>
                      <w:kern w:val="0"/>
                      <w:szCs w:val="21"/>
                    </w:rPr>
                    <w:t>采集</w:t>
                  </w:r>
                </w:p>
              </w:tc>
              <w:tc>
                <w:tcPr>
                  <w:tcW w:w="937" w:type="dxa"/>
                  <w:tcBorders>
                    <w:tl2br w:val="nil"/>
                    <w:tr2bl w:val="nil"/>
                  </w:tcBorders>
                  <w:vAlign w:val="center"/>
                </w:tcPr>
                <w:p w14:paraId="60496F1C">
                  <w:pPr>
                    <w:widowControl/>
                    <w:jc w:val="center"/>
                    <w:rPr>
                      <w:rFonts w:ascii="Times New Roman" w:hAnsi="Times New Roman" w:eastAsia="宋体" w:cs="Times New Roman"/>
                      <w:b/>
                      <w:kern w:val="0"/>
                      <w:szCs w:val="21"/>
                    </w:rPr>
                  </w:pPr>
                  <w:r>
                    <w:rPr>
                      <w:rFonts w:ascii="Times New Roman" w:hAnsi="Times New Roman" w:eastAsia="宋体" w:cs="Times New Roman"/>
                      <w:b/>
                      <w:kern w:val="0"/>
                      <w:szCs w:val="21"/>
                    </w:rPr>
                    <w:t>检测</w:t>
                  </w:r>
                </w:p>
                <w:p w14:paraId="7C387AF5">
                  <w:pPr>
                    <w:widowControl/>
                    <w:jc w:val="center"/>
                    <w:rPr>
                      <w:rFonts w:ascii="Times New Roman" w:hAnsi="Times New Roman" w:eastAsia="宋体" w:cs="Times New Roman"/>
                      <w:b/>
                      <w:kern w:val="0"/>
                      <w:szCs w:val="21"/>
                      <w:u w:val="single"/>
                    </w:rPr>
                  </w:pPr>
                  <w:r>
                    <w:rPr>
                      <w:rFonts w:ascii="Times New Roman" w:hAnsi="Times New Roman" w:eastAsia="宋体" w:cs="Times New Roman"/>
                      <w:b/>
                      <w:kern w:val="0"/>
                      <w:szCs w:val="21"/>
                    </w:rPr>
                    <w:t>频次</w:t>
                  </w:r>
                </w:p>
              </w:tc>
            </w:tr>
            <w:tr w14:paraId="129F1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27" w:type="dxa"/>
                  <w:tcBorders>
                    <w:tl2br w:val="nil"/>
                    <w:tr2bl w:val="nil"/>
                  </w:tcBorders>
                  <w:vAlign w:val="center"/>
                </w:tcPr>
                <w:p w14:paraId="1B11A686">
                  <w:pPr>
                    <w:jc w:val="center"/>
                    <w:rPr>
                      <w:rFonts w:ascii="Times New Roman" w:hAnsi="Times New Roman" w:eastAsia="宋体" w:cs="Times New Roman"/>
                    </w:rPr>
                  </w:pPr>
                  <w:r>
                    <w:rPr>
                      <w:rFonts w:hint="eastAsia" w:ascii="Times New Roman" w:hAnsi="Times New Roman" w:eastAsia="宋体" w:cs="Times New Roman"/>
                    </w:rPr>
                    <w:t>1#</w:t>
                  </w:r>
                  <w:r>
                    <w:rPr>
                      <w:rFonts w:ascii="Times New Roman" w:hAnsi="Times New Roman" w:eastAsia="宋体" w:cs="Times New Roman"/>
                    </w:rPr>
                    <w:t>厂区</w:t>
                  </w:r>
                  <w:r>
                    <w:rPr>
                      <w:rFonts w:hint="eastAsia" w:ascii="Times New Roman" w:hAnsi="Times New Roman" w:eastAsia="宋体" w:cs="Times New Roman"/>
                    </w:rPr>
                    <w:t>储罐区</w:t>
                  </w:r>
                  <w:r>
                    <w:rPr>
                      <w:rFonts w:ascii="Times New Roman" w:hAnsi="Times New Roman" w:eastAsia="宋体" w:cs="Times New Roman"/>
                    </w:rPr>
                    <w:t>下游</w:t>
                  </w:r>
                </w:p>
              </w:tc>
              <w:tc>
                <w:tcPr>
                  <w:tcW w:w="4618" w:type="dxa"/>
                  <w:tcBorders>
                    <w:tl2br w:val="nil"/>
                    <w:tr2bl w:val="nil"/>
                  </w:tcBorders>
                  <w:vAlign w:val="center"/>
                </w:tcPr>
                <w:p w14:paraId="0F2E2A2A">
                  <w:pPr>
                    <w:jc w:val="center"/>
                    <w:rPr>
                      <w:rFonts w:ascii="Times New Roman" w:hAnsi="Times New Roman" w:eastAsia="宋体" w:cs="Times New Roman"/>
                    </w:rPr>
                  </w:pPr>
                  <w:r>
                    <w:rPr>
                      <w:rFonts w:ascii="Times New Roman" w:hAnsi="Times New Roman" w:eastAsia="宋体" w:cs="Times New Roman"/>
                    </w:rPr>
                    <w:t>pH值</w:t>
                  </w:r>
                  <w:r>
                    <w:rPr>
                      <w:rFonts w:hint="eastAsia" w:ascii="Times New Roman" w:hAnsi="Times New Roman" w:eastAsia="宋体" w:cs="Times New Roman"/>
                    </w:rPr>
                    <w:t>、</w:t>
                  </w:r>
                  <w:r>
                    <w:rPr>
                      <w:rFonts w:ascii="Times New Roman" w:hAnsi="Times New Roman" w:eastAsia="宋体" w:cs="Times New Roman"/>
                    </w:rPr>
                    <w:t>砷</w:t>
                  </w:r>
                  <w:r>
                    <w:rPr>
                      <w:rFonts w:hint="eastAsia" w:ascii="Times New Roman" w:hAnsi="Times New Roman" w:eastAsia="宋体" w:cs="Times New Roman"/>
                    </w:rPr>
                    <w:t>、</w:t>
                  </w:r>
                  <w:r>
                    <w:rPr>
                      <w:rFonts w:ascii="Times New Roman" w:hAnsi="Times New Roman" w:eastAsia="宋体" w:cs="Times New Roman"/>
                    </w:rPr>
                    <w:t>镉</w:t>
                  </w:r>
                  <w:r>
                    <w:rPr>
                      <w:rFonts w:hint="eastAsia" w:ascii="Times New Roman" w:hAnsi="Times New Roman" w:eastAsia="宋体" w:cs="Times New Roman"/>
                    </w:rPr>
                    <w:t>、</w:t>
                  </w:r>
                  <w:r>
                    <w:rPr>
                      <w:rFonts w:ascii="Times New Roman" w:hAnsi="Times New Roman" w:eastAsia="宋体" w:cs="Times New Roman"/>
                    </w:rPr>
                    <w:t>铬（六价）</w:t>
                  </w:r>
                  <w:r>
                    <w:rPr>
                      <w:rFonts w:hint="eastAsia" w:ascii="Times New Roman" w:hAnsi="Times New Roman" w:eastAsia="宋体" w:cs="Times New Roman"/>
                    </w:rPr>
                    <w:t>、</w:t>
                  </w:r>
                  <w:r>
                    <w:rPr>
                      <w:rFonts w:ascii="Times New Roman" w:hAnsi="Times New Roman" w:eastAsia="宋体" w:cs="Times New Roman"/>
                    </w:rPr>
                    <w:t>铜</w:t>
                  </w:r>
                  <w:r>
                    <w:rPr>
                      <w:rFonts w:hint="eastAsia" w:ascii="Times New Roman" w:hAnsi="Times New Roman" w:eastAsia="宋体" w:cs="Times New Roman"/>
                    </w:rPr>
                    <w:t>、</w:t>
                  </w:r>
                  <w:r>
                    <w:rPr>
                      <w:rFonts w:ascii="Times New Roman" w:hAnsi="Times New Roman" w:eastAsia="宋体" w:cs="Times New Roman"/>
                    </w:rPr>
                    <w:t>铅</w:t>
                  </w:r>
                  <w:r>
                    <w:rPr>
                      <w:rFonts w:hint="eastAsia" w:ascii="Times New Roman" w:hAnsi="Times New Roman" w:eastAsia="宋体" w:cs="Times New Roman"/>
                    </w:rPr>
                    <w:t>、</w:t>
                  </w:r>
                  <w:r>
                    <w:rPr>
                      <w:rFonts w:ascii="Times New Roman" w:hAnsi="Times New Roman" w:eastAsia="宋体" w:cs="Times New Roman"/>
                    </w:rPr>
                    <w:t>汞</w:t>
                  </w:r>
                  <w:r>
                    <w:rPr>
                      <w:rFonts w:hint="eastAsia" w:ascii="Times New Roman" w:hAnsi="Times New Roman" w:eastAsia="宋体" w:cs="Times New Roman"/>
                    </w:rPr>
                    <w:t>、</w:t>
                  </w:r>
                  <w:r>
                    <w:rPr>
                      <w:rFonts w:ascii="Times New Roman" w:hAnsi="Times New Roman" w:eastAsia="宋体" w:cs="Times New Roman"/>
                    </w:rPr>
                    <w:t>镍</w:t>
                  </w:r>
                  <w:r>
                    <w:rPr>
                      <w:rFonts w:hint="eastAsia" w:ascii="Times New Roman" w:hAnsi="Times New Roman" w:eastAsia="宋体" w:cs="Times New Roman"/>
                    </w:rPr>
                    <w:t>、</w:t>
                  </w:r>
                  <w:r>
                    <w:rPr>
                      <w:rFonts w:ascii="Times New Roman" w:hAnsi="Times New Roman" w:eastAsia="宋体" w:cs="Times New Roman"/>
                    </w:rPr>
                    <w:t>四氯化碳</w:t>
                  </w:r>
                  <w:r>
                    <w:rPr>
                      <w:rFonts w:hint="eastAsia" w:ascii="Times New Roman" w:hAnsi="Times New Roman" w:eastAsia="宋体" w:cs="Times New Roman"/>
                    </w:rPr>
                    <w:t>、</w:t>
                  </w:r>
                  <w:r>
                    <w:rPr>
                      <w:rFonts w:ascii="Times New Roman" w:hAnsi="Times New Roman" w:eastAsia="宋体" w:cs="Times New Roman"/>
                    </w:rPr>
                    <w:t>氯仿</w:t>
                  </w:r>
                  <w:r>
                    <w:rPr>
                      <w:rFonts w:hint="eastAsia" w:ascii="Times New Roman" w:hAnsi="Times New Roman" w:eastAsia="宋体" w:cs="Times New Roman"/>
                    </w:rPr>
                    <w:t>、氯甲烷、</w:t>
                  </w:r>
                  <w:r>
                    <w:rPr>
                      <w:rFonts w:ascii="Times New Roman" w:hAnsi="Times New Roman" w:eastAsia="宋体" w:cs="Times New Roman"/>
                    </w:rPr>
                    <w:t>1,1-二氯乙烷</w:t>
                  </w:r>
                  <w:r>
                    <w:rPr>
                      <w:rFonts w:hint="eastAsia" w:ascii="Times New Roman" w:hAnsi="Times New Roman" w:eastAsia="宋体" w:cs="Times New Roman"/>
                    </w:rPr>
                    <w:t>、</w:t>
                  </w:r>
                  <w:r>
                    <w:rPr>
                      <w:rFonts w:ascii="Times New Roman" w:hAnsi="Times New Roman" w:eastAsia="宋体" w:cs="Times New Roman"/>
                    </w:rPr>
                    <w:t>1,2-二氯乙烷</w:t>
                  </w:r>
                  <w:r>
                    <w:rPr>
                      <w:rFonts w:hint="eastAsia" w:ascii="Times New Roman" w:hAnsi="Times New Roman" w:eastAsia="宋体" w:cs="Times New Roman"/>
                    </w:rPr>
                    <w:t>、</w:t>
                  </w:r>
                  <w:r>
                    <w:rPr>
                      <w:rFonts w:ascii="Times New Roman" w:hAnsi="Times New Roman" w:eastAsia="宋体" w:cs="Times New Roman"/>
                    </w:rPr>
                    <w:t>1,1-二氯乙烯</w:t>
                  </w:r>
                  <w:r>
                    <w:rPr>
                      <w:rFonts w:hint="eastAsia" w:ascii="Times New Roman" w:hAnsi="Times New Roman" w:eastAsia="宋体" w:cs="Times New Roman"/>
                    </w:rPr>
                    <w:t>、</w:t>
                  </w:r>
                  <w:r>
                    <w:rPr>
                      <w:rFonts w:ascii="Times New Roman" w:hAnsi="Times New Roman" w:eastAsia="宋体" w:cs="Times New Roman"/>
                    </w:rPr>
                    <w:t>顺-1,2-二氯乙烯</w:t>
                  </w:r>
                  <w:r>
                    <w:rPr>
                      <w:rFonts w:hint="eastAsia" w:ascii="Times New Roman" w:hAnsi="Times New Roman" w:eastAsia="宋体" w:cs="Times New Roman"/>
                    </w:rPr>
                    <w:t>、</w:t>
                  </w:r>
                  <w:r>
                    <w:rPr>
                      <w:rFonts w:ascii="Times New Roman" w:hAnsi="Times New Roman" w:eastAsia="宋体" w:cs="Times New Roman"/>
                    </w:rPr>
                    <w:t>反-1,2-二氯乙烯</w:t>
                  </w:r>
                  <w:r>
                    <w:rPr>
                      <w:rFonts w:hint="eastAsia" w:ascii="Times New Roman" w:hAnsi="Times New Roman" w:eastAsia="宋体" w:cs="Times New Roman"/>
                    </w:rPr>
                    <w:t>、</w:t>
                  </w:r>
                  <w:r>
                    <w:rPr>
                      <w:rFonts w:ascii="Times New Roman" w:hAnsi="Times New Roman" w:eastAsia="宋体" w:cs="Times New Roman"/>
                    </w:rPr>
                    <w:t>二氯甲烷</w:t>
                  </w:r>
                  <w:r>
                    <w:rPr>
                      <w:rFonts w:hint="eastAsia" w:ascii="Times New Roman" w:hAnsi="Times New Roman" w:eastAsia="宋体" w:cs="Times New Roman"/>
                    </w:rPr>
                    <w:t>、</w:t>
                  </w:r>
                  <w:r>
                    <w:rPr>
                      <w:rFonts w:ascii="Times New Roman" w:hAnsi="Times New Roman" w:eastAsia="宋体" w:cs="Times New Roman"/>
                    </w:rPr>
                    <w:t>1,2-二氯丙烷</w:t>
                  </w:r>
                  <w:r>
                    <w:rPr>
                      <w:rFonts w:hint="eastAsia" w:ascii="Times New Roman" w:hAnsi="Times New Roman" w:eastAsia="宋体" w:cs="Times New Roman"/>
                    </w:rPr>
                    <w:t>、</w:t>
                  </w:r>
                  <w:r>
                    <w:rPr>
                      <w:rFonts w:ascii="Times New Roman" w:hAnsi="Times New Roman" w:eastAsia="宋体" w:cs="Times New Roman"/>
                    </w:rPr>
                    <w:t>1,1,1,2-四氯乙烷</w:t>
                  </w:r>
                  <w:r>
                    <w:rPr>
                      <w:rFonts w:hint="eastAsia" w:ascii="Times New Roman" w:hAnsi="Times New Roman" w:eastAsia="宋体" w:cs="Times New Roman"/>
                    </w:rPr>
                    <w:t>、</w:t>
                  </w:r>
                  <w:r>
                    <w:rPr>
                      <w:rFonts w:ascii="Times New Roman" w:hAnsi="Times New Roman" w:eastAsia="宋体" w:cs="Times New Roman"/>
                    </w:rPr>
                    <w:t>1,1,2,2-四氯乙烷</w:t>
                  </w:r>
                  <w:r>
                    <w:rPr>
                      <w:rFonts w:hint="eastAsia" w:ascii="Times New Roman" w:hAnsi="Times New Roman" w:eastAsia="宋体" w:cs="Times New Roman"/>
                    </w:rPr>
                    <w:t>、</w:t>
                  </w:r>
                  <w:r>
                    <w:rPr>
                      <w:rFonts w:ascii="Times New Roman" w:hAnsi="Times New Roman" w:eastAsia="宋体" w:cs="Times New Roman"/>
                    </w:rPr>
                    <w:t>四氯乙烯</w:t>
                  </w:r>
                  <w:r>
                    <w:rPr>
                      <w:rFonts w:hint="eastAsia" w:ascii="Times New Roman" w:hAnsi="Times New Roman" w:eastAsia="宋体" w:cs="Times New Roman"/>
                    </w:rPr>
                    <w:t>、</w:t>
                  </w:r>
                  <w:r>
                    <w:rPr>
                      <w:rFonts w:ascii="Times New Roman" w:hAnsi="Times New Roman" w:eastAsia="宋体" w:cs="Times New Roman"/>
                    </w:rPr>
                    <w:t>1,1,1-三氯乙烷</w:t>
                  </w:r>
                  <w:r>
                    <w:rPr>
                      <w:rFonts w:hint="eastAsia" w:ascii="Times New Roman" w:hAnsi="Times New Roman" w:eastAsia="宋体" w:cs="Times New Roman"/>
                    </w:rPr>
                    <w:t>、</w:t>
                  </w:r>
                  <w:r>
                    <w:rPr>
                      <w:rFonts w:ascii="Times New Roman" w:hAnsi="Times New Roman" w:eastAsia="宋体" w:cs="Times New Roman"/>
                    </w:rPr>
                    <w:t>1,1,2-三氯乙烷</w:t>
                  </w:r>
                  <w:r>
                    <w:rPr>
                      <w:rFonts w:hint="eastAsia" w:ascii="Times New Roman" w:hAnsi="Times New Roman" w:eastAsia="宋体" w:cs="Times New Roman"/>
                    </w:rPr>
                    <w:t>、</w:t>
                  </w:r>
                  <w:r>
                    <w:rPr>
                      <w:rFonts w:ascii="Times New Roman" w:hAnsi="Times New Roman" w:eastAsia="宋体" w:cs="Times New Roman"/>
                    </w:rPr>
                    <w:t>三氯乙烯</w:t>
                  </w:r>
                  <w:r>
                    <w:rPr>
                      <w:rFonts w:hint="eastAsia" w:ascii="Times New Roman" w:hAnsi="Times New Roman" w:eastAsia="宋体" w:cs="Times New Roman"/>
                    </w:rPr>
                    <w:t>、</w:t>
                  </w:r>
                  <w:r>
                    <w:rPr>
                      <w:rFonts w:ascii="Times New Roman" w:hAnsi="Times New Roman" w:eastAsia="宋体" w:cs="Times New Roman"/>
                    </w:rPr>
                    <w:t>1,2,3-三氯丙烷</w:t>
                  </w:r>
                  <w:r>
                    <w:rPr>
                      <w:rFonts w:hint="eastAsia" w:ascii="Times New Roman" w:hAnsi="Times New Roman" w:eastAsia="宋体" w:cs="Times New Roman"/>
                    </w:rPr>
                    <w:t>、</w:t>
                  </w:r>
                  <w:r>
                    <w:rPr>
                      <w:rFonts w:ascii="Times New Roman" w:hAnsi="Times New Roman" w:eastAsia="宋体" w:cs="Times New Roman"/>
                    </w:rPr>
                    <w:t>氯乙烯</w:t>
                  </w:r>
                  <w:r>
                    <w:rPr>
                      <w:rFonts w:hint="eastAsia" w:ascii="Times New Roman" w:hAnsi="Times New Roman" w:eastAsia="宋体" w:cs="Times New Roman"/>
                    </w:rPr>
                    <w:t>、</w:t>
                  </w:r>
                  <w:r>
                    <w:rPr>
                      <w:rFonts w:ascii="Times New Roman" w:hAnsi="Times New Roman" w:eastAsia="宋体" w:cs="Times New Roman"/>
                    </w:rPr>
                    <w:t>苯、氯苯、1,2-二氯苯、1,4-二氯苯、乙苯、苯乙烯、甲苯、间二甲苯+对二甲苯、邻二甲苯、硝基苯、苯胺、2-氯酚、苯并[a]蒽、苯并[a]芘、苯并[b]荧蒽、苯并[k]荧蒽、䓛、二苯并[a,h]蒽、茚并[1,2,3-cd]芘、萘</w:t>
                  </w:r>
                  <w:r>
                    <w:rPr>
                      <w:rFonts w:hint="eastAsia" w:ascii="Times New Roman" w:hAnsi="Times New Roman" w:eastAsia="宋体" w:cs="Times New Roman"/>
                    </w:rPr>
                    <w:t>、石油烃及土壤理化特性</w:t>
                  </w:r>
                </w:p>
              </w:tc>
              <w:tc>
                <w:tcPr>
                  <w:tcW w:w="976" w:type="dxa"/>
                  <w:vMerge w:val="restart"/>
                  <w:tcBorders>
                    <w:tl2br w:val="nil"/>
                    <w:tr2bl w:val="nil"/>
                  </w:tcBorders>
                  <w:vAlign w:val="center"/>
                </w:tcPr>
                <w:p w14:paraId="79144BAC">
                  <w:pPr>
                    <w:widowControl/>
                    <w:jc w:val="center"/>
                    <w:rPr>
                      <w:rFonts w:ascii="Times New Roman" w:hAnsi="Times New Roman" w:eastAsia="宋体" w:cs="Times New Roman"/>
                    </w:rPr>
                  </w:pPr>
                  <w:r>
                    <w:rPr>
                      <w:rFonts w:ascii="Times New Roman" w:hAnsi="Times New Roman" w:eastAsia="宋体" w:cs="Times New Roman"/>
                    </w:rPr>
                    <w:t>表层样</w:t>
                  </w:r>
                </w:p>
              </w:tc>
              <w:tc>
                <w:tcPr>
                  <w:tcW w:w="937" w:type="dxa"/>
                  <w:vMerge w:val="restart"/>
                  <w:tcBorders>
                    <w:tl2br w:val="nil"/>
                    <w:tr2bl w:val="nil"/>
                  </w:tcBorders>
                  <w:vAlign w:val="center"/>
                </w:tcPr>
                <w:p w14:paraId="1AA7EB17">
                  <w:pPr>
                    <w:widowControl/>
                    <w:jc w:val="center"/>
                    <w:rPr>
                      <w:rFonts w:ascii="Times New Roman" w:hAnsi="Times New Roman" w:eastAsia="宋体" w:cs="Times New Roman"/>
                      <w:szCs w:val="21"/>
                    </w:rPr>
                  </w:pPr>
                  <w:r>
                    <w:rPr>
                      <w:rFonts w:ascii="Times New Roman" w:hAnsi="Times New Roman" w:eastAsia="宋体" w:cs="Times New Roman"/>
                      <w:szCs w:val="21"/>
                    </w:rPr>
                    <w:t>1次/天</w:t>
                  </w:r>
                  <w:r>
                    <w:rPr>
                      <w:rFonts w:hint="eastAsia" w:ascii="Times New Roman" w:hAnsi="Times New Roman" w:eastAsia="宋体" w:cs="Times New Roman"/>
                      <w:szCs w:val="21"/>
                    </w:rPr>
                    <w:t>；</w:t>
                  </w:r>
                </w:p>
                <w:p w14:paraId="36F29085">
                  <w:pPr>
                    <w:widowControl/>
                    <w:jc w:val="center"/>
                    <w:rPr>
                      <w:rFonts w:ascii="Times New Roman" w:hAnsi="Times New Roman" w:eastAsia="宋体" w:cs="Times New Roman"/>
                      <w:bCs/>
                      <w:kern w:val="0"/>
                      <w:szCs w:val="21"/>
                    </w:rPr>
                  </w:pPr>
                  <w:r>
                    <w:rPr>
                      <w:rFonts w:ascii="Times New Roman" w:hAnsi="Times New Roman" w:eastAsia="宋体" w:cs="Times New Roman"/>
                      <w:szCs w:val="21"/>
                    </w:rPr>
                    <w:t>检测1天</w:t>
                  </w:r>
                </w:p>
              </w:tc>
            </w:tr>
            <w:tr w14:paraId="54BD2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427" w:type="dxa"/>
                  <w:tcBorders>
                    <w:tl2br w:val="nil"/>
                    <w:tr2bl w:val="nil"/>
                  </w:tcBorders>
                  <w:vAlign w:val="center"/>
                </w:tcPr>
                <w:p w14:paraId="7D23A00D">
                  <w:pPr>
                    <w:jc w:val="center"/>
                    <w:rPr>
                      <w:rFonts w:ascii="Times New Roman" w:hAnsi="Times New Roman" w:eastAsia="宋体" w:cs="Times New Roman"/>
                    </w:rPr>
                  </w:pPr>
                  <w:r>
                    <w:rPr>
                      <w:rFonts w:hint="eastAsia" w:ascii="Times New Roman" w:hAnsi="Times New Roman" w:eastAsia="宋体" w:cs="Times New Roman"/>
                    </w:rPr>
                    <w:t>2#</w:t>
                  </w:r>
                  <w:r>
                    <w:rPr>
                      <w:rFonts w:ascii="Times New Roman" w:hAnsi="Times New Roman" w:eastAsia="宋体" w:cs="Times New Roman"/>
                    </w:rPr>
                    <w:t>厂区下风向</w:t>
                  </w:r>
                  <w:r>
                    <w:rPr>
                      <w:rFonts w:hint="eastAsia" w:ascii="Times New Roman" w:hAnsi="Times New Roman" w:eastAsia="宋体" w:cs="Times New Roman"/>
                    </w:rPr>
                    <w:t>开垦荒地</w:t>
                  </w:r>
                </w:p>
              </w:tc>
              <w:tc>
                <w:tcPr>
                  <w:tcW w:w="4618" w:type="dxa"/>
                  <w:tcBorders>
                    <w:tl2br w:val="nil"/>
                    <w:tr2bl w:val="nil"/>
                  </w:tcBorders>
                  <w:vAlign w:val="center"/>
                </w:tcPr>
                <w:p w14:paraId="5AC01B64">
                  <w:pPr>
                    <w:jc w:val="center"/>
                    <w:rPr>
                      <w:rFonts w:ascii="Times New Roman" w:hAnsi="Times New Roman" w:eastAsia="宋体" w:cs="Times New Roman"/>
                    </w:rPr>
                  </w:pPr>
                  <w:r>
                    <w:rPr>
                      <w:rFonts w:ascii="Times New Roman" w:hAnsi="Times New Roman" w:eastAsia="宋体" w:cs="Times New Roman"/>
                    </w:rPr>
                    <w:t>pH值、镉、汞、砷、铅、铬、铜、镍、锌</w:t>
                  </w:r>
                  <w:r>
                    <w:rPr>
                      <w:rFonts w:hint="eastAsia" w:ascii="Times New Roman" w:hAnsi="Times New Roman" w:eastAsia="宋体" w:cs="Times New Roman"/>
                    </w:rPr>
                    <w:t>、</w:t>
                  </w:r>
                  <w:r>
                    <w:rPr>
                      <w:rFonts w:ascii="Times New Roman" w:hAnsi="Times New Roman" w:eastAsia="宋体" w:cs="Times New Roman"/>
                    </w:rPr>
                    <w:t>苯并[a]芘</w:t>
                  </w:r>
                  <w:r>
                    <w:rPr>
                      <w:rFonts w:hint="eastAsia" w:ascii="Times New Roman" w:hAnsi="Times New Roman" w:eastAsia="宋体" w:cs="Times New Roman"/>
                    </w:rPr>
                    <w:t>、石油烃及土壤理化特性</w:t>
                  </w:r>
                </w:p>
              </w:tc>
              <w:tc>
                <w:tcPr>
                  <w:tcW w:w="976" w:type="dxa"/>
                  <w:vMerge w:val="continue"/>
                  <w:tcBorders>
                    <w:tl2br w:val="nil"/>
                    <w:tr2bl w:val="nil"/>
                  </w:tcBorders>
                  <w:vAlign w:val="center"/>
                </w:tcPr>
                <w:p w14:paraId="16E7B129">
                  <w:pPr>
                    <w:widowControl/>
                    <w:jc w:val="center"/>
                    <w:rPr>
                      <w:rFonts w:ascii="Times New Roman" w:hAnsi="Times New Roman" w:eastAsia="宋体" w:cs="Times New Roman"/>
                      <w:color w:val="FF0000"/>
                    </w:rPr>
                  </w:pPr>
                </w:p>
              </w:tc>
              <w:tc>
                <w:tcPr>
                  <w:tcW w:w="937" w:type="dxa"/>
                  <w:vMerge w:val="continue"/>
                  <w:tcBorders>
                    <w:tl2br w:val="nil"/>
                    <w:tr2bl w:val="nil"/>
                  </w:tcBorders>
                  <w:vAlign w:val="center"/>
                </w:tcPr>
                <w:p w14:paraId="51841F9A">
                  <w:pPr>
                    <w:widowControl/>
                    <w:jc w:val="center"/>
                    <w:rPr>
                      <w:rFonts w:ascii="Times New Roman" w:hAnsi="Times New Roman" w:eastAsia="宋体" w:cs="Times New Roman"/>
                      <w:color w:val="FF0000"/>
                      <w:szCs w:val="21"/>
                    </w:rPr>
                  </w:pPr>
                </w:p>
              </w:tc>
            </w:tr>
          </w:tbl>
          <w:p w14:paraId="77E02DE1">
            <w:pPr>
              <w:widowControl/>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②检测点位及样品信息</w:t>
            </w:r>
          </w:p>
          <w:p w14:paraId="6E4D0ED7">
            <w:pPr>
              <w:widowControl/>
              <w:snapToGrid w:val="0"/>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表3-6 土壤质量现状检测点位基本信息及样品信息</w:t>
            </w:r>
          </w:p>
          <w:tbl>
            <w:tblPr>
              <w:tblStyle w:val="28"/>
              <w:tblW w:w="7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7"/>
              <w:gridCol w:w="874"/>
              <w:gridCol w:w="734"/>
              <w:gridCol w:w="747"/>
              <w:gridCol w:w="886"/>
              <w:gridCol w:w="2320"/>
            </w:tblGrid>
            <w:tr w14:paraId="41149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337" w:type="dxa"/>
                  <w:vMerge w:val="restart"/>
                  <w:tcBorders>
                    <w:tl2br w:val="nil"/>
                    <w:tr2bl w:val="nil"/>
                  </w:tcBorders>
                  <w:vAlign w:val="center"/>
                </w:tcPr>
                <w:p w14:paraId="1D3F42EC">
                  <w:pPr>
                    <w:widowControl/>
                    <w:jc w:val="center"/>
                    <w:rPr>
                      <w:rFonts w:ascii="Times New Roman" w:hAnsi="Times New Roman" w:eastAsia="宋体" w:cs="Times New Roman"/>
                      <w:b/>
                      <w:szCs w:val="21"/>
                    </w:rPr>
                  </w:pPr>
                  <w:r>
                    <w:rPr>
                      <w:rFonts w:hint="eastAsia" w:ascii="Times New Roman" w:hAnsi="Times New Roman" w:eastAsia="宋体" w:cs="Times New Roman"/>
                      <w:b/>
                      <w:kern w:val="0"/>
                      <w:szCs w:val="21"/>
                    </w:rPr>
                    <w:t>检测点位</w:t>
                  </w:r>
                </w:p>
              </w:tc>
              <w:tc>
                <w:tcPr>
                  <w:tcW w:w="2355" w:type="dxa"/>
                  <w:gridSpan w:val="3"/>
                  <w:tcBorders>
                    <w:tl2br w:val="nil"/>
                    <w:tr2bl w:val="nil"/>
                  </w:tcBorders>
                  <w:vAlign w:val="center"/>
                </w:tcPr>
                <w:p w14:paraId="1EF7121B">
                  <w:pPr>
                    <w:jc w:val="center"/>
                    <w:rPr>
                      <w:rFonts w:ascii="Times New Roman" w:hAnsi="Times New Roman" w:eastAsia="宋体" w:cs="Times New Roman"/>
                      <w:b/>
                      <w:szCs w:val="21"/>
                    </w:rPr>
                  </w:pPr>
                  <w:r>
                    <w:rPr>
                      <w:rFonts w:ascii="Times New Roman" w:hAnsi="Times New Roman" w:eastAsia="宋体" w:cs="Times New Roman"/>
                      <w:b/>
                      <w:szCs w:val="21"/>
                    </w:rPr>
                    <w:t>土壤性状</w:t>
                  </w:r>
                </w:p>
              </w:tc>
              <w:tc>
                <w:tcPr>
                  <w:tcW w:w="886" w:type="dxa"/>
                  <w:vMerge w:val="restart"/>
                  <w:tcBorders>
                    <w:tl2br w:val="nil"/>
                    <w:tr2bl w:val="nil"/>
                  </w:tcBorders>
                  <w:vAlign w:val="center"/>
                </w:tcPr>
                <w:p w14:paraId="077E5C65">
                  <w:pPr>
                    <w:jc w:val="center"/>
                    <w:rPr>
                      <w:rFonts w:ascii="Times New Roman" w:hAnsi="Times New Roman" w:eastAsia="宋体" w:cs="Times New Roman"/>
                      <w:b/>
                      <w:szCs w:val="21"/>
                    </w:rPr>
                  </w:pPr>
                  <w:r>
                    <w:rPr>
                      <w:rFonts w:ascii="Times New Roman" w:hAnsi="Times New Roman" w:eastAsia="宋体" w:cs="Times New Roman"/>
                      <w:b/>
                      <w:szCs w:val="21"/>
                    </w:rPr>
                    <w:t>取样</w:t>
                  </w:r>
                </w:p>
                <w:p w14:paraId="15AB4637">
                  <w:pPr>
                    <w:jc w:val="center"/>
                    <w:rPr>
                      <w:rFonts w:ascii="Times New Roman" w:hAnsi="Times New Roman" w:eastAsia="宋体" w:cs="Times New Roman"/>
                      <w:b/>
                      <w:szCs w:val="21"/>
                    </w:rPr>
                  </w:pPr>
                  <w:r>
                    <w:rPr>
                      <w:rFonts w:ascii="Times New Roman" w:hAnsi="Times New Roman" w:eastAsia="宋体" w:cs="Times New Roman"/>
                      <w:b/>
                      <w:szCs w:val="21"/>
                    </w:rPr>
                    <w:t>深度</w:t>
                  </w:r>
                </w:p>
              </w:tc>
              <w:tc>
                <w:tcPr>
                  <w:tcW w:w="2320" w:type="dxa"/>
                  <w:vMerge w:val="restart"/>
                  <w:tcBorders>
                    <w:tl2br w:val="nil"/>
                    <w:tr2bl w:val="nil"/>
                  </w:tcBorders>
                  <w:vAlign w:val="center"/>
                </w:tcPr>
                <w:p w14:paraId="66B1764F">
                  <w:pPr>
                    <w:jc w:val="center"/>
                    <w:rPr>
                      <w:rFonts w:ascii="Times New Roman" w:hAnsi="Times New Roman" w:eastAsia="宋体" w:cs="Times New Roman"/>
                      <w:b/>
                      <w:szCs w:val="21"/>
                    </w:rPr>
                  </w:pPr>
                  <w:r>
                    <w:rPr>
                      <w:rFonts w:ascii="Times New Roman" w:hAnsi="Times New Roman" w:eastAsia="宋体" w:cs="Times New Roman"/>
                      <w:b/>
                      <w:szCs w:val="21"/>
                    </w:rPr>
                    <w:t>地理位置</w:t>
                  </w:r>
                </w:p>
              </w:tc>
            </w:tr>
            <w:tr w14:paraId="7592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337" w:type="dxa"/>
                  <w:vMerge w:val="continue"/>
                  <w:tcBorders>
                    <w:tl2br w:val="nil"/>
                    <w:tr2bl w:val="nil"/>
                  </w:tcBorders>
                  <w:vAlign w:val="center"/>
                </w:tcPr>
                <w:p w14:paraId="4DC10964">
                  <w:pPr>
                    <w:ind w:firstLine="315" w:firstLineChars="150"/>
                    <w:jc w:val="center"/>
                    <w:rPr>
                      <w:rFonts w:ascii="Times New Roman" w:hAnsi="Times New Roman" w:eastAsia="宋体" w:cs="Times New Roman"/>
                      <w:szCs w:val="21"/>
                    </w:rPr>
                  </w:pPr>
                </w:p>
              </w:tc>
              <w:tc>
                <w:tcPr>
                  <w:tcW w:w="874" w:type="dxa"/>
                  <w:tcBorders>
                    <w:tl2br w:val="nil"/>
                    <w:tr2bl w:val="nil"/>
                  </w:tcBorders>
                  <w:vAlign w:val="center"/>
                </w:tcPr>
                <w:p w14:paraId="01920EBC">
                  <w:pPr>
                    <w:jc w:val="center"/>
                    <w:rPr>
                      <w:rFonts w:ascii="Times New Roman" w:hAnsi="Times New Roman" w:eastAsia="宋体" w:cs="Times New Roman"/>
                      <w:b/>
                      <w:bCs/>
                      <w:szCs w:val="21"/>
                    </w:rPr>
                  </w:pPr>
                  <w:r>
                    <w:rPr>
                      <w:rFonts w:ascii="Times New Roman" w:hAnsi="Times New Roman" w:eastAsia="宋体" w:cs="Times New Roman"/>
                      <w:b/>
                      <w:bCs/>
                      <w:szCs w:val="21"/>
                    </w:rPr>
                    <w:t>根系</w:t>
                  </w:r>
                </w:p>
              </w:tc>
              <w:tc>
                <w:tcPr>
                  <w:tcW w:w="734" w:type="dxa"/>
                  <w:tcBorders>
                    <w:tl2br w:val="nil"/>
                    <w:tr2bl w:val="nil"/>
                  </w:tcBorders>
                  <w:vAlign w:val="center"/>
                </w:tcPr>
                <w:p w14:paraId="5B4BE7C2">
                  <w:pPr>
                    <w:jc w:val="center"/>
                    <w:rPr>
                      <w:rFonts w:ascii="Times New Roman" w:hAnsi="Times New Roman" w:eastAsia="宋体" w:cs="Times New Roman"/>
                      <w:b/>
                      <w:bCs/>
                      <w:szCs w:val="21"/>
                    </w:rPr>
                  </w:pPr>
                  <w:r>
                    <w:rPr>
                      <w:rFonts w:ascii="Times New Roman" w:hAnsi="Times New Roman" w:eastAsia="宋体" w:cs="Times New Roman"/>
                      <w:b/>
                      <w:bCs/>
                      <w:szCs w:val="21"/>
                    </w:rPr>
                    <w:t>颜色</w:t>
                  </w:r>
                </w:p>
              </w:tc>
              <w:tc>
                <w:tcPr>
                  <w:tcW w:w="747" w:type="dxa"/>
                  <w:tcBorders>
                    <w:tl2br w:val="nil"/>
                    <w:tr2bl w:val="nil"/>
                  </w:tcBorders>
                  <w:vAlign w:val="center"/>
                </w:tcPr>
                <w:p w14:paraId="0A06F6CA">
                  <w:pPr>
                    <w:jc w:val="center"/>
                    <w:rPr>
                      <w:rFonts w:ascii="Times New Roman" w:hAnsi="Times New Roman" w:eastAsia="宋体" w:cs="Times New Roman"/>
                      <w:b/>
                      <w:bCs/>
                      <w:szCs w:val="21"/>
                    </w:rPr>
                  </w:pPr>
                  <w:r>
                    <w:rPr>
                      <w:rFonts w:ascii="Times New Roman" w:hAnsi="Times New Roman" w:eastAsia="宋体" w:cs="Times New Roman"/>
                      <w:b/>
                      <w:bCs/>
                      <w:szCs w:val="21"/>
                    </w:rPr>
                    <w:t>性状</w:t>
                  </w:r>
                </w:p>
              </w:tc>
              <w:tc>
                <w:tcPr>
                  <w:tcW w:w="886" w:type="dxa"/>
                  <w:vMerge w:val="continue"/>
                  <w:tcBorders>
                    <w:tl2br w:val="nil"/>
                    <w:tr2bl w:val="nil"/>
                  </w:tcBorders>
                  <w:vAlign w:val="center"/>
                </w:tcPr>
                <w:p w14:paraId="4836653F">
                  <w:pPr>
                    <w:ind w:firstLine="315" w:firstLineChars="150"/>
                    <w:jc w:val="center"/>
                    <w:rPr>
                      <w:rFonts w:ascii="Times New Roman" w:hAnsi="Times New Roman" w:eastAsia="宋体" w:cs="Times New Roman"/>
                      <w:szCs w:val="21"/>
                    </w:rPr>
                  </w:pPr>
                </w:p>
              </w:tc>
              <w:tc>
                <w:tcPr>
                  <w:tcW w:w="2320" w:type="dxa"/>
                  <w:vMerge w:val="continue"/>
                  <w:tcBorders>
                    <w:tl2br w:val="nil"/>
                    <w:tr2bl w:val="nil"/>
                  </w:tcBorders>
                  <w:vAlign w:val="center"/>
                </w:tcPr>
                <w:p w14:paraId="69D6EEC3">
                  <w:pPr>
                    <w:ind w:firstLine="315" w:firstLineChars="150"/>
                    <w:jc w:val="center"/>
                    <w:rPr>
                      <w:rFonts w:ascii="Times New Roman" w:hAnsi="Times New Roman" w:eastAsia="宋体" w:cs="Times New Roman"/>
                      <w:szCs w:val="21"/>
                    </w:rPr>
                  </w:pPr>
                </w:p>
              </w:tc>
            </w:tr>
            <w:tr w14:paraId="4C82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337" w:type="dxa"/>
                  <w:tcBorders>
                    <w:tl2br w:val="nil"/>
                    <w:tr2bl w:val="nil"/>
                  </w:tcBorders>
                  <w:vAlign w:val="center"/>
                </w:tcPr>
                <w:p w14:paraId="13A8F4D5">
                  <w:pPr>
                    <w:jc w:val="center"/>
                    <w:rPr>
                      <w:rFonts w:ascii="Times New Roman" w:hAnsi="Times New Roman" w:eastAsia="宋体" w:cs="Times New Roman"/>
                      <w:highlight w:val="yellow"/>
                    </w:rPr>
                  </w:pPr>
                  <w:r>
                    <w:rPr>
                      <w:rFonts w:hint="eastAsia" w:ascii="Times New Roman" w:hAnsi="Times New Roman" w:eastAsia="宋体" w:cs="Times New Roman"/>
                    </w:rPr>
                    <w:t>1#厂区储罐区下游</w:t>
                  </w:r>
                </w:p>
              </w:tc>
              <w:tc>
                <w:tcPr>
                  <w:tcW w:w="874" w:type="dxa"/>
                  <w:tcBorders>
                    <w:tl2br w:val="nil"/>
                    <w:tr2bl w:val="nil"/>
                  </w:tcBorders>
                  <w:vAlign w:val="center"/>
                </w:tcPr>
                <w:p w14:paraId="53C54327">
                  <w:pPr>
                    <w:jc w:val="center"/>
                    <w:rPr>
                      <w:rFonts w:ascii="Times New Roman" w:hAnsi="Times New Roman" w:eastAsia="宋体" w:cs="Times New Roman"/>
                      <w:szCs w:val="21"/>
                    </w:rPr>
                  </w:pPr>
                  <w:r>
                    <w:rPr>
                      <w:rFonts w:hint="eastAsia" w:ascii="Times New Roman" w:hAnsi="Times New Roman" w:eastAsia="宋体" w:cs="Times New Roman"/>
                      <w:szCs w:val="21"/>
                    </w:rPr>
                    <w:t>无根系</w:t>
                  </w:r>
                </w:p>
              </w:tc>
              <w:tc>
                <w:tcPr>
                  <w:tcW w:w="734" w:type="dxa"/>
                  <w:tcBorders>
                    <w:tl2br w:val="nil"/>
                    <w:tr2bl w:val="nil"/>
                  </w:tcBorders>
                  <w:vAlign w:val="center"/>
                </w:tcPr>
                <w:p w14:paraId="51AE1CB6">
                  <w:pPr>
                    <w:jc w:val="center"/>
                    <w:rPr>
                      <w:rFonts w:ascii="Times New Roman" w:hAnsi="Times New Roman" w:eastAsia="宋体" w:cs="Times New Roman"/>
                      <w:szCs w:val="21"/>
                    </w:rPr>
                  </w:pPr>
                  <w:r>
                    <w:rPr>
                      <w:rFonts w:ascii="Times New Roman" w:hAnsi="Times New Roman" w:eastAsia="宋体" w:cs="Times New Roman"/>
                      <w:bCs/>
                      <w:szCs w:val="21"/>
                    </w:rPr>
                    <w:t>黄棕</w:t>
                  </w:r>
                </w:p>
              </w:tc>
              <w:tc>
                <w:tcPr>
                  <w:tcW w:w="747" w:type="dxa"/>
                  <w:tcBorders>
                    <w:tl2br w:val="nil"/>
                    <w:tr2bl w:val="nil"/>
                  </w:tcBorders>
                  <w:vAlign w:val="center"/>
                </w:tcPr>
                <w:p w14:paraId="1F906163">
                  <w:pPr>
                    <w:jc w:val="center"/>
                    <w:rPr>
                      <w:rFonts w:ascii="Times New Roman" w:hAnsi="Times New Roman" w:eastAsia="宋体" w:cs="Times New Roman"/>
                      <w:szCs w:val="21"/>
                    </w:rPr>
                  </w:pPr>
                  <w:r>
                    <w:rPr>
                      <w:rFonts w:hint="eastAsia" w:ascii="Times New Roman" w:hAnsi="Times New Roman" w:eastAsia="宋体" w:cs="Times New Roman"/>
                      <w:szCs w:val="21"/>
                    </w:rPr>
                    <w:t>沙土</w:t>
                  </w:r>
                </w:p>
              </w:tc>
              <w:tc>
                <w:tcPr>
                  <w:tcW w:w="886" w:type="dxa"/>
                  <w:tcBorders>
                    <w:tl2br w:val="nil"/>
                    <w:tr2bl w:val="nil"/>
                  </w:tcBorders>
                  <w:vAlign w:val="center"/>
                </w:tcPr>
                <w:p w14:paraId="00F4E2B1">
                  <w:pPr>
                    <w:jc w:val="center"/>
                    <w:rPr>
                      <w:rFonts w:ascii="Times New Roman" w:hAnsi="Times New Roman" w:eastAsia="宋体" w:cs="Times New Roman"/>
                      <w:szCs w:val="21"/>
                    </w:rPr>
                  </w:pPr>
                  <w:r>
                    <w:rPr>
                      <w:rFonts w:hint="eastAsia" w:ascii="Times New Roman" w:hAnsi="Times New Roman" w:eastAsia="宋体" w:cs="Times New Roman"/>
                      <w:szCs w:val="21"/>
                    </w:rPr>
                    <w:t>0-0.2m</w:t>
                  </w:r>
                </w:p>
              </w:tc>
              <w:tc>
                <w:tcPr>
                  <w:tcW w:w="2320" w:type="dxa"/>
                  <w:tcBorders>
                    <w:tl2br w:val="nil"/>
                    <w:tr2bl w:val="nil"/>
                  </w:tcBorders>
                  <w:vAlign w:val="center"/>
                </w:tcPr>
                <w:p w14:paraId="4DA95DF7">
                  <w:pPr>
                    <w:jc w:val="center"/>
                    <w:rPr>
                      <w:rFonts w:ascii="Times New Roman" w:hAnsi="Times New Roman" w:eastAsia="宋体" w:cs="Times New Roman"/>
                      <w:szCs w:val="21"/>
                    </w:rPr>
                  </w:pPr>
                  <w:r>
                    <w:rPr>
                      <w:rFonts w:ascii="Times New Roman" w:hAnsi="Times New Roman" w:eastAsia="宋体" w:cs="Times New Roman"/>
                      <w:szCs w:val="21"/>
                    </w:rPr>
                    <w:t>E:</w:t>
                  </w:r>
                  <w:r>
                    <w:rPr>
                      <w:rFonts w:hint="eastAsia" w:ascii="Times New Roman" w:hAnsi="Times New Roman" w:eastAsia="宋体" w:cs="Times New Roman"/>
                      <w:bCs/>
                      <w:szCs w:val="21"/>
                    </w:rPr>
                    <w:t>100.313438</w:t>
                  </w:r>
                  <w:r>
                    <w:rPr>
                      <w:rFonts w:ascii="Times New Roman" w:hAnsi="Times New Roman" w:eastAsia="宋体" w:cs="Times New Roman"/>
                      <w:szCs w:val="21"/>
                    </w:rPr>
                    <w:t>°</w:t>
                  </w:r>
                </w:p>
                <w:p w14:paraId="7586B960">
                  <w:pPr>
                    <w:jc w:val="center"/>
                    <w:rPr>
                      <w:rFonts w:ascii="Times New Roman" w:hAnsi="Times New Roman" w:eastAsia="宋体" w:cs="Times New Roman"/>
                      <w:szCs w:val="21"/>
                    </w:rPr>
                  </w:pPr>
                  <w:r>
                    <w:rPr>
                      <w:rFonts w:ascii="Times New Roman" w:hAnsi="Times New Roman" w:eastAsia="宋体" w:cs="Times New Roman"/>
                      <w:szCs w:val="21"/>
                    </w:rPr>
                    <w:t>N:</w:t>
                  </w:r>
                  <w:r>
                    <w:rPr>
                      <w:rFonts w:hint="eastAsia" w:ascii="Times New Roman" w:hAnsi="Times New Roman" w:eastAsia="宋体" w:cs="Times New Roman"/>
                      <w:bCs/>
                      <w:szCs w:val="21"/>
                    </w:rPr>
                    <w:t>39.274091</w:t>
                  </w:r>
                  <w:r>
                    <w:rPr>
                      <w:rFonts w:ascii="Times New Roman" w:hAnsi="Times New Roman" w:eastAsia="宋体" w:cs="Times New Roman"/>
                      <w:szCs w:val="21"/>
                    </w:rPr>
                    <w:t>°</w:t>
                  </w:r>
                </w:p>
              </w:tc>
            </w:tr>
            <w:tr w14:paraId="69B64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337" w:type="dxa"/>
                  <w:tcBorders>
                    <w:tl2br w:val="nil"/>
                    <w:tr2bl w:val="nil"/>
                  </w:tcBorders>
                  <w:vAlign w:val="center"/>
                </w:tcPr>
                <w:p w14:paraId="4736BE6D">
                  <w:pPr>
                    <w:jc w:val="center"/>
                    <w:rPr>
                      <w:rFonts w:ascii="Times New Roman" w:hAnsi="Times New Roman" w:eastAsia="宋体" w:cs="Times New Roman"/>
                      <w:bCs/>
                      <w:kern w:val="0"/>
                      <w:szCs w:val="21"/>
                    </w:rPr>
                  </w:pPr>
                  <w:r>
                    <w:rPr>
                      <w:rFonts w:hint="eastAsia" w:ascii="Times New Roman" w:hAnsi="Times New Roman" w:eastAsia="宋体" w:cs="Times New Roman"/>
                    </w:rPr>
                    <w:t>2#</w:t>
                  </w:r>
                  <w:r>
                    <w:rPr>
                      <w:rFonts w:ascii="Times New Roman" w:hAnsi="Times New Roman" w:eastAsia="宋体" w:cs="Times New Roman"/>
                    </w:rPr>
                    <w:t>厂区下风向</w:t>
                  </w:r>
                  <w:r>
                    <w:rPr>
                      <w:rFonts w:hint="eastAsia" w:ascii="Times New Roman" w:hAnsi="Times New Roman" w:eastAsia="宋体" w:cs="Times New Roman"/>
                    </w:rPr>
                    <w:t>开垦荒地</w:t>
                  </w:r>
                </w:p>
              </w:tc>
              <w:tc>
                <w:tcPr>
                  <w:tcW w:w="874" w:type="dxa"/>
                  <w:tcBorders>
                    <w:tl2br w:val="nil"/>
                    <w:tr2bl w:val="nil"/>
                  </w:tcBorders>
                  <w:vAlign w:val="center"/>
                </w:tcPr>
                <w:p w14:paraId="1A34385D">
                  <w:pPr>
                    <w:jc w:val="center"/>
                    <w:rPr>
                      <w:rFonts w:ascii="Times New Roman" w:hAnsi="Times New Roman" w:eastAsia="宋体" w:cs="Times New Roman"/>
                      <w:szCs w:val="21"/>
                    </w:rPr>
                  </w:pPr>
                  <w:r>
                    <w:rPr>
                      <w:rFonts w:hint="eastAsia" w:ascii="Times New Roman" w:hAnsi="Times New Roman" w:eastAsia="宋体" w:cs="Times New Roman"/>
                      <w:szCs w:val="21"/>
                    </w:rPr>
                    <w:t>无根系</w:t>
                  </w:r>
                </w:p>
              </w:tc>
              <w:tc>
                <w:tcPr>
                  <w:tcW w:w="734" w:type="dxa"/>
                  <w:tcBorders>
                    <w:tl2br w:val="nil"/>
                    <w:tr2bl w:val="nil"/>
                  </w:tcBorders>
                  <w:vAlign w:val="center"/>
                </w:tcPr>
                <w:p w14:paraId="6062F650">
                  <w:pPr>
                    <w:jc w:val="center"/>
                    <w:rPr>
                      <w:rFonts w:ascii="Times New Roman" w:hAnsi="Times New Roman" w:eastAsia="宋体" w:cs="Times New Roman"/>
                      <w:szCs w:val="21"/>
                    </w:rPr>
                  </w:pPr>
                  <w:r>
                    <w:rPr>
                      <w:rFonts w:ascii="Times New Roman" w:hAnsi="Times New Roman" w:eastAsia="宋体" w:cs="Times New Roman"/>
                      <w:bCs/>
                      <w:szCs w:val="21"/>
                    </w:rPr>
                    <w:t>黄棕</w:t>
                  </w:r>
                </w:p>
              </w:tc>
              <w:tc>
                <w:tcPr>
                  <w:tcW w:w="747" w:type="dxa"/>
                  <w:tcBorders>
                    <w:tl2br w:val="nil"/>
                    <w:tr2bl w:val="nil"/>
                  </w:tcBorders>
                  <w:vAlign w:val="center"/>
                </w:tcPr>
                <w:p w14:paraId="4F90538C">
                  <w:pPr>
                    <w:jc w:val="center"/>
                    <w:rPr>
                      <w:rFonts w:ascii="Times New Roman" w:hAnsi="Times New Roman" w:eastAsia="宋体" w:cs="Times New Roman"/>
                      <w:szCs w:val="21"/>
                    </w:rPr>
                  </w:pPr>
                  <w:r>
                    <w:rPr>
                      <w:rFonts w:hint="eastAsia" w:ascii="Times New Roman" w:hAnsi="Times New Roman" w:eastAsia="宋体" w:cs="Times New Roman"/>
                      <w:szCs w:val="21"/>
                    </w:rPr>
                    <w:t>沙土</w:t>
                  </w:r>
                </w:p>
              </w:tc>
              <w:tc>
                <w:tcPr>
                  <w:tcW w:w="886" w:type="dxa"/>
                  <w:tcBorders>
                    <w:tl2br w:val="nil"/>
                    <w:tr2bl w:val="nil"/>
                  </w:tcBorders>
                  <w:vAlign w:val="center"/>
                </w:tcPr>
                <w:p w14:paraId="6EE1FEB1">
                  <w:pPr>
                    <w:jc w:val="center"/>
                    <w:rPr>
                      <w:rFonts w:ascii="Times New Roman" w:hAnsi="Times New Roman" w:eastAsia="宋体" w:cs="Times New Roman"/>
                      <w:szCs w:val="21"/>
                    </w:rPr>
                  </w:pPr>
                  <w:r>
                    <w:rPr>
                      <w:rFonts w:hint="eastAsia" w:ascii="Times New Roman" w:hAnsi="Times New Roman" w:eastAsia="宋体" w:cs="Times New Roman"/>
                      <w:szCs w:val="21"/>
                    </w:rPr>
                    <w:t>0-0.2m</w:t>
                  </w:r>
                </w:p>
              </w:tc>
              <w:tc>
                <w:tcPr>
                  <w:tcW w:w="2320" w:type="dxa"/>
                  <w:tcBorders>
                    <w:tl2br w:val="nil"/>
                    <w:tr2bl w:val="nil"/>
                  </w:tcBorders>
                  <w:vAlign w:val="center"/>
                </w:tcPr>
                <w:p w14:paraId="6EF4CE86">
                  <w:pPr>
                    <w:jc w:val="center"/>
                    <w:rPr>
                      <w:rFonts w:ascii="Times New Roman" w:hAnsi="Times New Roman" w:eastAsia="宋体" w:cs="Times New Roman"/>
                      <w:bCs/>
                      <w:szCs w:val="21"/>
                    </w:rPr>
                  </w:pPr>
                  <w:r>
                    <w:rPr>
                      <w:rFonts w:ascii="Times New Roman" w:hAnsi="Times New Roman" w:eastAsia="宋体" w:cs="Times New Roman"/>
                      <w:szCs w:val="21"/>
                    </w:rPr>
                    <w:t>E:</w:t>
                  </w:r>
                  <w:r>
                    <w:rPr>
                      <w:rFonts w:hint="eastAsia" w:ascii="Times New Roman" w:hAnsi="Times New Roman" w:eastAsia="宋体" w:cs="Times New Roman"/>
                      <w:bCs/>
                      <w:szCs w:val="21"/>
                    </w:rPr>
                    <w:t>100.312475</w:t>
                  </w:r>
                </w:p>
                <w:p w14:paraId="40A3DF32">
                  <w:pPr>
                    <w:jc w:val="center"/>
                    <w:rPr>
                      <w:rFonts w:ascii="Times New Roman" w:hAnsi="Times New Roman" w:eastAsia="宋体" w:cs="Times New Roman"/>
                      <w:szCs w:val="21"/>
                    </w:rPr>
                  </w:pPr>
                  <w:r>
                    <w:rPr>
                      <w:rFonts w:ascii="Times New Roman" w:hAnsi="Times New Roman" w:eastAsia="宋体" w:cs="Times New Roman"/>
                      <w:szCs w:val="21"/>
                    </w:rPr>
                    <w:t>N:</w:t>
                  </w:r>
                  <w:r>
                    <w:rPr>
                      <w:rFonts w:hint="eastAsia" w:ascii="Times New Roman" w:hAnsi="Times New Roman" w:eastAsia="宋体" w:cs="Times New Roman"/>
                      <w:bCs/>
                      <w:szCs w:val="21"/>
                    </w:rPr>
                    <w:t>39.273705</w:t>
                  </w:r>
                  <w:r>
                    <w:rPr>
                      <w:rFonts w:ascii="Times New Roman" w:hAnsi="Times New Roman" w:eastAsia="宋体" w:cs="Times New Roman"/>
                      <w:szCs w:val="21"/>
                    </w:rPr>
                    <w:t>°</w:t>
                  </w:r>
                </w:p>
              </w:tc>
            </w:tr>
          </w:tbl>
          <w:p w14:paraId="10A92B40">
            <w:pPr>
              <w:widowControl/>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③土壤质量现状检测结果</w:t>
            </w:r>
          </w:p>
          <w:p w14:paraId="44ECEC46">
            <w:pPr>
              <w:widowControl/>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本项目区域土壤质量现状检测结果统计见表3-7。</w:t>
            </w:r>
          </w:p>
          <w:p w14:paraId="503111D8">
            <w:pPr>
              <w:widowControl/>
              <w:wordWrap w:val="0"/>
              <w:topLinePunct/>
              <w:adjustRightInd w:val="0"/>
              <w:snapToGrid w:val="0"/>
              <w:jc w:val="center"/>
              <w:rPr>
                <w:rFonts w:ascii="Times New Roman" w:hAnsi="Times New Roman" w:eastAsia="宋体" w:cs="Times New Roman"/>
                <w:b/>
                <w:bCs/>
                <w:sz w:val="24"/>
              </w:rPr>
            </w:pPr>
            <w:r>
              <w:rPr>
                <w:rFonts w:hint="eastAsia" w:ascii="Times New Roman" w:hAnsi="Times New Roman" w:eastAsia="宋体" w:cs="宋体-PUA"/>
                <w:b/>
                <w:sz w:val="24"/>
                <w:shd w:val="clear" w:color="auto" w:fill="FFFFFF"/>
              </w:rPr>
              <w:t>表3-7 土壤质量现状检测结果一览表</w:t>
            </w:r>
          </w:p>
          <w:tbl>
            <w:tblPr>
              <w:tblStyle w:val="28"/>
              <w:tblW w:w="7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2"/>
              <w:gridCol w:w="1837"/>
              <w:gridCol w:w="3530"/>
            </w:tblGrid>
            <w:tr w14:paraId="5C55D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vMerge w:val="restart"/>
                  <w:tcBorders>
                    <w:tl2br w:val="nil"/>
                    <w:tr2bl w:val="nil"/>
                  </w:tcBorders>
                  <w:vAlign w:val="center"/>
                </w:tcPr>
                <w:p w14:paraId="05867233">
                  <w:pPr>
                    <w:jc w:val="center"/>
                    <w:rPr>
                      <w:rFonts w:ascii="Times New Roman" w:hAnsi="Times New Roman" w:eastAsia="宋体" w:cs="Times New Roman"/>
                      <w:b/>
                      <w:szCs w:val="21"/>
                    </w:rPr>
                  </w:pPr>
                  <w:r>
                    <w:rPr>
                      <w:rFonts w:ascii="Times New Roman" w:hAnsi="Times New Roman" w:eastAsia="宋体" w:cs="Times New Roman"/>
                      <w:b/>
                      <w:szCs w:val="21"/>
                    </w:rPr>
                    <w:t>检测项目</w:t>
                  </w:r>
                </w:p>
              </w:tc>
              <w:tc>
                <w:tcPr>
                  <w:tcW w:w="1837" w:type="dxa"/>
                  <w:vMerge w:val="restart"/>
                  <w:tcBorders>
                    <w:tl2br w:val="nil"/>
                    <w:tr2bl w:val="nil"/>
                  </w:tcBorders>
                  <w:vAlign w:val="center"/>
                </w:tcPr>
                <w:p w14:paraId="11D7C321">
                  <w:pPr>
                    <w:jc w:val="center"/>
                    <w:rPr>
                      <w:rFonts w:ascii="Times New Roman" w:hAnsi="Times New Roman" w:eastAsia="宋体" w:cs="Times New Roman"/>
                      <w:b/>
                      <w:szCs w:val="21"/>
                    </w:rPr>
                  </w:pPr>
                  <w:r>
                    <w:rPr>
                      <w:rFonts w:ascii="Times New Roman" w:hAnsi="Times New Roman" w:eastAsia="宋体" w:cs="Times New Roman"/>
                      <w:b/>
                      <w:szCs w:val="21"/>
                    </w:rPr>
                    <w:t>单位</w:t>
                  </w:r>
                </w:p>
              </w:tc>
              <w:tc>
                <w:tcPr>
                  <w:tcW w:w="3530" w:type="dxa"/>
                  <w:tcBorders>
                    <w:tl2br w:val="nil"/>
                    <w:tr2bl w:val="nil"/>
                  </w:tcBorders>
                  <w:vAlign w:val="center"/>
                </w:tcPr>
                <w:p w14:paraId="1D659019">
                  <w:pPr>
                    <w:jc w:val="center"/>
                    <w:rPr>
                      <w:rFonts w:ascii="Times New Roman" w:hAnsi="Times New Roman" w:eastAsia="宋体" w:cs="Times New Roman"/>
                      <w:b/>
                      <w:szCs w:val="21"/>
                    </w:rPr>
                  </w:pPr>
                  <w:r>
                    <w:rPr>
                      <w:rFonts w:ascii="Times New Roman" w:hAnsi="Times New Roman" w:eastAsia="宋体" w:cs="Times New Roman"/>
                      <w:b/>
                      <w:szCs w:val="21"/>
                    </w:rPr>
                    <w:t>采样日期、检测点位、检测结果</w:t>
                  </w:r>
                </w:p>
              </w:tc>
            </w:tr>
            <w:tr w14:paraId="04420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vMerge w:val="continue"/>
                  <w:tcBorders>
                    <w:tl2br w:val="nil"/>
                    <w:tr2bl w:val="nil"/>
                  </w:tcBorders>
                  <w:vAlign w:val="center"/>
                </w:tcPr>
                <w:p w14:paraId="634080A9">
                  <w:pPr>
                    <w:jc w:val="center"/>
                    <w:rPr>
                      <w:rFonts w:ascii="Times New Roman" w:hAnsi="Times New Roman" w:eastAsia="宋体" w:cs="Times New Roman"/>
                      <w:b/>
                      <w:szCs w:val="21"/>
                    </w:rPr>
                  </w:pPr>
                </w:p>
              </w:tc>
              <w:tc>
                <w:tcPr>
                  <w:tcW w:w="1837" w:type="dxa"/>
                  <w:vMerge w:val="continue"/>
                  <w:tcBorders>
                    <w:tl2br w:val="nil"/>
                    <w:tr2bl w:val="nil"/>
                  </w:tcBorders>
                  <w:vAlign w:val="center"/>
                </w:tcPr>
                <w:p w14:paraId="3C94B70D">
                  <w:pPr>
                    <w:jc w:val="center"/>
                    <w:rPr>
                      <w:rFonts w:ascii="Times New Roman" w:hAnsi="Times New Roman" w:eastAsia="宋体" w:cs="Times New Roman"/>
                      <w:b/>
                      <w:szCs w:val="21"/>
                    </w:rPr>
                  </w:pPr>
                </w:p>
              </w:tc>
              <w:tc>
                <w:tcPr>
                  <w:tcW w:w="3530" w:type="dxa"/>
                  <w:tcBorders>
                    <w:tl2br w:val="nil"/>
                    <w:tr2bl w:val="nil"/>
                  </w:tcBorders>
                  <w:vAlign w:val="center"/>
                </w:tcPr>
                <w:p w14:paraId="303F3787">
                  <w:pPr>
                    <w:jc w:val="center"/>
                    <w:rPr>
                      <w:rFonts w:ascii="Times New Roman" w:hAnsi="Times New Roman" w:eastAsia="宋体" w:cs="Times New Roman"/>
                      <w:b/>
                      <w:szCs w:val="21"/>
                    </w:rPr>
                  </w:pPr>
                  <w:r>
                    <w:rPr>
                      <w:rFonts w:hint="eastAsia" w:ascii="Times New Roman" w:hAnsi="Times New Roman" w:eastAsia="宋体" w:cs="Times New Roman"/>
                      <w:b/>
                      <w:szCs w:val="21"/>
                    </w:rPr>
                    <w:t>2026.06.04</w:t>
                  </w:r>
                </w:p>
              </w:tc>
            </w:tr>
            <w:tr w14:paraId="2EE8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vMerge w:val="continue"/>
                  <w:tcBorders>
                    <w:tl2br w:val="nil"/>
                    <w:tr2bl w:val="nil"/>
                  </w:tcBorders>
                  <w:vAlign w:val="center"/>
                </w:tcPr>
                <w:p w14:paraId="74EC8855">
                  <w:pPr>
                    <w:jc w:val="center"/>
                    <w:rPr>
                      <w:rFonts w:ascii="Times New Roman" w:hAnsi="Times New Roman" w:eastAsia="宋体" w:cs="Times New Roman"/>
                      <w:b/>
                      <w:szCs w:val="21"/>
                    </w:rPr>
                  </w:pPr>
                </w:p>
              </w:tc>
              <w:tc>
                <w:tcPr>
                  <w:tcW w:w="1837" w:type="dxa"/>
                  <w:vMerge w:val="continue"/>
                  <w:tcBorders>
                    <w:tl2br w:val="nil"/>
                    <w:tr2bl w:val="nil"/>
                  </w:tcBorders>
                  <w:vAlign w:val="center"/>
                </w:tcPr>
                <w:p w14:paraId="31371606">
                  <w:pPr>
                    <w:jc w:val="center"/>
                    <w:rPr>
                      <w:rFonts w:ascii="Times New Roman" w:hAnsi="Times New Roman" w:eastAsia="宋体" w:cs="Times New Roman"/>
                      <w:b/>
                      <w:szCs w:val="21"/>
                    </w:rPr>
                  </w:pPr>
                </w:p>
              </w:tc>
              <w:tc>
                <w:tcPr>
                  <w:tcW w:w="3530" w:type="dxa"/>
                  <w:tcBorders>
                    <w:tl2br w:val="nil"/>
                    <w:tr2bl w:val="nil"/>
                  </w:tcBorders>
                  <w:vAlign w:val="center"/>
                </w:tcPr>
                <w:p w14:paraId="2954A272">
                  <w:pPr>
                    <w:jc w:val="center"/>
                    <w:rPr>
                      <w:rFonts w:ascii="Times New Roman" w:hAnsi="Times New Roman" w:eastAsia="宋体" w:cs="Times New Roman"/>
                      <w:b/>
                      <w:szCs w:val="21"/>
                    </w:rPr>
                  </w:pPr>
                  <w:r>
                    <w:rPr>
                      <w:rFonts w:hint="eastAsia" w:ascii="Times New Roman" w:hAnsi="Times New Roman" w:eastAsia="宋体" w:cs="Times New Roman"/>
                      <w:b/>
                      <w:szCs w:val="21"/>
                    </w:rPr>
                    <w:t xml:space="preserve">1# </w:t>
                  </w:r>
                  <w:r>
                    <w:rPr>
                      <w:rFonts w:ascii="Times New Roman" w:hAnsi="Times New Roman" w:eastAsia="宋体" w:cs="Times New Roman"/>
                      <w:b/>
                      <w:szCs w:val="21"/>
                    </w:rPr>
                    <w:t>厂区</w:t>
                  </w:r>
                  <w:r>
                    <w:rPr>
                      <w:rFonts w:hint="eastAsia" w:ascii="Times New Roman" w:hAnsi="Times New Roman" w:eastAsia="宋体" w:cs="Times New Roman"/>
                      <w:b/>
                      <w:szCs w:val="21"/>
                    </w:rPr>
                    <w:t>储罐区</w:t>
                  </w:r>
                  <w:r>
                    <w:rPr>
                      <w:rFonts w:ascii="Times New Roman" w:hAnsi="Times New Roman" w:eastAsia="宋体" w:cs="Times New Roman"/>
                      <w:b/>
                      <w:szCs w:val="21"/>
                    </w:rPr>
                    <w:t>下游</w:t>
                  </w:r>
                </w:p>
              </w:tc>
            </w:tr>
            <w:tr w14:paraId="35C15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vMerge w:val="continue"/>
                  <w:tcBorders>
                    <w:tl2br w:val="nil"/>
                    <w:tr2bl w:val="nil"/>
                  </w:tcBorders>
                  <w:vAlign w:val="center"/>
                </w:tcPr>
                <w:p w14:paraId="332A3809">
                  <w:pPr>
                    <w:jc w:val="center"/>
                    <w:rPr>
                      <w:rFonts w:ascii="Times New Roman" w:hAnsi="Times New Roman" w:eastAsia="宋体" w:cs="Times New Roman"/>
                      <w:b/>
                      <w:szCs w:val="21"/>
                    </w:rPr>
                  </w:pPr>
                </w:p>
              </w:tc>
              <w:tc>
                <w:tcPr>
                  <w:tcW w:w="1837" w:type="dxa"/>
                  <w:vMerge w:val="continue"/>
                  <w:tcBorders>
                    <w:tl2br w:val="nil"/>
                    <w:tr2bl w:val="nil"/>
                  </w:tcBorders>
                  <w:vAlign w:val="center"/>
                </w:tcPr>
                <w:p w14:paraId="75B48F14">
                  <w:pPr>
                    <w:jc w:val="center"/>
                    <w:rPr>
                      <w:rFonts w:ascii="Times New Roman" w:hAnsi="Times New Roman" w:eastAsia="宋体" w:cs="Times New Roman"/>
                      <w:b/>
                      <w:szCs w:val="21"/>
                    </w:rPr>
                  </w:pPr>
                </w:p>
              </w:tc>
              <w:tc>
                <w:tcPr>
                  <w:tcW w:w="3530" w:type="dxa"/>
                  <w:tcBorders>
                    <w:tl2br w:val="nil"/>
                    <w:tr2bl w:val="nil"/>
                  </w:tcBorders>
                  <w:vAlign w:val="center"/>
                </w:tcPr>
                <w:p w14:paraId="2AE1DBFE">
                  <w:pPr>
                    <w:jc w:val="center"/>
                    <w:rPr>
                      <w:rFonts w:ascii="Times New Roman" w:hAnsi="Times New Roman" w:eastAsia="宋体" w:cs="Times New Roman"/>
                      <w:b/>
                      <w:szCs w:val="21"/>
                    </w:rPr>
                  </w:pPr>
                  <w:r>
                    <w:rPr>
                      <w:rFonts w:ascii="Times New Roman" w:hAnsi="Times New Roman" w:eastAsia="宋体" w:cs="Times New Roman"/>
                      <w:b/>
                      <w:szCs w:val="21"/>
                    </w:rPr>
                    <w:t>0～0.</w:t>
                  </w:r>
                  <w:r>
                    <w:rPr>
                      <w:rFonts w:hint="eastAsia" w:ascii="Times New Roman" w:hAnsi="Times New Roman" w:eastAsia="宋体" w:cs="Times New Roman"/>
                      <w:b/>
                      <w:szCs w:val="21"/>
                    </w:rPr>
                    <w:t>2</w:t>
                  </w:r>
                  <w:r>
                    <w:rPr>
                      <w:rFonts w:ascii="Times New Roman" w:hAnsi="Times New Roman" w:eastAsia="宋体" w:cs="Times New Roman"/>
                      <w:b/>
                      <w:szCs w:val="21"/>
                    </w:rPr>
                    <w:t>m</w:t>
                  </w:r>
                </w:p>
              </w:tc>
            </w:tr>
            <w:tr w14:paraId="72F3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56454DC3">
                  <w:pPr>
                    <w:jc w:val="center"/>
                    <w:rPr>
                      <w:rFonts w:ascii="Times New Roman" w:hAnsi="Times New Roman" w:eastAsia="宋体" w:cs="Times New Roman"/>
                      <w:szCs w:val="21"/>
                    </w:rPr>
                  </w:pPr>
                  <w:r>
                    <w:rPr>
                      <w:rFonts w:ascii="Times New Roman" w:hAnsi="Times New Roman" w:eastAsia="宋体" w:cs="Times New Roman"/>
                      <w:szCs w:val="21"/>
                    </w:rPr>
                    <w:t>pH值</w:t>
                  </w:r>
                </w:p>
              </w:tc>
              <w:tc>
                <w:tcPr>
                  <w:tcW w:w="1837" w:type="dxa"/>
                  <w:tcBorders>
                    <w:tl2br w:val="nil"/>
                    <w:tr2bl w:val="nil"/>
                  </w:tcBorders>
                  <w:vAlign w:val="center"/>
                </w:tcPr>
                <w:p w14:paraId="3BC52501">
                  <w:pPr>
                    <w:jc w:val="center"/>
                    <w:rPr>
                      <w:rFonts w:ascii="Times New Roman" w:hAnsi="Times New Roman" w:eastAsia="宋体" w:cs="Times New Roman"/>
                      <w:szCs w:val="21"/>
                    </w:rPr>
                  </w:pPr>
                  <w:r>
                    <w:rPr>
                      <w:rFonts w:hint="eastAsia" w:ascii="Times New Roman" w:hAnsi="Times New Roman" w:eastAsia="宋体" w:cs="Times New Roman"/>
                      <w:szCs w:val="21"/>
                    </w:rPr>
                    <w:t>无量纲</w:t>
                  </w:r>
                </w:p>
              </w:tc>
              <w:tc>
                <w:tcPr>
                  <w:tcW w:w="3530" w:type="dxa"/>
                  <w:tcBorders>
                    <w:tl2br w:val="nil"/>
                    <w:tr2bl w:val="nil"/>
                  </w:tcBorders>
                  <w:vAlign w:val="center"/>
                </w:tcPr>
                <w:p w14:paraId="1529782C">
                  <w:pPr>
                    <w:jc w:val="center"/>
                    <w:rPr>
                      <w:rFonts w:ascii="Times New Roman" w:hAnsi="Times New Roman" w:eastAsia="宋体" w:cs="Times New Roman"/>
                      <w:szCs w:val="21"/>
                    </w:rPr>
                  </w:pPr>
                  <w:r>
                    <w:rPr>
                      <w:rFonts w:hint="eastAsia" w:ascii="Times New Roman" w:hAnsi="Times New Roman" w:eastAsia="宋体" w:cs="Times New Roman"/>
                      <w:szCs w:val="21"/>
                    </w:rPr>
                    <w:t>8.2</w:t>
                  </w:r>
                </w:p>
              </w:tc>
            </w:tr>
            <w:tr w14:paraId="32E71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15524A89">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铜</w:t>
                  </w:r>
                </w:p>
              </w:tc>
              <w:tc>
                <w:tcPr>
                  <w:tcW w:w="1837" w:type="dxa"/>
                  <w:tcBorders>
                    <w:tl2br w:val="nil"/>
                    <w:tr2bl w:val="nil"/>
                  </w:tcBorders>
                  <w:vAlign w:val="center"/>
                </w:tcPr>
                <w:p w14:paraId="110234A0">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1CA9A336">
                  <w:pPr>
                    <w:jc w:val="center"/>
                    <w:rPr>
                      <w:rFonts w:ascii="Times New Roman" w:hAnsi="Times New Roman" w:eastAsia="宋体" w:cs="Times New Roman"/>
                      <w:szCs w:val="21"/>
                    </w:rPr>
                  </w:pPr>
                  <w:r>
                    <w:rPr>
                      <w:rFonts w:hint="eastAsia" w:ascii="Times New Roman" w:hAnsi="Times New Roman" w:eastAsia="宋体" w:cs="Times New Roman"/>
                      <w:szCs w:val="21"/>
                    </w:rPr>
                    <w:t>30.7</w:t>
                  </w:r>
                </w:p>
              </w:tc>
            </w:tr>
            <w:tr w14:paraId="73D04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65FFC517">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铅</w:t>
                  </w:r>
                </w:p>
              </w:tc>
              <w:tc>
                <w:tcPr>
                  <w:tcW w:w="1837" w:type="dxa"/>
                  <w:tcBorders>
                    <w:tl2br w:val="nil"/>
                    <w:tr2bl w:val="nil"/>
                  </w:tcBorders>
                  <w:vAlign w:val="center"/>
                </w:tcPr>
                <w:p w14:paraId="20390343">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463ED723">
                  <w:pPr>
                    <w:jc w:val="center"/>
                    <w:rPr>
                      <w:rFonts w:ascii="Times New Roman" w:hAnsi="Times New Roman" w:eastAsia="宋体" w:cs="Times New Roman"/>
                      <w:szCs w:val="21"/>
                    </w:rPr>
                  </w:pPr>
                  <w:r>
                    <w:rPr>
                      <w:rFonts w:hint="eastAsia" w:ascii="Times New Roman" w:hAnsi="Times New Roman" w:eastAsia="宋体" w:cs="Times New Roman"/>
                      <w:szCs w:val="21"/>
                    </w:rPr>
                    <w:t>19.7</w:t>
                  </w:r>
                </w:p>
              </w:tc>
            </w:tr>
            <w:tr w14:paraId="05409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17BDC496">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镍</w:t>
                  </w:r>
                </w:p>
              </w:tc>
              <w:tc>
                <w:tcPr>
                  <w:tcW w:w="1837" w:type="dxa"/>
                  <w:tcBorders>
                    <w:tl2br w:val="nil"/>
                    <w:tr2bl w:val="nil"/>
                  </w:tcBorders>
                  <w:vAlign w:val="center"/>
                </w:tcPr>
                <w:p w14:paraId="662B61F7">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295A38C4">
                  <w:pPr>
                    <w:jc w:val="center"/>
                    <w:rPr>
                      <w:rFonts w:ascii="Times New Roman" w:hAnsi="Times New Roman" w:eastAsia="宋体" w:cs="Times New Roman"/>
                      <w:szCs w:val="21"/>
                    </w:rPr>
                  </w:pPr>
                  <w:r>
                    <w:rPr>
                      <w:rFonts w:hint="eastAsia" w:ascii="Times New Roman" w:hAnsi="Times New Roman" w:eastAsia="宋体" w:cs="Times New Roman"/>
                      <w:szCs w:val="21"/>
                    </w:rPr>
                    <w:t>24.0</w:t>
                  </w:r>
                </w:p>
              </w:tc>
            </w:tr>
            <w:tr w14:paraId="6B811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18F7E572">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镉</w:t>
                  </w:r>
                </w:p>
              </w:tc>
              <w:tc>
                <w:tcPr>
                  <w:tcW w:w="1837" w:type="dxa"/>
                  <w:tcBorders>
                    <w:tl2br w:val="nil"/>
                    <w:tr2bl w:val="nil"/>
                  </w:tcBorders>
                  <w:vAlign w:val="center"/>
                </w:tcPr>
                <w:p w14:paraId="792A122A">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5E07C799">
                  <w:pPr>
                    <w:jc w:val="center"/>
                    <w:rPr>
                      <w:rFonts w:ascii="Times New Roman" w:hAnsi="Times New Roman" w:eastAsia="宋体" w:cs="Times New Roman"/>
                      <w:szCs w:val="21"/>
                    </w:rPr>
                  </w:pPr>
                  <w:r>
                    <w:rPr>
                      <w:rFonts w:hint="eastAsia" w:ascii="Times New Roman" w:hAnsi="Times New Roman" w:eastAsia="宋体" w:cs="Times New Roman"/>
                      <w:szCs w:val="21"/>
                    </w:rPr>
                    <w:t>0.22</w:t>
                  </w:r>
                </w:p>
              </w:tc>
            </w:tr>
            <w:tr w14:paraId="4F7B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52C07E7D">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汞</w:t>
                  </w:r>
                </w:p>
              </w:tc>
              <w:tc>
                <w:tcPr>
                  <w:tcW w:w="1837" w:type="dxa"/>
                  <w:tcBorders>
                    <w:tl2br w:val="nil"/>
                    <w:tr2bl w:val="nil"/>
                  </w:tcBorders>
                  <w:vAlign w:val="center"/>
                </w:tcPr>
                <w:p w14:paraId="3DC17553">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41BECAEB">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0.090</w:t>
                  </w:r>
                </w:p>
              </w:tc>
            </w:tr>
            <w:tr w14:paraId="064E2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4BBB0A6A">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砷</w:t>
                  </w:r>
                </w:p>
              </w:tc>
              <w:tc>
                <w:tcPr>
                  <w:tcW w:w="1837" w:type="dxa"/>
                  <w:tcBorders>
                    <w:tl2br w:val="nil"/>
                    <w:tr2bl w:val="nil"/>
                  </w:tcBorders>
                  <w:vAlign w:val="center"/>
                </w:tcPr>
                <w:p w14:paraId="618B525B">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38E362B2">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5.21</w:t>
                  </w:r>
                </w:p>
              </w:tc>
            </w:tr>
            <w:tr w14:paraId="725F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7F447AE4">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铬（六价）</w:t>
                  </w:r>
                </w:p>
              </w:tc>
              <w:tc>
                <w:tcPr>
                  <w:tcW w:w="1837" w:type="dxa"/>
                  <w:tcBorders>
                    <w:tl2br w:val="nil"/>
                    <w:tr2bl w:val="nil"/>
                  </w:tcBorders>
                  <w:vAlign w:val="center"/>
                </w:tcPr>
                <w:p w14:paraId="012B8953">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7E3FD871">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ND</w:t>
                  </w:r>
                </w:p>
              </w:tc>
            </w:tr>
            <w:tr w14:paraId="7FB0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4E76C370">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四氯化碳</w:t>
                  </w:r>
                </w:p>
              </w:tc>
              <w:tc>
                <w:tcPr>
                  <w:tcW w:w="1837" w:type="dxa"/>
                  <w:tcBorders>
                    <w:tl2br w:val="nil"/>
                    <w:tr2bl w:val="nil"/>
                  </w:tcBorders>
                  <w:vAlign w:val="center"/>
                </w:tcPr>
                <w:p w14:paraId="3D348F1B">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2462DC79">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772BC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3B444DA2">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氯仿</w:t>
                  </w:r>
                </w:p>
              </w:tc>
              <w:tc>
                <w:tcPr>
                  <w:tcW w:w="1837" w:type="dxa"/>
                  <w:tcBorders>
                    <w:tl2br w:val="nil"/>
                    <w:tr2bl w:val="nil"/>
                  </w:tcBorders>
                  <w:vAlign w:val="center"/>
                </w:tcPr>
                <w:p w14:paraId="4663212F">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63FCE00A">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09706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64E15855">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氯甲烷</w:t>
                  </w:r>
                </w:p>
              </w:tc>
              <w:tc>
                <w:tcPr>
                  <w:tcW w:w="1837" w:type="dxa"/>
                  <w:tcBorders>
                    <w:tl2br w:val="nil"/>
                    <w:tr2bl w:val="nil"/>
                  </w:tcBorders>
                  <w:vAlign w:val="center"/>
                </w:tcPr>
                <w:p w14:paraId="3406A01A">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7D38DC82">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681EE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389E7450">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1，1-二氯乙烷</w:t>
                  </w:r>
                </w:p>
              </w:tc>
              <w:tc>
                <w:tcPr>
                  <w:tcW w:w="1837" w:type="dxa"/>
                  <w:tcBorders>
                    <w:tl2br w:val="nil"/>
                    <w:tr2bl w:val="nil"/>
                  </w:tcBorders>
                  <w:vAlign w:val="center"/>
                </w:tcPr>
                <w:p w14:paraId="31E0E865">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1C404189">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03A4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055A3808">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1，2-二氯乙烷</w:t>
                  </w:r>
                </w:p>
              </w:tc>
              <w:tc>
                <w:tcPr>
                  <w:tcW w:w="1837" w:type="dxa"/>
                  <w:tcBorders>
                    <w:tl2br w:val="nil"/>
                    <w:tr2bl w:val="nil"/>
                  </w:tcBorders>
                  <w:vAlign w:val="center"/>
                </w:tcPr>
                <w:p w14:paraId="71244A25">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183D52F9">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2E51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65351338">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1，1-二氯乙烯</w:t>
                  </w:r>
                </w:p>
              </w:tc>
              <w:tc>
                <w:tcPr>
                  <w:tcW w:w="1837" w:type="dxa"/>
                  <w:tcBorders>
                    <w:tl2br w:val="nil"/>
                    <w:tr2bl w:val="nil"/>
                  </w:tcBorders>
                  <w:vAlign w:val="center"/>
                </w:tcPr>
                <w:p w14:paraId="402F2987">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6C59063E">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6A0E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052CD95B">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顺-1，2-二氯乙烯</w:t>
                  </w:r>
                </w:p>
              </w:tc>
              <w:tc>
                <w:tcPr>
                  <w:tcW w:w="1837" w:type="dxa"/>
                  <w:tcBorders>
                    <w:tl2br w:val="nil"/>
                    <w:tr2bl w:val="nil"/>
                  </w:tcBorders>
                  <w:vAlign w:val="center"/>
                </w:tcPr>
                <w:p w14:paraId="249B3E58">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72B377FA">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49DEF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50F5C02B">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反-1，2-二氯乙烯</w:t>
                  </w:r>
                </w:p>
              </w:tc>
              <w:tc>
                <w:tcPr>
                  <w:tcW w:w="1837" w:type="dxa"/>
                  <w:tcBorders>
                    <w:tl2br w:val="nil"/>
                    <w:tr2bl w:val="nil"/>
                  </w:tcBorders>
                  <w:vAlign w:val="center"/>
                </w:tcPr>
                <w:p w14:paraId="7EDA2229">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115D785B">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68EC4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0AFB7238">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二氯甲烷</w:t>
                  </w:r>
                </w:p>
              </w:tc>
              <w:tc>
                <w:tcPr>
                  <w:tcW w:w="1837" w:type="dxa"/>
                  <w:tcBorders>
                    <w:tl2br w:val="nil"/>
                    <w:tr2bl w:val="nil"/>
                  </w:tcBorders>
                  <w:vAlign w:val="center"/>
                </w:tcPr>
                <w:p w14:paraId="6B5976BA">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622CBA19">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1067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4C56366F">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1，2-二氯丙烷</w:t>
                  </w:r>
                </w:p>
              </w:tc>
              <w:tc>
                <w:tcPr>
                  <w:tcW w:w="1837" w:type="dxa"/>
                  <w:tcBorders>
                    <w:tl2br w:val="nil"/>
                    <w:tr2bl w:val="nil"/>
                  </w:tcBorders>
                  <w:vAlign w:val="center"/>
                </w:tcPr>
                <w:p w14:paraId="22731A51">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34C54EAC">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14511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7E142ED3">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1，1，1，2-四氯乙烷</w:t>
                  </w:r>
                </w:p>
              </w:tc>
              <w:tc>
                <w:tcPr>
                  <w:tcW w:w="1837" w:type="dxa"/>
                  <w:tcBorders>
                    <w:tl2br w:val="nil"/>
                    <w:tr2bl w:val="nil"/>
                  </w:tcBorders>
                  <w:vAlign w:val="center"/>
                </w:tcPr>
                <w:p w14:paraId="67553FB9">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4C7A8BC6">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656B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05DA0C98">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1，1，2，2-四氯乙烷</w:t>
                  </w:r>
                </w:p>
              </w:tc>
              <w:tc>
                <w:tcPr>
                  <w:tcW w:w="1837" w:type="dxa"/>
                  <w:tcBorders>
                    <w:tl2br w:val="nil"/>
                    <w:tr2bl w:val="nil"/>
                  </w:tcBorders>
                  <w:vAlign w:val="center"/>
                </w:tcPr>
                <w:p w14:paraId="1921C4A4">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3F817B81">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2288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756FFC35">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四氯乙烯</w:t>
                  </w:r>
                </w:p>
              </w:tc>
              <w:tc>
                <w:tcPr>
                  <w:tcW w:w="1837" w:type="dxa"/>
                  <w:tcBorders>
                    <w:tl2br w:val="nil"/>
                    <w:tr2bl w:val="nil"/>
                  </w:tcBorders>
                  <w:vAlign w:val="center"/>
                </w:tcPr>
                <w:p w14:paraId="642B7417">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7211737D">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9.49</w:t>
                  </w:r>
                  <w:r>
                    <w:rPr>
                      <w:rFonts w:ascii="Times New Roman" w:hAnsi="Times New Roman" w:cs="Times New Roman"/>
                      <w:szCs w:val="21"/>
                    </w:rPr>
                    <w:t>×10</w:t>
                  </w:r>
                  <w:r>
                    <w:rPr>
                      <w:rFonts w:ascii="Times New Roman" w:hAnsi="Times New Roman" w:cs="Times New Roman"/>
                      <w:szCs w:val="21"/>
                      <w:vertAlign w:val="superscript"/>
                    </w:rPr>
                    <w:t>-</w:t>
                  </w:r>
                  <w:r>
                    <w:rPr>
                      <w:rFonts w:hint="eastAsia" w:ascii="Times New Roman" w:hAnsi="Times New Roman" w:cs="Times New Roman"/>
                      <w:szCs w:val="21"/>
                      <w:vertAlign w:val="superscript"/>
                    </w:rPr>
                    <w:t>3</w:t>
                  </w:r>
                </w:p>
              </w:tc>
            </w:tr>
            <w:tr w14:paraId="320DA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68C2C178">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1，1，1-三氯乙烷</w:t>
                  </w:r>
                </w:p>
              </w:tc>
              <w:tc>
                <w:tcPr>
                  <w:tcW w:w="1837" w:type="dxa"/>
                  <w:tcBorders>
                    <w:tl2br w:val="nil"/>
                    <w:tr2bl w:val="nil"/>
                  </w:tcBorders>
                  <w:vAlign w:val="center"/>
                </w:tcPr>
                <w:p w14:paraId="1285053E">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1426DD8A">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14CC4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517C52A9">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1，1，2-三氯乙烷</w:t>
                  </w:r>
                </w:p>
              </w:tc>
              <w:tc>
                <w:tcPr>
                  <w:tcW w:w="1837" w:type="dxa"/>
                  <w:tcBorders>
                    <w:tl2br w:val="nil"/>
                    <w:tr2bl w:val="nil"/>
                  </w:tcBorders>
                  <w:vAlign w:val="center"/>
                </w:tcPr>
                <w:p w14:paraId="297C0DF0">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172F8349">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6190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7C86DD35">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三氯乙烯</w:t>
                  </w:r>
                </w:p>
              </w:tc>
              <w:tc>
                <w:tcPr>
                  <w:tcW w:w="1837" w:type="dxa"/>
                  <w:tcBorders>
                    <w:tl2br w:val="nil"/>
                    <w:tr2bl w:val="nil"/>
                  </w:tcBorders>
                  <w:vAlign w:val="center"/>
                </w:tcPr>
                <w:p w14:paraId="5CE1337D">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4681185A">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325C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708178CF">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1，2，3-三氯丙烷</w:t>
                  </w:r>
                </w:p>
              </w:tc>
              <w:tc>
                <w:tcPr>
                  <w:tcW w:w="1837" w:type="dxa"/>
                  <w:tcBorders>
                    <w:tl2br w:val="nil"/>
                    <w:tr2bl w:val="nil"/>
                  </w:tcBorders>
                  <w:vAlign w:val="center"/>
                </w:tcPr>
                <w:p w14:paraId="32047E4F">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716E5FC2">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28A23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226BC29E">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氯乙烯</w:t>
                  </w:r>
                </w:p>
              </w:tc>
              <w:tc>
                <w:tcPr>
                  <w:tcW w:w="1837" w:type="dxa"/>
                  <w:tcBorders>
                    <w:tl2br w:val="nil"/>
                    <w:tr2bl w:val="nil"/>
                  </w:tcBorders>
                  <w:vAlign w:val="center"/>
                </w:tcPr>
                <w:p w14:paraId="1B15DE66">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3101AEF8">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62006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723C3B81">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苯</w:t>
                  </w:r>
                </w:p>
              </w:tc>
              <w:tc>
                <w:tcPr>
                  <w:tcW w:w="1837" w:type="dxa"/>
                  <w:tcBorders>
                    <w:tl2br w:val="nil"/>
                    <w:tr2bl w:val="nil"/>
                  </w:tcBorders>
                  <w:vAlign w:val="center"/>
                </w:tcPr>
                <w:p w14:paraId="0BC3A9EB">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6C5A5F21">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162F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45B3D519">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氯苯</w:t>
                  </w:r>
                </w:p>
              </w:tc>
              <w:tc>
                <w:tcPr>
                  <w:tcW w:w="1837" w:type="dxa"/>
                  <w:tcBorders>
                    <w:tl2br w:val="nil"/>
                    <w:tr2bl w:val="nil"/>
                  </w:tcBorders>
                  <w:vAlign w:val="center"/>
                </w:tcPr>
                <w:p w14:paraId="1F02FBF2">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508840EA">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00F9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2B0CF2B0">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1，2-二氯苯</w:t>
                  </w:r>
                </w:p>
              </w:tc>
              <w:tc>
                <w:tcPr>
                  <w:tcW w:w="1837" w:type="dxa"/>
                  <w:tcBorders>
                    <w:tl2br w:val="nil"/>
                    <w:tr2bl w:val="nil"/>
                  </w:tcBorders>
                  <w:vAlign w:val="center"/>
                </w:tcPr>
                <w:p w14:paraId="2AC70356">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2FD7B2F7">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245BD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7CF5BEB0">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1，4二氯苯</w:t>
                  </w:r>
                </w:p>
              </w:tc>
              <w:tc>
                <w:tcPr>
                  <w:tcW w:w="1837" w:type="dxa"/>
                  <w:tcBorders>
                    <w:tl2br w:val="nil"/>
                    <w:tr2bl w:val="nil"/>
                  </w:tcBorders>
                  <w:vAlign w:val="center"/>
                </w:tcPr>
                <w:p w14:paraId="7AA14E63">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1949194A">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34BD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73AB9D0E">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乙苯</w:t>
                  </w:r>
                </w:p>
              </w:tc>
              <w:tc>
                <w:tcPr>
                  <w:tcW w:w="1837" w:type="dxa"/>
                  <w:tcBorders>
                    <w:tl2br w:val="nil"/>
                    <w:tr2bl w:val="nil"/>
                  </w:tcBorders>
                  <w:vAlign w:val="center"/>
                </w:tcPr>
                <w:p w14:paraId="19B5273C">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55AEFA18">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2691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5C71CE51">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苯乙烯</w:t>
                  </w:r>
                </w:p>
              </w:tc>
              <w:tc>
                <w:tcPr>
                  <w:tcW w:w="1837" w:type="dxa"/>
                  <w:tcBorders>
                    <w:tl2br w:val="nil"/>
                    <w:tr2bl w:val="nil"/>
                  </w:tcBorders>
                  <w:vAlign w:val="center"/>
                </w:tcPr>
                <w:p w14:paraId="1504E9AC">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788522B4">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58835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2F80288F">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甲苯</w:t>
                  </w:r>
                </w:p>
              </w:tc>
              <w:tc>
                <w:tcPr>
                  <w:tcW w:w="1837" w:type="dxa"/>
                  <w:tcBorders>
                    <w:tl2br w:val="nil"/>
                    <w:tr2bl w:val="nil"/>
                  </w:tcBorders>
                  <w:vAlign w:val="center"/>
                </w:tcPr>
                <w:p w14:paraId="62A0B08B">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49A19FFC">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6580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41D675FE">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间二甲苯+对二甲苯</w:t>
                  </w:r>
                </w:p>
              </w:tc>
              <w:tc>
                <w:tcPr>
                  <w:tcW w:w="1837" w:type="dxa"/>
                  <w:tcBorders>
                    <w:tl2br w:val="nil"/>
                    <w:tr2bl w:val="nil"/>
                  </w:tcBorders>
                  <w:vAlign w:val="center"/>
                </w:tcPr>
                <w:p w14:paraId="5B7967BD">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5B8DAF06">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6121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0BB7E20C">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邻二甲苯</w:t>
                  </w:r>
                </w:p>
              </w:tc>
              <w:tc>
                <w:tcPr>
                  <w:tcW w:w="1837" w:type="dxa"/>
                  <w:tcBorders>
                    <w:tl2br w:val="nil"/>
                    <w:tr2bl w:val="nil"/>
                  </w:tcBorders>
                  <w:vAlign w:val="center"/>
                </w:tcPr>
                <w:p w14:paraId="286790C5">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2829A810">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124E1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54B2843F">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硝基苯</w:t>
                  </w:r>
                </w:p>
              </w:tc>
              <w:tc>
                <w:tcPr>
                  <w:tcW w:w="1837" w:type="dxa"/>
                  <w:tcBorders>
                    <w:tl2br w:val="nil"/>
                    <w:tr2bl w:val="nil"/>
                  </w:tcBorders>
                  <w:vAlign w:val="center"/>
                </w:tcPr>
                <w:p w14:paraId="5F8834C2">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075CE872">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0FF27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59801A44">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苯胺</w:t>
                  </w:r>
                </w:p>
              </w:tc>
              <w:tc>
                <w:tcPr>
                  <w:tcW w:w="1837" w:type="dxa"/>
                  <w:tcBorders>
                    <w:tl2br w:val="nil"/>
                    <w:tr2bl w:val="nil"/>
                  </w:tcBorders>
                  <w:vAlign w:val="center"/>
                </w:tcPr>
                <w:p w14:paraId="227C767A">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1BD9DCA5">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35D2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6353E1E4">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2-氯酚</w:t>
                  </w:r>
                </w:p>
              </w:tc>
              <w:tc>
                <w:tcPr>
                  <w:tcW w:w="1837" w:type="dxa"/>
                  <w:tcBorders>
                    <w:tl2br w:val="nil"/>
                    <w:tr2bl w:val="nil"/>
                  </w:tcBorders>
                  <w:vAlign w:val="center"/>
                </w:tcPr>
                <w:p w14:paraId="240DC44B">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3F302A44">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14332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611F9309">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苯并[a]蒽</w:t>
                  </w:r>
                </w:p>
              </w:tc>
              <w:tc>
                <w:tcPr>
                  <w:tcW w:w="1837" w:type="dxa"/>
                  <w:tcBorders>
                    <w:tl2br w:val="nil"/>
                    <w:tr2bl w:val="nil"/>
                  </w:tcBorders>
                  <w:vAlign w:val="center"/>
                </w:tcPr>
                <w:p w14:paraId="1358AA39">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4B86FA0A">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4BAA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097979BF">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苯并[a]芘</w:t>
                  </w:r>
                </w:p>
              </w:tc>
              <w:tc>
                <w:tcPr>
                  <w:tcW w:w="1837" w:type="dxa"/>
                  <w:tcBorders>
                    <w:tl2br w:val="nil"/>
                    <w:tr2bl w:val="nil"/>
                  </w:tcBorders>
                  <w:vAlign w:val="center"/>
                </w:tcPr>
                <w:p w14:paraId="144043E5">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007961D1">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3F18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5BEDB02B">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苯并[b]荧蒽</w:t>
                  </w:r>
                </w:p>
              </w:tc>
              <w:tc>
                <w:tcPr>
                  <w:tcW w:w="1837" w:type="dxa"/>
                  <w:tcBorders>
                    <w:tl2br w:val="nil"/>
                    <w:tr2bl w:val="nil"/>
                  </w:tcBorders>
                  <w:vAlign w:val="center"/>
                </w:tcPr>
                <w:p w14:paraId="488C5A08">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4B66BAC6">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4734F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1B4067A3">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苯并[k]荧蒽</w:t>
                  </w:r>
                </w:p>
              </w:tc>
              <w:tc>
                <w:tcPr>
                  <w:tcW w:w="1837" w:type="dxa"/>
                  <w:tcBorders>
                    <w:tl2br w:val="nil"/>
                    <w:tr2bl w:val="nil"/>
                  </w:tcBorders>
                  <w:vAlign w:val="center"/>
                </w:tcPr>
                <w:p w14:paraId="10D49296">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46084B13">
                  <w:pPr>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5C7E8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55C610B6">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䓛</w:t>
                  </w:r>
                </w:p>
              </w:tc>
              <w:tc>
                <w:tcPr>
                  <w:tcW w:w="1837" w:type="dxa"/>
                  <w:tcBorders>
                    <w:tl2br w:val="nil"/>
                    <w:tr2bl w:val="nil"/>
                  </w:tcBorders>
                  <w:vAlign w:val="center"/>
                </w:tcPr>
                <w:p w14:paraId="2A7BF727">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70C54F42">
                  <w:pPr>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1641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7D9D66EC">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二苯并[a,h]蒽</w:t>
                  </w:r>
                </w:p>
              </w:tc>
              <w:tc>
                <w:tcPr>
                  <w:tcW w:w="1837" w:type="dxa"/>
                  <w:tcBorders>
                    <w:tl2br w:val="nil"/>
                    <w:tr2bl w:val="nil"/>
                  </w:tcBorders>
                  <w:vAlign w:val="center"/>
                </w:tcPr>
                <w:p w14:paraId="1A826C04">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187687BC">
                  <w:pPr>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09075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7929277D">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茚并[1,2,3-cd]芘</w:t>
                  </w:r>
                </w:p>
              </w:tc>
              <w:tc>
                <w:tcPr>
                  <w:tcW w:w="1837" w:type="dxa"/>
                  <w:tcBorders>
                    <w:tl2br w:val="nil"/>
                    <w:tr2bl w:val="nil"/>
                  </w:tcBorders>
                  <w:vAlign w:val="center"/>
                </w:tcPr>
                <w:p w14:paraId="3ADCD501">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44E46519">
                  <w:pPr>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5649B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7901C503">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萘</w:t>
                  </w:r>
                </w:p>
              </w:tc>
              <w:tc>
                <w:tcPr>
                  <w:tcW w:w="1837" w:type="dxa"/>
                  <w:tcBorders>
                    <w:tl2br w:val="nil"/>
                    <w:tr2bl w:val="nil"/>
                  </w:tcBorders>
                  <w:vAlign w:val="center"/>
                </w:tcPr>
                <w:p w14:paraId="53F00C29">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3B0F5557">
                  <w:pPr>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5C3A3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2" w:type="dxa"/>
                  <w:tcBorders>
                    <w:tl2br w:val="nil"/>
                    <w:tr2bl w:val="nil"/>
                  </w:tcBorders>
                  <w:vAlign w:val="center"/>
                </w:tcPr>
                <w:p w14:paraId="6555CE5A">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石油烃</w:t>
                  </w:r>
                  <w:r>
                    <w:rPr>
                      <w:position w:val="1"/>
                    </w:rPr>
                    <w:t>（C</w:t>
                  </w:r>
                  <w:r>
                    <w:rPr>
                      <w:sz w:val="11"/>
                    </w:rPr>
                    <w:t>10</w:t>
                  </w:r>
                  <w:r>
                    <w:rPr>
                      <w:position w:val="1"/>
                    </w:rPr>
                    <w:t>-C</w:t>
                  </w:r>
                  <w:r>
                    <w:rPr>
                      <w:sz w:val="11"/>
                    </w:rPr>
                    <w:t>40</w:t>
                  </w:r>
                  <w:r>
                    <w:rPr>
                      <w:position w:val="1"/>
                    </w:rPr>
                    <w:t>)</w:t>
                  </w:r>
                </w:p>
              </w:tc>
              <w:tc>
                <w:tcPr>
                  <w:tcW w:w="1837" w:type="dxa"/>
                  <w:tcBorders>
                    <w:tl2br w:val="nil"/>
                    <w:tr2bl w:val="nil"/>
                  </w:tcBorders>
                  <w:vAlign w:val="center"/>
                </w:tcPr>
                <w:p w14:paraId="27DA52AD">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0" w:type="dxa"/>
                  <w:tcBorders>
                    <w:tl2br w:val="nil"/>
                    <w:tr2bl w:val="nil"/>
                  </w:tcBorders>
                  <w:vAlign w:val="center"/>
                </w:tcPr>
                <w:p w14:paraId="7DA2739C">
                  <w:pPr>
                    <w:spacing w:line="320" w:lineRule="exact"/>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ND</w:t>
                  </w:r>
                </w:p>
              </w:tc>
            </w:tr>
            <w:tr w14:paraId="4CCFC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959" w:type="dxa"/>
                  <w:gridSpan w:val="3"/>
                  <w:tcBorders>
                    <w:tl2br w:val="nil"/>
                    <w:tr2bl w:val="nil"/>
                  </w:tcBorders>
                  <w:vAlign w:val="center"/>
                </w:tcPr>
                <w:p w14:paraId="3FE199A2">
                  <w:pPr>
                    <w:rPr>
                      <w:rFonts w:ascii="Times New Roman" w:hAnsi="Times New Roman" w:eastAsia="宋体" w:cs="Times New Roman"/>
                      <w:kern w:val="0"/>
                      <w:szCs w:val="21"/>
                    </w:rPr>
                  </w:pPr>
                  <w:r>
                    <w:rPr>
                      <w:rFonts w:ascii="Times New Roman" w:hAnsi="Times New Roman" w:eastAsia="宋体" w:cs="Times New Roman"/>
                      <w:szCs w:val="21"/>
                    </w:rPr>
                    <w:t>注：</w:t>
                  </w:r>
                  <w:r>
                    <w:rPr>
                      <w:rFonts w:ascii="Times New Roman" w:hAnsi="Times New Roman" w:eastAsia="宋体" w:cs="Times New Roman"/>
                      <w:kern w:val="0"/>
                      <w:szCs w:val="21"/>
                    </w:rPr>
                    <w:t>“</w:t>
                  </w:r>
                  <w:r>
                    <w:rPr>
                      <w:rFonts w:hint="eastAsia" w:ascii="Times New Roman" w:hAnsi="Times New Roman" w:eastAsia="宋体" w:cs="Times New Roman"/>
                      <w:kern w:val="0"/>
                      <w:szCs w:val="21"/>
                    </w:rPr>
                    <w:t>ND</w:t>
                  </w:r>
                  <w:r>
                    <w:rPr>
                      <w:rFonts w:ascii="Times New Roman" w:hAnsi="Times New Roman" w:eastAsia="宋体" w:cs="Times New Roman"/>
                      <w:kern w:val="0"/>
                      <w:szCs w:val="21"/>
                    </w:rPr>
                    <w:t>”表示检测结果低于检出限，即未检出。</w:t>
                  </w:r>
                </w:p>
              </w:tc>
            </w:tr>
          </w:tbl>
          <w:p w14:paraId="5909A6FF">
            <w:pPr>
              <w:widowControl/>
              <w:wordWrap w:val="0"/>
              <w:topLinePunct/>
              <w:adjustRightInd w:val="0"/>
              <w:snapToGrid w:val="0"/>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 xml:space="preserve"> 表3-7（续）土壤质量现状检测结果一览表</w:t>
            </w:r>
          </w:p>
          <w:tbl>
            <w:tblPr>
              <w:tblStyle w:val="28"/>
              <w:tblW w:w="7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8"/>
              <w:gridCol w:w="1842"/>
              <w:gridCol w:w="3539"/>
            </w:tblGrid>
            <w:tr w14:paraId="41E97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8" w:type="dxa"/>
                  <w:vMerge w:val="restart"/>
                  <w:tcBorders>
                    <w:tl2br w:val="nil"/>
                    <w:tr2bl w:val="nil"/>
                  </w:tcBorders>
                  <w:vAlign w:val="center"/>
                </w:tcPr>
                <w:p w14:paraId="625860A6">
                  <w:pPr>
                    <w:jc w:val="center"/>
                    <w:rPr>
                      <w:rFonts w:ascii="Times New Roman" w:hAnsi="Times New Roman" w:eastAsia="宋体" w:cs="Times New Roman"/>
                      <w:b/>
                      <w:szCs w:val="21"/>
                    </w:rPr>
                  </w:pPr>
                  <w:r>
                    <w:rPr>
                      <w:rFonts w:ascii="Times New Roman" w:hAnsi="Times New Roman" w:eastAsia="宋体" w:cs="Times New Roman"/>
                      <w:b/>
                      <w:szCs w:val="21"/>
                    </w:rPr>
                    <w:t>检测项目</w:t>
                  </w:r>
                </w:p>
              </w:tc>
              <w:tc>
                <w:tcPr>
                  <w:tcW w:w="1842" w:type="dxa"/>
                  <w:vMerge w:val="restart"/>
                  <w:tcBorders>
                    <w:tl2br w:val="nil"/>
                    <w:tr2bl w:val="nil"/>
                  </w:tcBorders>
                  <w:vAlign w:val="center"/>
                </w:tcPr>
                <w:p w14:paraId="73809C3D">
                  <w:pPr>
                    <w:jc w:val="center"/>
                    <w:rPr>
                      <w:rFonts w:ascii="Times New Roman" w:hAnsi="Times New Roman" w:eastAsia="宋体" w:cs="Times New Roman"/>
                      <w:b/>
                      <w:szCs w:val="21"/>
                    </w:rPr>
                  </w:pPr>
                  <w:r>
                    <w:rPr>
                      <w:rFonts w:ascii="Times New Roman" w:hAnsi="Times New Roman" w:eastAsia="宋体" w:cs="Times New Roman"/>
                      <w:b/>
                      <w:szCs w:val="21"/>
                    </w:rPr>
                    <w:t>单位</w:t>
                  </w:r>
                </w:p>
              </w:tc>
              <w:tc>
                <w:tcPr>
                  <w:tcW w:w="3539" w:type="dxa"/>
                  <w:tcBorders>
                    <w:tl2br w:val="nil"/>
                    <w:tr2bl w:val="nil"/>
                  </w:tcBorders>
                  <w:vAlign w:val="center"/>
                </w:tcPr>
                <w:p w14:paraId="27F6CB7E">
                  <w:pPr>
                    <w:jc w:val="center"/>
                    <w:rPr>
                      <w:rFonts w:ascii="Times New Roman" w:hAnsi="Times New Roman" w:eastAsia="宋体" w:cs="Times New Roman"/>
                      <w:b/>
                      <w:szCs w:val="21"/>
                    </w:rPr>
                  </w:pPr>
                  <w:r>
                    <w:rPr>
                      <w:rFonts w:ascii="Times New Roman" w:hAnsi="Times New Roman" w:eastAsia="宋体" w:cs="Times New Roman"/>
                      <w:b/>
                      <w:szCs w:val="21"/>
                    </w:rPr>
                    <w:t>采样日期、检测点位、检测结果</w:t>
                  </w:r>
                </w:p>
              </w:tc>
            </w:tr>
            <w:tr w14:paraId="055FD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8" w:type="dxa"/>
                  <w:vMerge w:val="continue"/>
                  <w:tcBorders>
                    <w:tl2br w:val="nil"/>
                    <w:tr2bl w:val="nil"/>
                  </w:tcBorders>
                  <w:vAlign w:val="center"/>
                </w:tcPr>
                <w:p w14:paraId="34FAABBE">
                  <w:pPr>
                    <w:jc w:val="center"/>
                    <w:rPr>
                      <w:rFonts w:ascii="Times New Roman" w:hAnsi="Times New Roman" w:eastAsia="宋体" w:cs="Times New Roman"/>
                      <w:b/>
                      <w:szCs w:val="21"/>
                    </w:rPr>
                  </w:pPr>
                </w:p>
              </w:tc>
              <w:tc>
                <w:tcPr>
                  <w:tcW w:w="1842" w:type="dxa"/>
                  <w:vMerge w:val="continue"/>
                  <w:tcBorders>
                    <w:tl2br w:val="nil"/>
                    <w:tr2bl w:val="nil"/>
                  </w:tcBorders>
                  <w:vAlign w:val="center"/>
                </w:tcPr>
                <w:p w14:paraId="0F9B6C05">
                  <w:pPr>
                    <w:jc w:val="center"/>
                    <w:rPr>
                      <w:rFonts w:ascii="Times New Roman" w:hAnsi="Times New Roman" w:eastAsia="宋体" w:cs="Times New Roman"/>
                      <w:b/>
                      <w:szCs w:val="21"/>
                    </w:rPr>
                  </w:pPr>
                </w:p>
              </w:tc>
              <w:tc>
                <w:tcPr>
                  <w:tcW w:w="3539" w:type="dxa"/>
                  <w:tcBorders>
                    <w:tl2br w:val="nil"/>
                    <w:tr2bl w:val="nil"/>
                  </w:tcBorders>
                  <w:vAlign w:val="center"/>
                </w:tcPr>
                <w:p w14:paraId="588BC70B">
                  <w:pPr>
                    <w:jc w:val="center"/>
                    <w:rPr>
                      <w:rFonts w:ascii="Times New Roman" w:hAnsi="Times New Roman" w:eastAsia="宋体" w:cs="Times New Roman"/>
                      <w:b/>
                      <w:szCs w:val="21"/>
                    </w:rPr>
                  </w:pPr>
                  <w:r>
                    <w:rPr>
                      <w:rFonts w:hint="eastAsia" w:ascii="Times New Roman" w:hAnsi="Times New Roman" w:eastAsia="宋体" w:cs="Times New Roman"/>
                      <w:b/>
                      <w:szCs w:val="21"/>
                    </w:rPr>
                    <w:t>2026.06.04</w:t>
                  </w:r>
                </w:p>
              </w:tc>
            </w:tr>
            <w:tr w14:paraId="4203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8" w:type="dxa"/>
                  <w:vMerge w:val="continue"/>
                  <w:tcBorders>
                    <w:tl2br w:val="nil"/>
                    <w:tr2bl w:val="nil"/>
                  </w:tcBorders>
                  <w:vAlign w:val="center"/>
                </w:tcPr>
                <w:p w14:paraId="4911AD1A">
                  <w:pPr>
                    <w:jc w:val="center"/>
                    <w:rPr>
                      <w:rFonts w:ascii="Times New Roman" w:hAnsi="Times New Roman" w:eastAsia="宋体" w:cs="Times New Roman"/>
                      <w:b/>
                      <w:szCs w:val="21"/>
                    </w:rPr>
                  </w:pPr>
                </w:p>
              </w:tc>
              <w:tc>
                <w:tcPr>
                  <w:tcW w:w="1842" w:type="dxa"/>
                  <w:vMerge w:val="continue"/>
                  <w:tcBorders>
                    <w:tl2br w:val="nil"/>
                    <w:tr2bl w:val="nil"/>
                  </w:tcBorders>
                  <w:vAlign w:val="center"/>
                </w:tcPr>
                <w:p w14:paraId="462A9058">
                  <w:pPr>
                    <w:jc w:val="center"/>
                    <w:rPr>
                      <w:rFonts w:ascii="Times New Roman" w:hAnsi="Times New Roman" w:eastAsia="宋体" w:cs="Times New Roman"/>
                      <w:b/>
                      <w:szCs w:val="21"/>
                    </w:rPr>
                  </w:pPr>
                </w:p>
              </w:tc>
              <w:tc>
                <w:tcPr>
                  <w:tcW w:w="3539" w:type="dxa"/>
                  <w:tcBorders>
                    <w:tl2br w:val="nil"/>
                    <w:tr2bl w:val="nil"/>
                  </w:tcBorders>
                  <w:vAlign w:val="center"/>
                </w:tcPr>
                <w:p w14:paraId="69F047E6">
                  <w:pPr>
                    <w:jc w:val="center"/>
                    <w:rPr>
                      <w:rFonts w:ascii="Times New Roman" w:hAnsi="Times New Roman" w:eastAsia="宋体" w:cs="Times New Roman"/>
                      <w:b/>
                      <w:szCs w:val="21"/>
                    </w:rPr>
                  </w:pPr>
                  <w:r>
                    <w:rPr>
                      <w:rFonts w:hint="eastAsia" w:ascii="Times New Roman" w:hAnsi="Times New Roman" w:eastAsia="宋体" w:cs="Times New Roman"/>
                      <w:b/>
                      <w:szCs w:val="21"/>
                    </w:rPr>
                    <w:t xml:space="preserve">2# </w:t>
                  </w:r>
                  <w:r>
                    <w:rPr>
                      <w:rFonts w:ascii="Times New Roman" w:hAnsi="Times New Roman" w:eastAsia="宋体" w:cs="Times New Roman"/>
                      <w:b/>
                      <w:szCs w:val="21"/>
                    </w:rPr>
                    <w:t>厂区下风向</w:t>
                  </w:r>
                  <w:r>
                    <w:rPr>
                      <w:rFonts w:hint="eastAsia" w:ascii="Times New Roman" w:hAnsi="Times New Roman" w:eastAsia="宋体" w:cs="Times New Roman"/>
                      <w:b/>
                      <w:szCs w:val="21"/>
                    </w:rPr>
                    <w:t>开垦荒地</w:t>
                  </w:r>
                </w:p>
              </w:tc>
            </w:tr>
            <w:tr w14:paraId="750CA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8" w:type="dxa"/>
                  <w:vMerge w:val="continue"/>
                  <w:tcBorders>
                    <w:tl2br w:val="nil"/>
                    <w:tr2bl w:val="nil"/>
                  </w:tcBorders>
                  <w:vAlign w:val="center"/>
                </w:tcPr>
                <w:p w14:paraId="0E8D0789">
                  <w:pPr>
                    <w:jc w:val="center"/>
                    <w:rPr>
                      <w:rFonts w:ascii="Times New Roman" w:hAnsi="Times New Roman" w:eastAsia="宋体" w:cs="Times New Roman"/>
                      <w:b/>
                      <w:szCs w:val="21"/>
                    </w:rPr>
                  </w:pPr>
                </w:p>
              </w:tc>
              <w:tc>
                <w:tcPr>
                  <w:tcW w:w="1842" w:type="dxa"/>
                  <w:vMerge w:val="continue"/>
                  <w:tcBorders>
                    <w:tl2br w:val="nil"/>
                    <w:tr2bl w:val="nil"/>
                  </w:tcBorders>
                  <w:vAlign w:val="center"/>
                </w:tcPr>
                <w:p w14:paraId="5366D42E">
                  <w:pPr>
                    <w:jc w:val="center"/>
                    <w:rPr>
                      <w:rFonts w:ascii="Times New Roman" w:hAnsi="Times New Roman" w:eastAsia="宋体" w:cs="Times New Roman"/>
                      <w:b/>
                      <w:szCs w:val="21"/>
                    </w:rPr>
                  </w:pPr>
                </w:p>
              </w:tc>
              <w:tc>
                <w:tcPr>
                  <w:tcW w:w="3539" w:type="dxa"/>
                  <w:tcBorders>
                    <w:tl2br w:val="nil"/>
                    <w:tr2bl w:val="nil"/>
                  </w:tcBorders>
                  <w:vAlign w:val="center"/>
                </w:tcPr>
                <w:p w14:paraId="2AE6D881">
                  <w:pPr>
                    <w:jc w:val="center"/>
                    <w:rPr>
                      <w:rFonts w:ascii="Times New Roman" w:hAnsi="Times New Roman" w:eastAsia="宋体" w:cs="Times New Roman"/>
                      <w:b/>
                      <w:szCs w:val="21"/>
                    </w:rPr>
                  </w:pPr>
                  <w:r>
                    <w:rPr>
                      <w:rFonts w:ascii="Times New Roman" w:hAnsi="Times New Roman" w:eastAsia="宋体" w:cs="Times New Roman"/>
                      <w:b/>
                      <w:szCs w:val="21"/>
                    </w:rPr>
                    <w:t>0～0.</w:t>
                  </w:r>
                  <w:r>
                    <w:rPr>
                      <w:rFonts w:hint="eastAsia" w:ascii="Times New Roman" w:hAnsi="Times New Roman" w:eastAsia="宋体" w:cs="Times New Roman"/>
                      <w:b/>
                      <w:szCs w:val="21"/>
                    </w:rPr>
                    <w:t>2</w:t>
                  </w:r>
                  <w:r>
                    <w:rPr>
                      <w:rFonts w:ascii="Times New Roman" w:hAnsi="Times New Roman" w:eastAsia="宋体" w:cs="Times New Roman"/>
                      <w:b/>
                      <w:szCs w:val="21"/>
                    </w:rPr>
                    <w:t>m</w:t>
                  </w:r>
                </w:p>
              </w:tc>
            </w:tr>
            <w:tr w14:paraId="4E4B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8" w:type="dxa"/>
                  <w:tcBorders>
                    <w:tl2br w:val="nil"/>
                    <w:tr2bl w:val="nil"/>
                  </w:tcBorders>
                  <w:vAlign w:val="center"/>
                </w:tcPr>
                <w:p w14:paraId="016F988D">
                  <w:pPr>
                    <w:jc w:val="center"/>
                    <w:rPr>
                      <w:rFonts w:ascii="Times New Roman" w:hAnsi="Times New Roman" w:eastAsia="宋体" w:cs="Times New Roman"/>
                      <w:szCs w:val="21"/>
                    </w:rPr>
                  </w:pPr>
                  <w:r>
                    <w:rPr>
                      <w:rFonts w:ascii="Times New Roman" w:hAnsi="Times New Roman" w:eastAsia="宋体" w:cs="Times New Roman"/>
                      <w:szCs w:val="21"/>
                    </w:rPr>
                    <w:t>pH值</w:t>
                  </w:r>
                </w:p>
              </w:tc>
              <w:tc>
                <w:tcPr>
                  <w:tcW w:w="1842" w:type="dxa"/>
                  <w:tcBorders>
                    <w:tl2br w:val="nil"/>
                    <w:tr2bl w:val="nil"/>
                  </w:tcBorders>
                  <w:vAlign w:val="center"/>
                </w:tcPr>
                <w:p w14:paraId="313BFBEA">
                  <w:pPr>
                    <w:jc w:val="center"/>
                    <w:rPr>
                      <w:rFonts w:ascii="Times New Roman" w:hAnsi="Times New Roman" w:eastAsia="宋体" w:cs="Times New Roman"/>
                      <w:szCs w:val="21"/>
                    </w:rPr>
                  </w:pPr>
                  <w:r>
                    <w:rPr>
                      <w:rFonts w:hint="eastAsia" w:ascii="Times New Roman" w:hAnsi="Times New Roman" w:eastAsia="宋体" w:cs="Times New Roman"/>
                      <w:szCs w:val="21"/>
                    </w:rPr>
                    <w:t>无量纲</w:t>
                  </w:r>
                </w:p>
              </w:tc>
              <w:tc>
                <w:tcPr>
                  <w:tcW w:w="3539" w:type="dxa"/>
                  <w:tcBorders>
                    <w:tl2br w:val="nil"/>
                    <w:tr2bl w:val="nil"/>
                  </w:tcBorders>
                  <w:vAlign w:val="center"/>
                </w:tcPr>
                <w:p w14:paraId="653C1DAB">
                  <w:pPr>
                    <w:jc w:val="center"/>
                    <w:rPr>
                      <w:rFonts w:ascii="Times New Roman" w:hAnsi="Times New Roman" w:eastAsia="宋体" w:cs="Times New Roman"/>
                      <w:szCs w:val="21"/>
                    </w:rPr>
                  </w:pPr>
                  <w:r>
                    <w:rPr>
                      <w:rFonts w:hint="eastAsia" w:ascii="Times New Roman" w:hAnsi="Times New Roman" w:eastAsia="宋体" w:cs="Times New Roman"/>
                      <w:szCs w:val="21"/>
                    </w:rPr>
                    <w:t>7.9</w:t>
                  </w:r>
                </w:p>
              </w:tc>
            </w:tr>
            <w:tr w14:paraId="0AEFD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8" w:type="dxa"/>
                  <w:tcBorders>
                    <w:tl2br w:val="nil"/>
                    <w:tr2bl w:val="nil"/>
                  </w:tcBorders>
                  <w:vAlign w:val="center"/>
                </w:tcPr>
                <w:p w14:paraId="30C161DD">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铜</w:t>
                  </w:r>
                </w:p>
              </w:tc>
              <w:tc>
                <w:tcPr>
                  <w:tcW w:w="1842" w:type="dxa"/>
                  <w:tcBorders>
                    <w:tl2br w:val="nil"/>
                    <w:tr2bl w:val="nil"/>
                  </w:tcBorders>
                  <w:vAlign w:val="center"/>
                </w:tcPr>
                <w:p w14:paraId="05D42D56">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9" w:type="dxa"/>
                  <w:tcBorders>
                    <w:tl2br w:val="nil"/>
                    <w:tr2bl w:val="nil"/>
                  </w:tcBorders>
                  <w:vAlign w:val="center"/>
                </w:tcPr>
                <w:p w14:paraId="37DBEBBF">
                  <w:pPr>
                    <w:jc w:val="center"/>
                    <w:rPr>
                      <w:rFonts w:ascii="Times New Roman" w:hAnsi="Times New Roman" w:eastAsia="宋体" w:cs="Times New Roman"/>
                      <w:szCs w:val="21"/>
                    </w:rPr>
                  </w:pPr>
                  <w:r>
                    <w:rPr>
                      <w:rFonts w:hint="eastAsia" w:ascii="Times New Roman" w:hAnsi="Times New Roman" w:eastAsia="宋体" w:cs="Times New Roman"/>
                      <w:szCs w:val="21"/>
                    </w:rPr>
                    <w:t>23.1</w:t>
                  </w:r>
                </w:p>
              </w:tc>
            </w:tr>
            <w:tr w14:paraId="41E82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8" w:type="dxa"/>
                  <w:tcBorders>
                    <w:tl2br w:val="nil"/>
                    <w:tr2bl w:val="nil"/>
                  </w:tcBorders>
                  <w:vAlign w:val="center"/>
                </w:tcPr>
                <w:p w14:paraId="2F32B024">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铅</w:t>
                  </w:r>
                </w:p>
              </w:tc>
              <w:tc>
                <w:tcPr>
                  <w:tcW w:w="1842" w:type="dxa"/>
                  <w:tcBorders>
                    <w:tl2br w:val="nil"/>
                    <w:tr2bl w:val="nil"/>
                  </w:tcBorders>
                  <w:vAlign w:val="center"/>
                </w:tcPr>
                <w:p w14:paraId="469C0F72">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9" w:type="dxa"/>
                  <w:tcBorders>
                    <w:tl2br w:val="nil"/>
                    <w:tr2bl w:val="nil"/>
                  </w:tcBorders>
                  <w:vAlign w:val="center"/>
                </w:tcPr>
                <w:p w14:paraId="6C09755C">
                  <w:pPr>
                    <w:jc w:val="center"/>
                    <w:rPr>
                      <w:rFonts w:ascii="Times New Roman" w:hAnsi="Times New Roman" w:eastAsia="宋体" w:cs="Times New Roman"/>
                      <w:szCs w:val="21"/>
                    </w:rPr>
                  </w:pPr>
                  <w:r>
                    <w:rPr>
                      <w:rFonts w:hint="eastAsia" w:ascii="Times New Roman" w:hAnsi="Times New Roman" w:eastAsia="宋体" w:cs="Times New Roman"/>
                      <w:szCs w:val="21"/>
                    </w:rPr>
                    <w:t>19.4</w:t>
                  </w:r>
                </w:p>
              </w:tc>
            </w:tr>
            <w:tr w14:paraId="308A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8" w:type="dxa"/>
                  <w:tcBorders>
                    <w:tl2br w:val="nil"/>
                    <w:tr2bl w:val="nil"/>
                  </w:tcBorders>
                  <w:vAlign w:val="center"/>
                </w:tcPr>
                <w:p w14:paraId="025F291B">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镍</w:t>
                  </w:r>
                </w:p>
              </w:tc>
              <w:tc>
                <w:tcPr>
                  <w:tcW w:w="1842" w:type="dxa"/>
                  <w:tcBorders>
                    <w:tl2br w:val="nil"/>
                    <w:tr2bl w:val="nil"/>
                  </w:tcBorders>
                  <w:vAlign w:val="center"/>
                </w:tcPr>
                <w:p w14:paraId="17B8B273">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9" w:type="dxa"/>
                  <w:tcBorders>
                    <w:tl2br w:val="nil"/>
                    <w:tr2bl w:val="nil"/>
                  </w:tcBorders>
                  <w:vAlign w:val="center"/>
                </w:tcPr>
                <w:p w14:paraId="23A29DC1">
                  <w:pPr>
                    <w:jc w:val="center"/>
                    <w:rPr>
                      <w:rFonts w:ascii="Times New Roman" w:hAnsi="Times New Roman" w:eastAsia="宋体" w:cs="Times New Roman"/>
                      <w:szCs w:val="21"/>
                    </w:rPr>
                  </w:pPr>
                  <w:r>
                    <w:rPr>
                      <w:rFonts w:hint="eastAsia" w:ascii="Times New Roman" w:hAnsi="Times New Roman" w:eastAsia="宋体" w:cs="Times New Roman"/>
                      <w:szCs w:val="21"/>
                    </w:rPr>
                    <w:t>17.1</w:t>
                  </w:r>
                </w:p>
              </w:tc>
            </w:tr>
            <w:tr w14:paraId="5977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8" w:type="dxa"/>
                  <w:tcBorders>
                    <w:tl2br w:val="nil"/>
                    <w:tr2bl w:val="nil"/>
                  </w:tcBorders>
                  <w:vAlign w:val="center"/>
                </w:tcPr>
                <w:p w14:paraId="541627A5">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镉</w:t>
                  </w:r>
                </w:p>
              </w:tc>
              <w:tc>
                <w:tcPr>
                  <w:tcW w:w="1842" w:type="dxa"/>
                  <w:tcBorders>
                    <w:tl2br w:val="nil"/>
                    <w:tr2bl w:val="nil"/>
                  </w:tcBorders>
                  <w:vAlign w:val="center"/>
                </w:tcPr>
                <w:p w14:paraId="70FBCA77">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9" w:type="dxa"/>
                  <w:tcBorders>
                    <w:tl2br w:val="nil"/>
                    <w:tr2bl w:val="nil"/>
                  </w:tcBorders>
                  <w:vAlign w:val="center"/>
                </w:tcPr>
                <w:p w14:paraId="06933C28">
                  <w:pPr>
                    <w:jc w:val="center"/>
                    <w:rPr>
                      <w:rFonts w:ascii="Times New Roman" w:hAnsi="Times New Roman" w:eastAsia="宋体" w:cs="Times New Roman"/>
                      <w:szCs w:val="21"/>
                    </w:rPr>
                  </w:pPr>
                  <w:r>
                    <w:rPr>
                      <w:rFonts w:hint="eastAsia" w:ascii="Times New Roman" w:hAnsi="Times New Roman" w:eastAsia="宋体" w:cs="Times New Roman"/>
                      <w:szCs w:val="21"/>
                    </w:rPr>
                    <w:t>0.16</w:t>
                  </w:r>
                </w:p>
              </w:tc>
            </w:tr>
            <w:tr w14:paraId="4B39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8" w:type="dxa"/>
                  <w:tcBorders>
                    <w:tl2br w:val="nil"/>
                    <w:tr2bl w:val="nil"/>
                  </w:tcBorders>
                  <w:vAlign w:val="center"/>
                </w:tcPr>
                <w:p w14:paraId="5982D4E1">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汞</w:t>
                  </w:r>
                </w:p>
              </w:tc>
              <w:tc>
                <w:tcPr>
                  <w:tcW w:w="1842" w:type="dxa"/>
                  <w:tcBorders>
                    <w:tl2br w:val="nil"/>
                    <w:tr2bl w:val="nil"/>
                  </w:tcBorders>
                  <w:vAlign w:val="center"/>
                </w:tcPr>
                <w:p w14:paraId="0B2D9954">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9" w:type="dxa"/>
                  <w:tcBorders>
                    <w:tl2br w:val="nil"/>
                    <w:tr2bl w:val="nil"/>
                  </w:tcBorders>
                  <w:vAlign w:val="center"/>
                </w:tcPr>
                <w:p w14:paraId="6F5FD9F8">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0.081</w:t>
                  </w:r>
                </w:p>
              </w:tc>
            </w:tr>
            <w:tr w14:paraId="000C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8" w:type="dxa"/>
                  <w:tcBorders>
                    <w:tl2br w:val="nil"/>
                    <w:tr2bl w:val="nil"/>
                  </w:tcBorders>
                  <w:vAlign w:val="center"/>
                </w:tcPr>
                <w:p w14:paraId="08D071B5">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砷</w:t>
                  </w:r>
                </w:p>
              </w:tc>
              <w:tc>
                <w:tcPr>
                  <w:tcW w:w="1842" w:type="dxa"/>
                  <w:tcBorders>
                    <w:tl2br w:val="nil"/>
                    <w:tr2bl w:val="nil"/>
                  </w:tcBorders>
                  <w:vAlign w:val="center"/>
                </w:tcPr>
                <w:p w14:paraId="3FA6E8D9">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9" w:type="dxa"/>
                  <w:tcBorders>
                    <w:tl2br w:val="nil"/>
                    <w:tr2bl w:val="nil"/>
                  </w:tcBorders>
                  <w:vAlign w:val="center"/>
                </w:tcPr>
                <w:p w14:paraId="013F9A3D">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4.87</w:t>
                  </w:r>
                </w:p>
              </w:tc>
            </w:tr>
            <w:tr w14:paraId="6261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8" w:type="dxa"/>
                  <w:tcBorders>
                    <w:tl2br w:val="nil"/>
                    <w:tr2bl w:val="nil"/>
                  </w:tcBorders>
                  <w:vAlign w:val="center"/>
                </w:tcPr>
                <w:p w14:paraId="0386BC13">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铬</w:t>
                  </w:r>
                </w:p>
              </w:tc>
              <w:tc>
                <w:tcPr>
                  <w:tcW w:w="1842" w:type="dxa"/>
                  <w:tcBorders>
                    <w:tl2br w:val="nil"/>
                    <w:tr2bl w:val="nil"/>
                  </w:tcBorders>
                  <w:vAlign w:val="center"/>
                </w:tcPr>
                <w:p w14:paraId="62E9E6CC">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9" w:type="dxa"/>
                  <w:tcBorders>
                    <w:tl2br w:val="nil"/>
                    <w:tr2bl w:val="nil"/>
                  </w:tcBorders>
                  <w:vAlign w:val="center"/>
                </w:tcPr>
                <w:p w14:paraId="4248152D">
                  <w:pPr>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44.6</w:t>
                  </w:r>
                </w:p>
              </w:tc>
            </w:tr>
            <w:tr w14:paraId="30B22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8" w:type="dxa"/>
                  <w:tcBorders>
                    <w:tl2br w:val="nil"/>
                    <w:tr2bl w:val="nil"/>
                  </w:tcBorders>
                  <w:vAlign w:val="center"/>
                </w:tcPr>
                <w:p w14:paraId="46601DAC">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锌</w:t>
                  </w:r>
                </w:p>
              </w:tc>
              <w:tc>
                <w:tcPr>
                  <w:tcW w:w="1842" w:type="dxa"/>
                  <w:tcBorders>
                    <w:tl2br w:val="nil"/>
                    <w:tr2bl w:val="nil"/>
                  </w:tcBorders>
                  <w:vAlign w:val="center"/>
                </w:tcPr>
                <w:p w14:paraId="705F1A43">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9" w:type="dxa"/>
                  <w:tcBorders>
                    <w:tl2br w:val="nil"/>
                    <w:tr2bl w:val="nil"/>
                  </w:tcBorders>
                  <w:vAlign w:val="center"/>
                </w:tcPr>
                <w:p w14:paraId="0B7F60D2">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bCs/>
                      <w:szCs w:val="21"/>
                    </w:rPr>
                    <w:t>58.9</w:t>
                  </w:r>
                </w:p>
              </w:tc>
            </w:tr>
            <w:tr w14:paraId="76267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8" w:type="dxa"/>
                  <w:tcBorders>
                    <w:tl2br w:val="nil"/>
                    <w:tr2bl w:val="nil"/>
                  </w:tcBorders>
                  <w:vAlign w:val="center"/>
                </w:tcPr>
                <w:p w14:paraId="3CD2C956">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苯并[a]芘</w:t>
                  </w:r>
                </w:p>
              </w:tc>
              <w:tc>
                <w:tcPr>
                  <w:tcW w:w="1842" w:type="dxa"/>
                  <w:tcBorders>
                    <w:tl2br w:val="nil"/>
                    <w:tr2bl w:val="nil"/>
                  </w:tcBorders>
                  <w:vAlign w:val="center"/>
                </w:tcPr>
                <w:p w14:paraId="7D82C12E">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9" w:type="dxa"/>
                  <w:tcBorders>
                    <w:tl2br w:val="nil"/>
                    <w:tr2bl w:val="nil"/>
                  </w:tcBorders>
                  <w:vAlign w:val="center"/>
                </w:tcPr>
                <w:p w14:paraId="1C39F2DB">
                  <w:pPr>
                    <w:tabs>
                      <w:tab w:val="left" w:pos="360"/>
                      <w:tab w:val="left" w:pos="720"/>
                      <w:tab w:val="left" w:pos="1080"/>
                    </w:tabs>
                    <w:autoSpaceDE w:val="0"/>
                    <w:autoSpaceDN w:val="0"/>
                    <w:spacing w:line="320" w:lineRule="exact"/>
                    <w:jc w:val="center"/>
                    <w:rPr>
                      <w:rFonts w:ascii="Times New Roman" w:hAnsi="Times New Roman" w:eastAsia="宋体" w:cs="Times New Roman"/>
                      <w:bCs/>
                      <w:szCs w:val="21"/>
                    </w:rPr>
                  </w:pPr>
                  <w:r>
                    <w:rPr>
                      <w:rFonts w:hint="eastAsia" w:ascii="Times New Roman" w:hAnsi="Times New Roman" w:eastAsia="宋体" w:cs="Times New Roman"/>
                      <w:kern w:val="0"/>
                      <w:szCs w:val="21"/>
                    </w:rPr>
                    <w:t>ND</w:t>
                  </w:r>
                </w:p>
              </w:tc>
            </w:tr>
            <w:tr w14:paraId="6107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98" w:type="dxa"/>
                  <w:tcBorders>
                    <w:tl2br w:val="nil"/>
                    <w:tr2bl w:val="nil"/>
                  </w:tcBorders>
                  <w:vAlign w:val="center"/>
                </w:tcPr>
                <w:p w14:paraId="3D1C6B52">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石油烃</w:t>
                  </w:r>
                  <w:r>
                    <w:rPr>
                      <w:position w:val="1"/>
                    </w:rPr>
                    <w:t>（C</w:t>
                  </w:r>
                  <w:r>
                    <w:rPr>
                      <w:sz w:val="11"/>
                    </w:rPr>
                    <w:t>10</w:t>
                  </w:r>
                  <w:r>
                    <w:rPr>
                      <w:position w:val="1"/>
                    </w:rPr>
                    <w:t>-C</w:t>
                  </w:r>
                  <w:r>
                    <w:rPr>
                      <w:sz w:val="11"/>
                    </w:rPr>
                    <w:t>40</w:t>
                  </w:r>
                  <w:r>
                    <w:rPr>
                      <w:position w:val="1"/>
                    </w:rPr>
                    <w:t>)</w:t>
                  </w:r>
                </w:p>
              </w:tc>
              <w:tc>
                <w:tcPr>
                  <w:tcW w:w="1842" w:type="dxa"/>
                  <w:tcBorders>
                    <w:tl2br w:val="nil"/>
                    <w:tr2bl w:val="nil"/>
                  </w:tcBorders>
                  <w:vAlign w:val="center"/>
                </w:tcPr>
                <w:p w14:paraId="064DF059">
                  <w:pPr>
                    <w:tabs>
                      <w:tab w:val="left" w:pos="360"/>
                      <w:tab w:val="left" w:pos="720"/>
                      <w:tab w:val="left" w:pos="1080"/>
                    </w:tabs>
                    <w:autoSpaceDE w:val="0"/>
                    <w:autoSpaceDN w:val="0"/>
                    <w:jc w:val="center"/>
                    <w:rPr>
                      <w:rFonts w:ascii="Times New Roman" w:hAnsi="Times New Roman" w:eastAsia="宋体" w:cs="Times New Roman"/>
                      <w:kern w:val="0"/>
                      <w:szCs w:val="21"/>
                    </w:rPr>
                  </w:pPr>
                  <w:r>
                    <w:rPr>
                      <w:rFonts w:ascii="Times New Roman" w:hAnsi="Times New Roman" w:eastAsia="宋体" w:cs="Times New Roman"/>
                      <w:kern w:val="0"/>
                      <w:szCs w:val="21"/>
                    </w:rPr>
                    <w:t>mg/kg</w:t>
                  </w:r>
                </w:p>
              </w:tc>
              <w:tc>
                <w:tcPr>
                  <w:tcW w:w="3539" w:type="dxa"/>
                  <w:tcBorders>
                    <w:tl2br w:val="nil"/>
                    <w:tr2bl w:val="nil"/>
                  </w:tcBorders>
                  <w:vAlign w:val="center"/>
                </w:tcPr>
                <w:p w14:paraId="770A4BB6">
                  <w:pPr>
                    <w:spacing w:line="320" w:lineRule="exact"/>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ND</w:t>
                  </w:r>
                </w:p>
              </w:tc>
            </w:tr>
            <w:tr w14:paraId="1468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979" w:type="dxa"/>
                  <w:gridSpan w:val="3"/>
                  <w:tcBorders>
                    <w:tl2br w:val="nil"/>
                    <w:tr2bl w:val="nil"/>
                  </w:tcBorders>
                  <w:vAlign w:val="center"/>
                </w:tcPr>
                <w:p w14:paraId="79B79F57">
                  <w:pPr>
                    <w:rPr>
                      <w:rFonts w:ascii="Times New Roman" w:hAnsi="Times New Roman" w:eastAsia="宋体" w:cs="Times New Roman"/>
                      <w:kern w:val="0"/>
                      <w:szCs w:val="21"/>
                    </w:rPr>
                  </w:pPr>
                  <w:r>
                    <w:rPr>
                      <w:rFonts w:ascii="Times New Roman" w:hAnsi="Times New Roman" w:eastAsia="宋体" w:cs="Times New Roman"/>
                      <w:szCs w:val="21"/>
                    </w:rPr>
                    <w:t>注：</w:t>
                  </w:r>
                  <w:r>
                    <w:rPr>
                      <w:rFonts w:ascii="Times New Roman" w:hAnsi="Times New Roman" w:eastAsia="宋体" w:cs="Times New Roman"/>
                      <w:kern w:val="0"/>
                      <w:szCs w:val="21"/>
                    </w:rPr>
                    <w:t>“</w:t>
                  </w:r>
                  <w:r>
                    <w:rPr>
                      <w:rFonts w:hint="eastAsia" w:ascii="Times New Roman" w:hAnsi="Times New Roman" w:eastAsia="宋体" w:cs="Times New Roman"/>
                      <w:kern w:val="0"/>
                      <w:szCs w:val="21"/>
                    </w:rPr>
                    <w:t>ND</w:t>
                  </w:r>
                  <w:r>
                    <w:rPr>
                      <w:rFonts w:ascii="Times New Roman" w:hAnsi="Times New Roman" w:eastAsia="宋体" w:cs="Times New Roman"/>
                      <w:kern w:val="0"/>
                      <w:szCs w:val="21"/>
                    </w:rPr>
                    <w:t>”表示检测结果低于检出限，即未检出。</w:t>
                  </w:r>
                </w:p>
              </w:tc>
            </w:tr>
          </w:tbl>
          <w:p w14:paraId="14BF44C7">
            <w:pPr>
              <w:widowControl/>
              <w:wordWrap w:val="0"/>
              <w:topLinePunct/>
              <w:adjustRightInd w:val="0"/>
              <w:snapToGrid w:val="0"/>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表3-7（续）</w:t>
            </w:r>
            <w:r>
              <w:rPr>
                <w:rFonts w:ascii="Times New Roman" w:hAnsi="Times New Roman" w:eastAsia="宋体" w:cs="宋体-PUA"/>
                <w:b/>
                <w:sz w:val="24"/>
                <w:shd w:val="clear" w:color="auto" w:fill="FFFFFF"/>
              </w:rPr>
              <w:t>土壤理化特性检测报告</w:t>
            </w:r>
          </w:p>
          <w:tbl>
            <w:tblPr>
              <w:tblStyle w:val="28"/>
              <w:tblW w:w="49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2201"/>
              <w:gridCol w:w="2267"/>
              <w:gridCol w:w="2582"/>
            </w:tblGrid>
            <w:tr w14:paraId="30267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06" w:type="pct"/>
                  <w:gridSpan w:val="2"/>
                  <w:tcBorders>
                    <w:tl2br w:val="nil"/>
                    <w:tr2bl w:val="nil"/>
                  </w:tcBorders>
                  <w:vAlign w:val="center"/>
                </w:tcPr>
                <w:p w14:paraId="08BE447D">
                  <w:pPr>
                    <w:spacing w:line="320" w:lineRule="exact"/>
                    <w:jc w:val="center"/>
                    <w:rPr>
                      <w:rFonts w:ascii="Times New Roman" w:hAnsi="Times New Roman" w:eastAsia="宋体" w:cs="Times New Roman"/>
                      <w:b/>
                      <w:bCs/>
                      <w:szCs w:val="21"/>
                    </w:rPr>
                  </w:pPr>
                  <w:r>
                    <w:rPr>
                      <w:rFonts w:hint="eastAsia" w:ascii="Times New Roman" w:hAnsi="Times New Roman" w:eastAsia="宋体" w:cs="Times New Roman"/>
                      <w:b/>
                      <w:bCs/>
                      <w:szCs w:val="21"/>
                    </w:rPr>
                    <w:t>采样日期</w:t>
                  </w:r>
                </w:p>
              </w:tc>
              <w:tc>
                <w:tcPr>
                  <w:tcW w:w="3093" w:type="pct"/>
                  <w:gridSpan w:val="2"/>
                  <w:tcBorders>
                    <w:tl2br w:val="nil"/>
                    <w:tr2bl w:val="nil"/>
                  </w:tcBorders>
                  <w:vAlign w:val="center"/>
                </w:tcPr>
                <w:p w14:paraId="065619C0">
                  <w:pPr>
                    <w:spacing w:line="320" w:lineRule="exact"/>
                    <w:jc w:val="center"/>
                    <w:rPr>
                      <w:rFonts w:ascii="Times New Roman" w:hAnsi="Times New Roman" w:eastAsia="宋体" w:cs="Times New Roman"/>
                      <w:b/>
                      <w:bCs/>
                      <w:szCs w:val="21"/>
                    </w:rPr>
                  </w:pPr>
                  <w:r>
                    <w:rPr>
                      <w:rFonts w:hint="eastAsia" w:ascii="Times New Roman" w:hAnsi="Times New Roman" w:eastAsia="宋体" w:cs="Times New Roman"/>
                      <w:b/>
                      <w:bCs/>
                      <w:szCs w:val="21"/>
                    </w:rPr>
                    <w:t>2026</w:t>
                  </w:r>
                  <w:r>
                    <w:rPr>
                      <w:rFonts w:ascii="Times New Roman" w:hAnsi="Times New Roman" w:eastAsia="宋体" w:cs="Times New Roman"/>
                      <w:b/>
                      <w:bCs/>
                      <w:szCs w:val="21"/>
                    </w:rPr>
                    <w:t>年</w:t>
                  </w:r>
                  <w:r>
                    <w:rPr>
                      <w:rFonts w:hint="eastAsia" w:ascii="Times New Roman" w:hAnsi="Times New Roman" w:eastAsia="宋体" w:cs="Times New Roman"/>
                      <w:b/>
                      <w:bCs/>
                      <w:szCs w:val="21"/>
                    </w:rPr>
                    <w:t>06</w:t>
                  </w:r>
                  <w:r>
                    <w:rPr>
                      <w:rFonts w:ascii="Times New Roman" w:hAnsi="Times New Roman" w:eastAsia="宋体" w:cs="Times New Roman"/>
                      <w:b/>
                      <w:bCs/>
                      <w:szCs w:val="21"/>
                    </w:rPr>
                    <w:t>月</w:t>
                  </w:r>
                  <w:r>
                    <w:rPr>
                      <w:rFonts w:hint="eastAsia" w:ascii="Times New Roman" w:hAnsi="Times New Roman" w:eastAsia="宋体" w:cs="Times New Roman"/>
                      <w:b/>
                      <w:bCs/>
                      <w:szCs w:val="21"/>
                    </w:rPr>
                    <w:t>04</w:t>
                  </w:r>
                  <w:r>
                    <w:rPr>
                      <w:rFonts w:ascii="Times New Roman" w:hAnsi="Times New Roman" w:eastAsia="宋体" w:cs="Times New Roman"/>
                      <w:b/>
                      <w:bCs/>
                      <w:szCs w:val="21"/>
                    </w:rPr>
                    <w:t>日</w:t>
                  </w:r>
                </w:p>
              </w:tc>
            </w:tr>
            <w:tr w14:paraId="5547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06" w:type="pct"/>
                  <w:gridSpan w:val="2"/>
                  <w:tcBorders>
                    <w:tl2br w:val="nil"/>
                    <w:tr2bl w:val="nil"/>
                  </w:tcBorders>
                  <w:vAlign w:val="center"/>
                </w:tcPr>
                <w:p w14:paraId="50061171">
                  <w:pPr>
                    <w:spacing w:line="320" w:lineRule="exact"/>
                    <w:jc w:val="center"/>
                    <w:rPr>
                      <w:rFonts w:ascii="Times New Roman" w:hAnsi="Times New Roman" w:eastAsia="宋体" w:cs="Times New Roman"/>
                      <w:b/>
                      <w:bCs/>
                      <w:szCs w:val="21"/>
                    </w:rPr>
                  </w:pPr>
                  <w:r>
                    <w:rPr>
                      <w:rFonts w:hint="eastAsia" w:ascii="Times New Roman" w:hAnsi="Times New Roman" w:eastAsia="宋体" w:cs="Times New Roman"/>
                      <w:b/>
                      <w:bCs/>
                      <w:szCs w:val="21"/>
                    </w:rPr>
                    <w:t>检</w:t>
                  </w:r>
                  <w:r>
                    <w:rPr>
                      <w:rFonts w:ascii="Times New Roman" w:hAnsi="Times New Roman" w:eastAsia="宋体" w:cs="Times New Roman"/>
                      <w:b/>
                      <w:bCs/>
                      <w:szCs w:val="21"/>
                    </w:rPr>
                    <w:t>测点位</w:t>
                  </w:r>
                </w:p>
              </w:tc>
              <w:tc>
                <w:tcPr>
                  <w:tcW w:w="1446" w:type="pct"/>
                  <w:tcBorders>
                    <w:tl2br w:val="nil"/>
                    <w:tr2bl w:val="nil"/>
                  </w:tcBorders>
                  <w:vAlign w:val="center"/>
                </w:tcPr>
                <w:p w14:paraId="13D8094D">
                  <w:pPr>
                    <w:spacing w:line="320" w:lineRule="exact"/>
                    <w:jc w:val="center"/>
                    <w:rPr>
                      <w:rFonts w:ascii="Times New Roman" w:hAnsi="Times New Roman" w:eastAsia="宋体" w:cs="Times New Roman"/>
                      <w:b/>
                      <w:bCs/>
                      <w:szCs w:val="21"/>
                    </w:rPr>
                  </w:pPr>
                  <w:r>
                    <w:rPr>
                      <w:rFonts w:hint="eastAsia" w:ascii="Times New Roman" w:hAnsi="Times New Roman" w:eastAsia="宋体" w:cs="Times New Roman"/>
                      <w:b/>
                      <w:bCs/>
                      <w:szCs w:val="21"/>
                    </w:rPr>
                    <w:t xml:space="preserve">1# </w:t>
                  </w:r>
                  <w:r>
                    <w:rPr>
                      <w:rFonts w:ascii="Times New Roman" w:hAnsi="Times New Roman" w:eastAsia="宋体" w:cs="Times New Roman"/>
                      <w:b/>
                      <w:bCs/>
                      <w:szCs w:val="21"/>
                    </w:rPr>
                    <w:t>厂区下游</w:t>
                  </w:r>
                </w:p>
              </w:tc>
              <w:tc>
                <w:tcPr>
                  <w:tcW w:w="1647" w:type="pct"/>
                  <w:tcBorders>
                    <w:tl2br w:val="nil"/>
                    <w:tr2bl w:val="nil"/>
                  </w:tcBorders>
                  <w:vAlign w:val="center"/>
                </w:tcPr>
                <w:p w14:paraId="61E97C01">
                  <w:pPr>
                    <w:spacing w:line="320" w:lineRule="exact"/>
                    <w:jc w:val="center"/>
                    <w:rPr>
                      <w:rFonts w:ascii="Times New Roman" w:hAnsi="Times New Roman" w:eastAsia="宋体" w:cs="Times New Roman"/>
                      <w:b/>
                      <w:bCs/>
                      <w:szCs w:val="21"/>
                    </w:rPr>
                  </w:pPr>
                  <w:r>
                    <w:rPr>
                      <w:rFonts w:hint="eastAsia" w:ascii="Times New Roman" w:hAnsi="Times New Roman" w:eastAsia="宋体" w:cs="Times New Roman"/>
                      <w:b/>
                      <w:bCs/>
                      <w:szCs w:val="21"/>
                    </w:rPr>
                    <w:t xml:space="preserve">2# </w:t>
                  </w:r>
                  <w:r>
                    <w:rPr>
                      <w:rFonts w:ascii="Times New Roman" w:hAnsi="Times New Roman" w:eastAsia="宋体" w:cs="Times New Roman"/>
                      <w:b/>
                      <w:bCs/>
                      <w:szCs w:val="21"/>
                    </w:rPr>
                    <w:t>厂区下风向</w:t>
                  </w:r>
                  <w:r>
                    <w:rPr>
                      <w:rFonts w:hint="eastAsia" w:ascii="Times New Roman" w:hAnsi="Times New Roman" w:eastAsia="宋体" w:cs="Times New Roman"/>
                      <w:b/>
                      <w:bCs/>
                      <w:szCs w:val="21"/>
                    </w:rPr>
                    <w:t>开垦荒地</w:t>
                  </w:r>
                </w:p>
              </w:tc>
            </w:tr>
            <w:tr w14:paraId="0925B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06" w:type="pct"/>
                  <w:gridSpan w:val="2"/>
                  <w:tcBorders>
                    <w:tl2br w:val="nil"/>
                    <w:tr2bl w:val="nil"/>
                  </w:tcBorders>
                  <w:vAlign w:val="center"/>
                </w:tcPr>
                <w:p w14:paraId="22A04D92">
                  <w:pPr>
                    <w:spacing w:line="320" w:lineRule="exact"/>
                    <w:jc w:val="center"/>
                    <w:rPr>
                      <w:rFonts w:ascii="Times New Roman" w:hAnsi="Times New Roman" w:eastAsia="宋体" w:cs="Times New Roman"/>
                      <w:b/>
                      <w:bCs/>
                      <w:szCs w:val="21"/>
                    </w:rPr>
                  </w:pPr>
                  <w:r>
                    <w:rPr>
                      <w:rFonts w:ascii="Times New Roman" w:hAnsi="Times New Roman" w:eastAsia="宋体" w:cs="Times New Roman"/>
                      <w:b/>
                      <w:bCs/>
                      <w:szCs w:val="21"/>
                      <w:lang w:val="zh-CN"/>
                    </w:rPr>
                    <w:t>层次</w:t>
                  </w:r>
                </w:p>
              </w:tc>
              <w:tc>
                <w:tcPr>
                  <w:tcW w:w="1446" w:type="pct"/>
                  <w:tcBorders>
                    <w:tl2br w:val="nil"/>
                    <w:tr2bl w:val="nil"/>
                  </w:tcBorders>
                  <w:vAlign w:val="center"/>
                </w:tcPr>
                <w:p w14:paraId="7ACCAE68">
                  <w:pPr>
                    <w:spacing w:line="320" w:lineRule="exact"/>
                    <w:jc w:val="center"/>
                    <w:rPr>
                      <w:rFonts w:ascii="Times New Roman" w:hAnsi="Times New Roman" w:eastAsia="宋体" w:cs="Times New Roman"/>
                      <w:b/>
                      <w:bCs/>
                      <w:szCs w:val="21"/>
                    </w:rPr>
                  </w:pPr>
                  <w:r>
                    <w:rPr>
                      <w:rFonts w:ascii="Times New Roman" w:hAnsi="Times New Roman" w:eastAsia="宋体" w:cs="Times New Roman"/>
                      <w:b/>
                      <w:bCs/>
                      <w:szCs w:val="21"/>
                    </w:rPr>
                    <w:t>表层</w:t>
                  </w:r>
                </w:p>
              </w:tc>
              <w:tc>
                <w:tcPr>
                  <w:tcW w:w="1647" w:type="pct"/>
                  <w:tcBorders>
                    <w:tl2br w:val="nil"/>
                    <w:tr2bl w:val="nil"/>
                  </w:tcBorders>
                  <w:vAlign w:val="center"/>
                </w:tcPr>
                <w:p w14:paraId="194BB9DB">
                  <w:pPr>
                    <w:spacing w:line="320" w:lineRule="exact"/>
                    <w:jc w:val="center"/>
                    <w:rPr>
                      <w:rFonts w:ascii="Times New Roman" w:hAnsi="Times New Roman" w:eastAsia="宋体" w:cs="Times New Roman"/>
                      <w:b/>
                      <w:bCs/>
                      <w:szCs w:val="21"/>
                    </w:rPr>
                  </w:pPr>
                  <w:r>
                    <w:rPr>
                      <w:rFonts w:ascii="Times New Roman" w:hAnsi="Times New Roman" w:eastAsia="宋体" w:cs="Times New Roman"/>
                      <w:b/>
                      <w:bCs/>
                      <w:szCs w:val="21"/>
                    </w:rPr>
                    <w:t>表层</w:t>
                  </w:r>
                </w:p>
              </w:tc>
            </w:tr>
            <w:tr w14:paraId="29927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06" w:type="pct"/>
                  <w:gridSpan w:val="2"/>
                  <w:tcBorders>
                    <w:tl2br w:val="nil"/>
                    <w:tr2bl w:val="nil"/>
                  </w:tcBorders>
                  <w:vAlign w:val="center"/>
                </w:tcPr>
                <w:p w14:paraId="06678811">
                  <w:pPr>
                    <w:spacing w:line="320" w:lineRule="exact"/>
                    <w:jc w:val="center"/>
                    <w:rPr>
                      <w:rFonts w:ascii="Times New Roman" w:hAnsi="Times New Roman" w:eastAsia="宋体" w:cs="Times New Roman"/>
                      <w:szCs w:val="21"/>
                      <w:lang w:val="zh-CN"/>
                    </w:rPr>
                  </w:pPr>
                  <w:r>
                    <w:rPr>
                      <w:rFonts w:ascii="Times New Roman" w:hAnsi="Times New Roman" w:eastAsia="宋体" w:cs="Times New Roman"/>
                      <w:szCs w:val="21"/>
                      <w:lang w:val="zh-CN"/>
                    </w:rPr>
                    <w:t>经纬度</w:t>
                  </w:r>
                </w:p>
              </w:tc>
              <w:tc>
                <w:tcPr>
                  <w:tcW w:w="1446" w:type="pct"/>
                  <w:tcBorders>
                    <w:tl2br w:val="nil"/>
                    <w:tr2bl w:val="nil"/>
                  </w:tcBorders>
                  <w:vAlign w:val="center"/>
                </w:tcPr>
                <w:p w14:paraId="4CDBB058">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E:</w:t>
                  </w:r>
                  <w:r>
                    <w:rPr>
                      <w:rFonts w:hint="eastAsia" w:ascii="Times New Roman" w:hAnsi="Times New Roman" w:eastAsia="宋体" w:cs="Times New Roman"/>
                      <w:szCs w:val="21"/>
                    </w:rPr>
                    <w:t>100.313438</w:t>
                  </w:r>
                  <w:r>
                    <w:rPr>
                      <w:rFonts w:ascii="Times New Roman" w:hAnsi="Times New Roman" w:eastAsia="宋体" w:cs="Times New Roman"/>
                      <w:szCs w:val="21"/>
                    </w:rPr>
                    <w:t>°</w:t>
                  </w:r>
                  <w:r>
                    <w:rPr>
                      <w:rFonts w:hint="eastAsia" w:ascii="Times New Roman" w:hAnsi="Times New Roman" w:eastAsia="宋体" w:cs="Times New Roman"/>
                      <w:szCs w:val="21"/>
                    </w:rPr>
                    <w:t>，</w:t>
                  </w:r>
                  <w:r>
                    <w:rPr>
                      <w:rFonts w:ascii="Times New Roman" w:hAnsi="Times New Roman" w:eastAsia="宋体" w:cs="Times New Roman"/>
                      <w:szCs w:val="21"/>
                    </w:rPr>
                    <w:t>N:</w:t>
                  </w:r>
                  <w:r>
                    <w:rPr>
                      <w:rFonts w:hint="eastAsia" w:ascii="Times New Roman" w:hAnsi="Times New Roman" w:eastAsia="宋体" w:cs="Times New Roman"/>
                      <w:szCs w:val="21"/>
                    </w:rPr>
                    <w:t>39.274091</w:t>
                  </w:r>
                  <w:r>
                    <w:rPr>
                      <w:rFonts w:ascii="Times New Roman" w:hAnsi="Times New Roman" w:eastAsia="宋体" w:cs="Times New Roman"/>
                      <w:szCs w:val="21"/>
                    </w:rPr>
                    <w:t>°</w:t>
                  </w:r>
                </w:p>
              </w:tc>
              <w:tc>
                <w:tcPr>
                  <w:tcW w:w="1647" w:type="pct"/>
                  <w:tcBorders>
                    <w:tl2br w:val="nil"/>
                    <w:tr2bl w:val="nil"/>
                  </w:tcBorders>
                  <w:vAlign w:val="center"/>
                </w:tcPr>
                <w:p w14:paraId="2308F457">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E:</w:t>
                  </w:r>
                  <w:r>
                    <w:rPr>
                      <w:rFonts w:hint="eastAsia" w:ascii="Times New Roman" w:hAnsi="Times New Roman" w:eastAsia="宋体" w:cs="Times New Roman"/>
                      <w:szCs w:val="21"/>
                    </w:rPr>
                    <w:t>100.312475</w:t>
                  </w:r>
                  <w:r>
                    <w:rPr>
                      <w:rFonts w:ascii="Times New Roman" w:hAnsi="Times New Roman" w:eastAsia="宋体" w:cs="Times New Roman"/>
                      <w:szCs w:val="21"/>
                    </w:rPr>
                    <w:t>，N:</w:t>
                  </w:r>
                  <w:r>
                    <w:rPr>
                      <w:rFonts w:hint="eastAsia" w:ascii="Times New Roman" w:hAnsi="Times New Roman" w:eastAsia="宋体" w:cs="Times New Roman"/>
                      <w:szCs w:val="21"/>
                    </w:rPr>
                    <w:t>39.273705</w:t>
                  </w:r>
                  <w:r>
                    <w:rPr>
                      <w:rFonts w:ascii="Times New Roman" w:hAnsi="Times New Roman" w:eastAsia="宋体" w:cs="Times New Roman"/>
                      <w:szCs w:val="21"/>
                    </w:rPr>
                    <w:t>°</w:t>
                  </w:r>
                </w:p>
              </w:tc>
            </w:tr>
            <w:tr w14:paraId="291D4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3" w:type="pct"/>
                  <w:vMerge w:val="restart"/>
                  <w:tcBorders>
                    <w:tl2br w:val="nil"/>
                    <w:tr2bl w:val="nil"/>
                  </w:tcBorders>
                  <w:vAlign w:val="center"/>
                </w:tcPr>
                <w:p w14:paraId="72AB5161">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现场</w:t>
                  </w:r>
                </w:p>
                <w:p w14:paraId="315DF5D8">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记录</w:t>
                  </w:r>
                </w:p>
              </w:tc>
              <w:tc>
                <w:tcPr>
                  <w:tcW w:w="1402" w:type="pct"/>
                  <w:tcBorders>
                    <w:tl2br w:val="nil"/>
                    <w:tr2bl w:val="nil"/>
                  </w:tcBorders>
                  <w:vAlign w:val="center"/>
                </w:tcPr>
                <w:p w14:paraId="7CAD1FD4">
                  <w:pPr>
                    <w:spacing w:line="320" w:lineRule="exact"/>
                    <w:jc w:val="center"/>
                    <w:rPr>
                      <w:rFonts w:ascii="Times New Roman" w:hAnsi="Times New Roman" w:eastAsia="宋体" w:cs="Times New Roman"/>
                      <w:szCs w:val="21"/>
                    </w:rPr>
                  </w:pPr>
                  <w:r>
                    <w:rPr>
                      <w:rFonts w:ascii="Times New Roman" w:hAnsi="Times New Roman" w:eastAsia="宋体" w:cs="Times New Roman"/>
                      <w:szCs w:val="21"/>
                      <w:lang w:val="zh-CN"/>
                    </w:rPr>
                    <w:t>颜色</w:t>
                  </w:r>
                </w:p>
              </w:tc>
              <w:tc>
                <w:tcPr>
                  <w:tcW w:w="1446" w:type="pct"/>
                  <w:tcBorders>
                    <w:tl2br w:val="nil"/>
                    <w:tr2bl w:val="nil"/>
                  </w:tcBorders>
                  <w:vAlign w:val="center"/>
                </w:tcPr>
                <w:p w14:paraId="18AB0958">
                  <w:pPr>
                    <w:spacing w:line="320" w:lineRule="exact"/>
                    <w:jc w:val="center"/>
                    <w:rPr>
                      <w:rFonts w:ascii="Times New Roman" w:hAnsi="Times New Roman" w:eastAsia="宋体" w:cs="Times New Roman"/>
                      <w:szCs w:val="21"/>
                      <w:lang w:val="zh-CN"/>
                    </w:rPr>
                  </w:pPr>
                  <w:r>
                    <w:rPr>
                      <w:rFonts w:ascii="Times New Roman" w:hAnsi="Times New Roman" w:eastAsia="宋体" w:cs="Times New Roman"/>
                      <w:szCs w:val="21"/>
                    </w:rPr>
                    <w:t>黄棕</w:t>
                  </w:r>
                  <w:r>
                    <w:rPr>
                      <w:rFonts w:hint="eastAsia" w:ascii="Times New Roman" w:hAnsi="Times New Roman" w:eastAsia="宋体" w:cs="Times New Roman"/>
                      <w:szCs w:val="21"/>
                    </w:rPr>
                    <w:t>色</w:t>
                  </w:r>
                </w:p>
              </w:tc>
              <w:tc>
                <w:tcPr>
                  <w:tcW w:w="1647" w:type="pct"/>
                  <w:tcBorders>
                    <w:tl2br w:val="nil"/>
                    <w:tr2bl w:val="nil"/>
                  </w:tcBorders>
                  <w:vAlign w:val="center"/>
                </w:tcPr>
                <w:p w14:paraId="74923C39">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黄棕</w:t>
                  </w:r>
                  <w:r>
                    <w:rPr>
                      <w:rFonts w:hint="eastAsia" w:ascii="Times New Roman" w:hAnsi="Times New Roman" w:eastAsia="宋体" w:cs="Times New Roman"/>
                      <w:szCs w:val="21"/>
                    </w:rPr>
                    <w:t>色</w:t>
                  </w:r>
                </w:p>
              </w:tc>
            </w:tr>
            <w:tr w14:paraId="24D77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3" w:type="pct"/>
                  <w:vMerge w:val="continue"/>
                  <w:tcBorders>
                    <w:tl2br w:val="nil"/>
                    <w:tr2bl w:val="nil"/>
                  </w:tcBorders>
                  <w:vAlign w:val="center"/>
                </w:tcPr>
                <w:p w14:paraId="641DABAA">
                  <w:pPr>
                    <w:spacing w:line="320" w:lineRule="exact"/>
                    <w:jc w:val="center"/>
                    <w:rPr>
                      <w:rFonts w:ascii="Times New Roman" w:hAnsi="Times New Roman" w:eastAsia="宋体" w:cs="Times New Roman"/>
                      <w:szCs w:val="21"/>
                    </w:rPr>
                  </w:pPr>
                </w:p>
              </w:tc>
              <w:tc>
                <w:tcPr>
                  <w:tcW w:w="1402" w:type="pct"/>
                  <w:tcBorders>
                    <w:tl2br w:val="nil"/>
                    <w:tr2bl w:val="nil"/>
                  </w:tcBorders>
                  <w:vAlign w:val="center"/>
                </w:tcPr>
                <w:p w14:paraId="614F8B19">
                  <w:pPr>
                    <w:spacing w:line="320" w:lineRule="exact"/>
                    <w:jc w:val="center"/>
                    <w:rPr>
                      <w:rFonts w:ascii="Times New Roman" w:hAnsi="Times New Roman" w:eastAsia="宋体" w:cs="Times New Roman"/>
                      <w:szCs w:val="21"/>
                    </w:rPr>
                  </w:pPr>
                  <w:r>
                    <w:rPr>
                      <w:rFonts w:ascii="Times New Roman" w:hAnsi="Times New Roman" w:eastAsia="宋体" w:cs="Times New Roman"/>
                      <w:szCs w:val="21"/>
                      <w:lang w:val="zh-CN"/>
                    </w:rPr>
                    <w:t>结构</w:t>
                  </w:r>
                </w:p>
              </w:tc>
              <w:tc>
                <w:tcPr>
                  <w:tcW w:w="1446" w:type="pct"/>
                  <w:tcBorders>
                    <w:tl2br w:val="nil"/>
                    <w:tr2bl w:val="nil"/>
                  </w:tcBorders>
                  <w:vAlign w:val="center"/>
                </w:tcPr>
                <w:p w14:paraId="43981EF7">
                  <w:pPr>
                    <w:spacing w:line="320" w:lineRule="exact"/>
                    <w:jc w:val="center"/>
                    <w:rPr>
                      <w:rFonts w:ascii="Times New Roman" w:hAnsi="Times New Roman" w:eastAsia="宋体" w:cs="Times New Roman"/>
                      <w:szCs w:val="21"/>
                      <w:lang w:val="zh-CN"/>
                    </w:rPr>
                  </w:pPr>
                  <w:r>
                    <w:rPr>
                      <w:rFonts w:ascii="Times New Roman" w:hAnsi="Times New Roman" w:eastAsia="宋体" w:cs="Times New Roman"/>
                      <w:szCs w:val="21"/>
                      <w:lang w:val="zh-CN"/>
                    </w:rPr>
                    <w:t>粒状</w:t>
                  </w:r>
                </w:p>
              </w:tc>
              <w:tc>
                <w:tcPr>
                  <w:tcW w:w="1647" w:type="pct"/>
                  <w:tcBorders>
                    <w:tl2br w:val="nil"/>
                    <w:tr2bl w:val="nil"/>
                  </w:tcBorders>
                  <w:vAlign w:val="center"/>
                </w:tcPr>
                <w:p w14:paraId="3DE8BE40">
                  <w:pPr>
                    <w:spacing w:line="320" w:lineRule="exact"/>
                    <w:jc w:val="center"/>
                    <w:rPr>
                      <w:rFonts w:ascii="Times New Roman" w:hAnsi="Times New Roman" w:eastAsia="宋体" w:cs="Times New Roman"/>
                      <w:szCs w:val="21"/>
                      <w:lang w:val="zh-CN"/>
                    </w:rPr>
                  </w:pPr>
                  <w:r>
                    <w:rPr>
                      <w:rFonts w:ascii="Times New Roman" w:hAnsi="Times New Roman" w:eastAsia="宋体" w:cs="Times New Roman"/>
                      <w:szCs w:val="21"/>
                      <w:lang w:val="zh-CN"/>
                    </w:rPr>
                    <w:t>粒状</w:t>
                  </w:r>
                </w:p>
              </w:tc>
            </w:tr>
            <w:tr w14:paraId="14D3E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3" w:type="pct"/>
                  <w:vMerge w:val="continue"/>
                  <w:tcBorders>
                    <w:tl2br w:val="nil"/>
                    <w:tr2bl w:val="nil"/>
                  </w:tcBorders>
                  <w:vAlign w:val="center"/>
                </w:tcPr>
                <w:p w14:paraId="785F8644">
                  <w:pPr>
                    <w:spacing w:line="320" w:lineRule="exact"/>
                    <w:jc w:val="center"/>
                    <w:rPr>
                      <w:rFonts w:ascii="Times New Roman" w:hAnsi="Times New Roman" w:eastAsia="宋体" w:cs="Times New Roman"/>
                      <w:szCs w:val="21"/>
                    </w:rPr>
                  </w:pPr>
                </w:p>
              </w:tc>
              <w:tc>
                <w:tcPr>
                  <w:tcW w:w="1402" w:type="pct"/>
                  <w:tcBorders>
                    <w:tl2br w:val="nil"/>
                    <w:tr2bl w:val="nil"/>
                  </w:tcBorders>
                  <w:vAlign w:val="center"/>
                </w:tcPr>
                <w:p w14:paraId="03AEDF0F">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质地</w:t>
                  </w:r>
                </w:p>
              </w:tc>
              <w:tc>
                <w:tcPr>
                  <w:tcW w:w="1446" w:type="pct"/>
                  <w:tcBorders>
                    <w:tl2br w:val="nil"/>
                    <w:tr2bl w:val="nil"/>
                  </w:tcBorders>
                  <w:vAlign w:val="center"/>
                </w:tcPr>
                <w:p w14:paraId="66AFFBC4">
                  <w:pPr>
                    <w:spacing w:line="320" w:lineRule="exact"/>
                    <w:jc w:val="center"/>
                    <w:rPr>
                      <w:rFonts w:ascii="Times New Roman" w:hAnsi="Times New Roman" w:eastAsia="宋体" w:cs="Times New Roman"/>
                      <w:szCs w:val="21"/>
                      <w:lang w:val="zh-CN"/>
                    </w:rPr>
                  </w:pPr>
                  <w:r>
                    <w:rPr>
                      <w:rFonts w:hint="eastAsia" w:ascii="Times New Roman" w:hAnsi="Times New Roman" w:eastAsia="宋体" w:cs="Times New Roman"/>
                      <w:szCs w:val="21"/>
                    </w:rPr>
                    <w:t>沙土</w:t>
                  </w:r>
                </w:p>
              </w:tc>
              <w:tc>
                <w:tcPr>
                  <w:tcW w:w="1647" w:type="pct"/>
                  <w:tcBorders>
                    <w:tl2br w:val="nil"/>
                    <w:tr2bl w:val="nil"/>
                  </w:tcBorders>
                  <w:vAlign w:val="center"/>
                </w:tcPr>
                <w:p w14:paraId="085A8CB0">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沙土</w:t>
                  </w:r>
                </w:p>
              </w:tc>
            </w:tr>
            <w:tr w14:paraId="5D8A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3" w:type="pct"/>
                  <w:vMerge w:val="continue"/>
                  <w:tcBorders>
                    <w:tl2br w:val="nil"/>
                    <w:tr2bl w:val="nil"/>
                  </w:tcBorders>
                  <w:vAlign w:val="center"/>
                </w:tcPr>
                <w:p w14:paraId="1F55A10C">
                  <w:pPr>
                    <w:spacing w:line="320" w:lineRule="exact"/>
                    <w:jc w:val="center"/>
                    <w:rPr>
                      <w:rFonts w:ascii="Times New Roman" w:hAnsi="Times New Roman" w:eastAsia="宋体" w:cs="Times New Roman"/>
                      <w:szCs w:val="21"/>
                    </w:rPr>
                  </w:pPr>
                </w:p>
              </w:tc>
              <w:tc>
                <w:tcPr>
                  <w:tcW w:w="1402" w:type="pct"/>
                  <w:tcBorders>
                    <w:tl2br w:val="nil"/>
                    <w:tr2bl w:val="nil"/>
                  </w:tcBorders>
                  <w:vAlign w:val="center"/>
                </w:tcPr>
                <w:p w14:paraId="33100EF8">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其它异物</w:t>
                  </w:r>
                </w:p>
              </w:tc>
              <w:tc>
                <w:tcPr>
                  <w:tcW w:w="1446" w:type="pct"/>
                  <w:tcBorders>
                    <w:tl2br w:val="nil"/>
                    <w:tr2bl w:val="nil"/>
                  </w:tcBorders>
                  <w:vAlign w:val="center"/>
                </w:tcPr>
                <w:p w14:paraId="0A1B101F">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无根系</w:t>
                  </w:r>
                </w:p>
              </w:tc>
              <w:tc>
                <w:tcPr>
                  <w:tcW w:w="1647" w:type="pct"/>
                  <w:tcBorders>
                    <w:tl2br w:val="nil"/>
                    <w:tr2bl w:val="nil"/>
                  </w:tcBorders>
                  <w:vAlign w:val="center"/>
                </w:tcPr>
                <w:p w14:paraId="4B462870">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无根系</w:t>
                  </w:r>
                </w:p>
              </w:tc>
            </w:tr>
            <w:tr w14:paraId="60A49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3" w:type="pct"/>
                  <w:vMerge w:val="restart"/>
                  <w:tcBorders>
                    <w:tl2br w:val="nil"/>
                    <w:tr2bl w:val="nil"/>
                  </w:tcBorders>
                  <w:vAlign w:val="center"/>
                </w:tcPr>
                <w:p w14:paraId="18E76AB5">
                  <w:pPr>
                    <w:spacing w:line="320" w:lineRule="exact"/>
                    <w:jc w:val="center"/>
                    <w:rPr>
                      <w:rFonts w:ascii="Times New Roman" w:hAnsi="Times New Roman" w:eastAsia="宋体" w:cs="Times New Roman"/>
                      <w:szCs w:val="21"/>
                    </w:rPr>
                  </w:pPr>
                  <w:r>
                    <w:rPr>
                      <w:rFonts w:ascii="Times New Roman" w:hAnsi="Times New Roman" w:eastAsia="宋体" w:cs="Times New Roman"/>
                      <w:szCs w:val="21"/>
                      <w:lang w:val="zh-CN"/>
                    </w:rPr>
                    <w:t>实验室测定</w:t>
                  </w:r>
                </w:p>
              </w:tc>
              <w:tc>
                <w:tcPr>
                  <w:tcW w:w="1402" w:type="pct"/>
                  <w:tcBorders>
                    <w:tl2br w:val="nil"/>
                    <w:tr2bl w:val="nil"/>
                  </w:tcBorders>
                  <w:vAlign w:val="center"/>
                </w:tcPr>
                <w:p w14:paraId="00F56E7C">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pH值</w:t>
                  </w:r>
                </w:p>
              </w:tc>
              <w:tc>
                <w:tcPr>
                  <w:tcW w:w="1446" w:type="pct"/>
                  <w:tcBorders>
                    <w:tl2br w:val="nil"/>
                    <w:tr2bl w:val="nil"/>
                  </w:tcBorders>
                  <w:vAlign w:val="center"/>
                </w:tcPr>
                <w:p w14:paraId="629C3E85">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8.2</w:t>
                  </w:r>
                </w:p>
              </w:tc>
              <w:tc>
                <w:tcPr>
                  <w:tcW w:w="1647" w:type="pct"/>
                  <w:tcBorders>
                    <w:tl2br w:val="nil"/>
                    <w:tr2bl w:val="nil"/>
                  </w:tcBorders>
                  <w:vAlign w:val="center"/>
                </w:tcPr>
                <w:p w14:paraId="1F176C5B">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7.9</w:t>
                  </w:r>
                </w:p>
              </w:tc>
            </w:tr>
            <w:tr w14:paraId="262A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3" w:type="pct"/>
                  <w:vMerge w:val="continue"/>
                  <w:tcBorders>
                    <w:tl2br w:val="nil"/>
                    <w:tr2bl w:val="nil"/>
                  </w:tcBorders>
                  <w:vAlign w:val="center"/>
                </w:tcPr>
                <w:p w14:paraId="263CF06F">
                  <w:pPr>
                    <w:spacing w:line="320" w:lineRule="exact"/>
                    <w:jc w:val="center"/>
                    <w:rPr>
                      <w:rFonts w:ascii="Times New Roman" w:hAnsi="Times New Roman" w:eastAsia="宋体" w:cs="Times New Roman"/>
                      <w:szCs w:val="21"/>
                    </w:rPr>
                  </w:pPr>
                </w:p>
              </w:tc>
              <w:tc>
                <w:tcPr>
                  <w:tcW w:w="1402" w:type="pct"/>
                  <w:tcBorders>
                    <w:tl2br w:val="nil"/>
                    <w:tr2bl w:val="nil"/>
                  </w:tcBorders>
                  <w:vAlign w:val="center"/>
                </w:tcPr>
                <w:p w14:paraId="0AE08D5F">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阳离子交换量（cmol/kg）</w:t>
                  </w:r>
                </w:p>
              </w:tc>
              <w:tc>
                <w:tcPr>
                  <w:tcW w:w="1446" w:type="pct"/>
                  <w:tcBorders>
                    <w:tl2br w:val="nil"/>
                    <w:tr2bl w:val="nil"/>
                  </w:tcBorders>
                  <w:vAlign w:val="center"/>
                </w:tcPr>
                <w:p w14:paraId="639C2E15">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4.85</w:t>
                  </w:r>
                </w:p>
              </w:tc>
              <w:tc>
                <w:tcPr>
                  <w:tcW w:w="1647" w:type="pct"/>
                  <w:tcBorders>
                    <w:tl2br w:val="nil"/>
                    <w:tr2bl w:val="nil"/>
                  </w:tcBorders>
                  <w:vAlign w:val="center"/>
                </w:tcPr>
                <w:p w14:paraId="79A0BAC9">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5.15</w:t>
                  </w:r>
                </w:p>
              </w:tc>
            </w:tr>
            <w:tr w14:paraId="30B0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3" w:type="pct"/>
                  <w:vMerge w:val="continue"/>
                  <w:tcBorders>
                    <w:tl2br w:val="nil"/>
                    <w:tr2bl w:val="nil"/>
                  </w:tcBorders>
                  <w:vAlign w:val="center"/>
                </w:tcPr>
                <w:p w14:paraId="4D0BFE67">
                  <w:pPr>
                    <w:spacing w:line="320" w:lineRule="exact"/>
                    <w:jc w:val="center"/>
                    <w:rPr>
                      <w:rFonts w:ascii="Times New Roman" w:hAnsi="Times New Roman" w:eastAsia="宋体" w:cs="Times New Roman"/>
                      <w:szCs w:val="21"/>
                    </w:rPr>
                  </w:pPr>
                </w:p>
              </w:tc>
              <w:tc>
                <w:tcPr>
                  <w:tcW w:w="1402" w:type="pct"/>
                  <w:tcBorders>
                    <w:tl2br w:val="nil"/>
                    <w:tr2bl w:val="nil"/>
                  </w:tcBorders>
                  <w:vAlign w:val="center"/>
                </w:tcPr>
                <w:p w14:paraId="602BA536">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氧化还原电位（mV）</w:t>
                  </w:r>
                </w:p>
              </w:tc>
              <w:tc>
                <w:tcPr>
                  <w:tcW w:w="1446" w:type="pct"/>
                  <w:tcBorders>
                    <w:tl2br w:val="nil"/>
                    <w:tr2bl w:val="nil"/>
                  </w:tcBorders>
                  <w:vAlign w:val="center"/>
                </w:tcPr>
                <w:p w14:paraId="056DE2C3">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443</w:t>
                  </w:r>
                </w:p>
              </w:tc>
              <w:tc>
                <w:tcPr>
                  <w:tcW w:w="1647" w:type="pct"/>
                  <w:tcBorders>
                    <w:tl2br w:val="nil"/>
                    <w:tr2bl w:val="nil"/>
                  </w:tcBorders>
                  <w:vAlign w:val="center"/>
                </w:tcPr>
                <w:p w14:paraId="63A0F3A8">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480</w:t>
                  </w:r>
                </w:p>
              </w:tc>
            </w:tr>
            <w:tr w14:paraId="46DAF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3" w:type="pct"/>
                  <w:vMerge w:val="continue"/>
                  <w:tcBorders>
                    <w:tl2br w:val="nil"/>
                    <w:tr2bl w:val="nil"/>
                  </w:tcBorders>
                  <w:vAlign w:val="center"/>
                </w:tcPr>
                <w:p w14:paraId="79DE50B1">
                  <w:pPr>
                    <w:spacing w:line="320" w:lineRule="exact"/>
                    <w:jc w:val="center"/>
                    <w:rPr>
                      <w:rFonts w:ascii="Times New Roman" w:hAnsi="Times New Roman" w:eastAsia="宋体" w:cs="Times New Roman"/>
                      <w:szCs w:val="21"/>
                    </w:rPr>
                  </w:pPr>
                </w:p>
              </w:tc>
              <w:tc>
                <w:tcPr>
                  <w:tcW w:w="1402" w:type="pct"/>
                  <w:tcBorders>
                    <w:tl2br w:val="nil"/>
                    <w:tr2bl w:val="nil"/>
                  </w:tcBorders>
                  <w:vAlign w:val="center"/>
                </w:tcPr>
                <w:p w14:paraId="60CAA0B1">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 xml:space="preserve">饱和导水率（mm/min） </w:t>
                  </w:r>
                </w:p>
              </w:tc>
              <w:tc>
                <w:tcPr>
                  <w:tcW w:w="1446" w:type="pct"/>
                  <w:tcBorders>
                    <w:tl2br w:val="nil"/>
                    <w:tr2bl w:val="nil"/>
                  </w:tcBorders>
                  <w:vAlign w:val="center"/>
                </w:tcPr>
                <w:p w14:paraId="58839305">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1.81</w:t>
                  </w:r>
                </w:p>
              </w:tc>
              <w:tc>
                <w:tcPr>
                  <w:tcW w:w="1647" w:type="pct"/>
                  <w:tcBorders>
                    <w:tl2br w:val="nil"/>
                    <w:tr2bl w:val="nil"/>
                  </w:tcBorders>
                  <w:vAlign w:val="center"/>
                </w:tcPr>
                <w:p w14:paraId="4AAC1629">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2.02</w:t>
                  </w:r>
                </w:p>
              </w:tc>
            </w:tr>
            <w:tr w14:paraId="6AB30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3" w:type="pct"/>
                  <w:vMerge w:val="continue"/>
                  <w:tcBorders>
                    <w:tl2br w:val="nil"/>
                    <w:tr2bl w:val="nil"/>
                  </w:tcBorders>
                  <w:vAlign w:val="center"/>
                </w:tcPr>
                <w:p w14:paraId="59A5CF66">
                  <w:pPr>
                    <w:spacing w:line="320" w:lineRule="exact"/>
                    <w:jc w:val="center"/>
                    <w:rPr>
                      <w:rFonts w:ascii="Times New Roman" w:hAnsi="Times New Roman" w:eastAsia="宋体" w:cs="Times New Roman"/>
                      <w:szCs w:val="21"/>
                    </w:rPr>
                  </w:pPr>
                </w:p>
              </w:tc>
              <w:tc>
                <w:tcPr>
                  <w:tcW w:w="1402" w:type="pct"/>
                  <w:tcBorders>
                    <w:tl2br w:val="nil"/>
                    <w:tr2bl w:val="nil"/>
                  </w:tcBorders>
                  <w:vAlign w:val="center"/>
                </w:tcPr>
                <w:p w14:paraId="49126913">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土壤容重（g/cm</w:t>
                  </w:r>
                  <w:r>
                    <w:rPr>
                      <w:rFonts w:ascii="Times New Roman" w:hAnsi="Times New Roman" w:eastAsia="宋体" w:cs="Times New Roman"/>
                      <w:szCs w:val="21"/>
                      <w:vertAlign w:val="superscript"/>
                    </w:rPr>
                    <w:t>3</w:t>
                  </w:r>
                  <w:r>
                    <w:rPr>
                      <w:rFonts w:ascii="Times New Roman" w:hAnsi="Times New Roman" w:eastAsia="宋体" w:cs="Times New Roman"/>
                      <w:szCs w:val="21"/>
                    </w:rPr>
                    <w:t>）</w:t>
                  </w:r>
                </w:p>
              </w:tc>
              <w:tc>
                <w:tcPr>
                  <w:tcW w:w="1446" w:type="pct"/>
                  <w:tcBorders>
                    <w:tl2br w:val="nil"/>
                    <w:tr2bl w:val="nil"/>
                  </w:tcBorders>
                  <w:vAlign w:val="center"/>
                </w:tcPr>
                <w:p w14:paraId="6255E2C1">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1.34</w:t>
                  </w:r>
                </w:p>
              </w:tc>
              <w:tc>
                <w:tcPr>
                  <w:tcW w:w="1647" w:type="pct"/>
                  <w:tcBorders>
                    <w:tl2br w:val="nil"/>
                    <w:tr2bl w:val="nil"/>
                  </w:tcBorders>
                  <w:vAlign w:val="center"/>
                </w:tcPr>
                <w:p w14:paraId="13E8F2B0">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1.47</w:t>
                  </w:r>
                </w:p>
              </w:tc>
            </w:tr>
            <w:tr w14:paraId="2C1B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3" w:type="pct"/>
                  <w:vMerge w:val="continue"/>
                  <w:tcBorders>
                    <w:tl2br w:val="nil"/>
                    <w:tr2bl w:val="nil"/>
                  </w:tcBorders>
                  <w:vAlign w:val="center"/>
                </w:tcPr>
                <w:p w14:paraId="70D2F01D">
                  <w:pPr>
                    <w:spacing w:line="320" w:lineRule="exact"/>
                    <w:jc w:val="center"/>
                    <w:rPr>
                      <w:rFonts w:ascii="Times New Roman" w:hAnsi="Times New Roman" w:eastAsia="宋体" w:cs="Times New Roman"/>
                      <w:szCs w:val="21"/>
                    </w:rPr>
                  </w:pPr>
                </w:p>
              </w:tc>
              <w:tc>
                <w:tcPr>
                  <w:tcW w:w="1402" w:type="pct"/>
                  <w:tcBorders>
                    <w:tl2br w:val="nil"/>
                    <w:tr2bl w:val="nil"/>
                  </w:tcBorders>
                  <w:vAlign w:val="center"/>
                </w:tcPr>
                <w:p w14:paraId="67528E0E">
                  <w:pPr>
                    <w:spacing w:line="320" w:lineRule="exact"/>
                    <w:jc w:val="center"/>
                    <w:rPr>
                      <w:rFonts w:ascii="Times New Roman" w:hAnsi="Times New Roman" w:eastAsia="宋体" w:cs="Times New Roman"/>
                      <w:szCs w:val="21"/>
                    </w:rPr>
                  </w:pPr>
                  <w:r>
                    <w:rPr>
                      <w:rFonts w:ascii="Times New Roman" w:hAnsi="Times New Roman" w:eastAsia="宋体" w:cs="Times New Roman"/>
                      <w:szCs w:val="21"/>
                    </w:rPr>
                    <w:t>孔隙度（%）</w:t>
                  </w:r>
                </w:p>
              </w:tc>
              <w:tc>
                <w:tcPr>
                  <w:tcW w:w="1446" w:type="pct"/>
                  <w:tcBorders>
                    <w:tl2br w:val="nil"/>
                    <w:tr2bl w:val="nil"/>
                  </w:tcBorders>
                  <w:vAlign w:val="center"/>
                </w:tcPr>
                <w:p w14:paraId="6520A34C">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32.3</w:t>
                  </w:r>
                </w:p>
              </w:tc>
              <w:tc>
                <w:tcPr>
                  <w:tcW w:w="1647" w:type="pct"/>
                  <w:tcBorders>
                    <w:tl2br w:val="nil"/>
                    <w:tr2bl w:val="nil"/>
                  </w:tcBorders>
                  <w:vAlign w:val="center"/>
                </w:tcPr>
                <w:p w14:paraId="30259040">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28.4</w:t>
                  </w:r>
                </w:p>
              </w:tc>
            </w:tr>
            <w:tr w14:paraId="50EA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03" w:type="pct"/>
                  <w:vMerge w:val="continue"/>
                  <w:tcBorders>
                    <w:tl2br w:val="nil"/>
                    <w:tr2bl w:val="nil"/>
                  </w:tcBorders>
                  <w:vAlign w:val="center"/>
                </w:tcPr>
                <w:p w14:paraId="3B0E579A">
                  <w:pPr>
                    <w:spacing w:line="320" w:lineRule="exact"/>
                    <w:jc w:val="center"/>
                    <w:rPr>
                      <w:rFonts w:ascii="Times New Roman" w:hAnsi="Times New Roman" w:eastAsia="宋体" w:cs="Times New Roman"/>
                      <w:szCs w:val="21"/>
                    </w:rPr>
                  </w:pPr>
                </w:p>
              </w:tc>
              <w:tc>
                <w:tcPr>
                  <w:tcW w:w="1402" w:type="pct"/>
                  <w:tcBorders>
                    <w:tl2br w:val="nil"/>
                    <w:tr2bl w:val="nil"/>
                  </w:tcBorders>
                  <w:vAlign w:val="center"/>
                </w:tcPr>
                <w:p w14:paraId="30439513">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砂砾含量</w:t>
                  </w:r>
                  <w:r>
                    <w:rPr>
                      <w:rFonts w:ascii="Times New Roman" w:hAnsi="Times New Roman" w:eastAsia="宋体" w:cs="Times New Roman"/>
                      <w:szCs w:val="21"/>
                    </w:rPr>
                    <w:t>（%）</w:t>
                  </w:r>
                </w:p>
              </w:tc>
              <w:tc>
                <w:tcPr>
                  <w:tcW w:w="1446" w:type="pct"/>
                  <w:tcBorders>
                    <w:tl2br w:val="nil"/>
                    <w:tr2bl w:val="nil"/>
                  </w:tcBorders>
                  <w:vAlign w:val="center"/>
                </w:tcPr>
                <w:p w14:paraId="2BBAC37C">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49.0</w:t>
                  </w:r>
                </w:p>
              </w:tc>
              <w:tc>
                <w:tcPr>
                  <w:tcW w:w="1647" w:type="pct"/>
                  <w:tcBorders>
                    <w:tl2br w:val="nil"/>
                    <w:tr2bl w:val="nil"/>
                  </w:tcBorders>
                  <w:vAlign w:val="center"/>
                </w:tcPr>
                <w:p w14:paraId="36EA2DC3">
                  <w:pPr>
                    <w:spacing w:line="320" w:lineRule="exact"/>
                    <w:jc w:val="center"/>
                    <w:rPr>
                      <w:rFonts w:ascii="Times New Roman" w:hAnsi="Times New Roman" w:eastAsia="宋体" w:cs="Times New Roman"/>
                      <w:szCs w:val="21"/>
                    </w:rPr>
                  </w:pPr>
                  <w:r>
                    <w:rPr>
                      <w:rFonts w:hint="eastAsia" w:ascii="Times New Roman" w:hAnsi="Times New Roman" w:eastAsia="宋体" w:cs="Times New Roman"/>
                      <w:szCs w:val="21"/>
                    </w:rPr>
                    <w:t>54.7</w:t>
                  </w:r>
                </w:p>
              </w:tc>
            </w:tr>
          </w:tbl>
          <w:p w14:paraId="4829D250">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③</w:t>
            </w:r>
            <w:r>
              <w:rPr>
                <w:rFonts w:hint="eastAsia" w:ascii="Times New Roman" w:hAnsi="Times New Roman" w:eastAsia="宋体" w:cs="Times New Roman"/>
                <w:sz w:val="24"/>
              </w:rPr>
              <w:t>评价结果</w:t>
            </w:r>
          </w:p>
          <w:p w14:paraId="07760FBF">
            <w:pPr>
              <w:widowControl/>
              <w:wordWrap w:val="0"/>
              <w:topLinePunct/>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根据检测结果可知，本项目厂区内采样点的土壤污染物项目均满足《土壤环境质量 建设用地土壤污染风险管控标准（试行）》（GB 36600-2018）中第二类用地筛选值要求；厂区下风向荒地采样点的土壤污染物项目均满足《土壤环境质量 农用地土壤污染风险管控标准（试行）》（GB 15618-2018）中筛选值及管制值要求，说明本项目区域土壤环境质量现状较好。</w:t>
            </w:r>
          </w:p>
          <w:p w14:paraId="5746CD34">
            <w:pPr>
              <w:widowControl/>
              <w:wordWrap w:val="0"/>
              <w:topLinePunct/>
              <w:adjustRightInd w:val="0"/>
              <w:snapToGrid w:val="0"/>
              <w:spacing w:line="360" w:lineRule="auto"/>
              <w:rPr>
                <w:rFonts w:ascii="Times New Roman" w:hAnsi="Times New Roman" w:eastAsia="宋体" w:cs="Times New Roman"/>
                <w:b/>
                <w:bCs/>
                <w:sz w:val="24"/>
              </w:rPr>
            </w:pPr>
            <w:r>
              <w:rPr>
                <w:rFonts w:hint="eastAsia" w:ascii="Times New Roman" w:hAnsi="Times New Roman" w:eastAsia="宋体" w:cs="Times New Roman"/>
                <w:b/>
                <w:bCs/>
                <w:sz w:val="24"/>
              </w:rPr>
              <w:t>5地下水环境现状</w:t>
            </w:r>
          </w:p>
          <w:p w14:paraId="523B3448">
            <w:pPr>
              <w:widowControl/>
              <w:wordWrap w:val="0"/>
              <w:topLinePunct/>
              <w:adjustRightInd w:val="0"/>
              <w:snapToGrid w:val="0"/>
              <w:spacing w:line="360" w:lineRule="auto"/>
              <w:ind w:firstLine="480" w:firstLineChars="200"/>
              <w:rPr>
                <w:rFonts w:ascii="Times New Roman" w:hAnsi="Times New Roman" w:eastAsia="宋体" w:cs="Times New Roman"/>
                <w:color w:val="FF0000"/>
                <w:sz w:val="24"/>
              </w:rPr>
            </w:pPr>
            <w:r>
              <w:rPr>
                <w:rFonts w:ascii="宋体" w:hAnsi="宋体" w:eastAsia="宋体" w:cs="宋体"/>
                <w:kern w:val="0"/>
                <w:sz w:val="24"/>
              </w:rPr>
              <w:t>根据</w:t>
            </w:r>
            <w:r>
              <w:rPr>
                <w:rFonts w:hint="eastAsia" w:ascii="宋体" w:hAnsi="宋体" w:eastAsia="宋体" w:cs="宋体"/>
                <w:kern w:val="0"/>
                <w:sz w:val="24"/>
              </w:rPr>
              <w:t>“</w:t>
            </w:r>
            <w:r>
              <w:rPr>
                <w:rFonts w:hint="eastAsia" w:ascii="Times New Roman" w:hAnsi="Times New Roman" w:eastAsia="宋体" w:cs="Times New Roman"/>
                <w:sz w:val="24"/>
              </w:rPr>
              <w:t>《建设项目环境影响报告表编制技术指南（污染影响类）（试行）》</w:t>
            </w:r>
            <w:r>
              <w:rPr>
                <w:rFonts w:ascii="宋体" w:hAnsi="宋体" w:eastAsia="宋体" w:cs="宋体"/>
                <w:kern w:val="0"/>
                <w:sz w:val="24"/>
              </w:rPr>
              <w:t>，原则上不开展环境质量现状调查。建设项目存在地下水环境污染途径的，应结合污染源、保护目标分布情况开展现状调查以留作背景值</w:t>
            </w:r>
            <w:r>
              <w:rPr>
                <w:rFonts w:hint="eastAsia" w:ascii="宋体" w:hAnsi="宋体" w:eastAsia="宋体" w:cs="宋体"/>
                <w:kern w:val="0"/>
                <w:sz w:val="24"/>
              </w:rPr>
              <w:t>”。本项目运营期采取“地面硬化、分区防渗、加强巡检”等防治措施，建设单位严格执行本环评提出的地下水污染防治措施后，基本不存在地下水环境污染途径，故不开展地下水</w:t>
            </w:r>
            <w:r>
              <w:rPr>
                <w:rFonts w:ascii="宋体" w:hAnsi="宋体" w:eastAsia="宋体" w:cs="宋体"/>
                <w:kern w:val="0"/>
                <w:sz w:val="24"/>
              </w:rPr>
              <w:t>环境现状调查</w:t>
            </w:r>
            <w:r>
              <w:rPr>
                <w:rFonts w:hint="eastAsia" w:ascii="宋体" w:hAnsi="宋体" w:eastAsia="宋体" w:cs="宋体"/>
                <w:kern w:val="0"/>
                <w:sz w:val="24"/>
              </w:rPr>
              <w:t>。</w:t>
            </w:r>
          </w:p>
          <w:p w14:paraId="445199AE">
            <w:pPr>
              <w:widowControl/>
              <w:wordWrap w:val="0"/>
              <w:topLinePunct/>
              <w:adjustRightInd w:val="0"/>
              <w:snapToGrid w:val="0"/>
              <w:spacing w:line="360" w:lineRule="auto"/>
              <w:rPr>
                <w:rFonts w:ascii="Times New Roman" w:hAnsi="Times New Roman" w:eastAsia="宋体" w:cs="Times New Roman"/>
                <w:b/>
                <w:bCs/>
                <w:sz w:val="24"/>
              </w:rPr>
            </w:pPr>
            <w:r>
              <w:rPr>
                <w:rFonts w:hint="eastAsia" w:ascii="Times New Roman" w:hAnsi="Times New Roman" w:eastAsia="宋体" w:cs="Times New Roman"/>
                <w:b/>
                <w:bCs/>
                <w:sz w:val="24"/>
              </w:rPr>
              <w:t>6</w:t>
            </w:r>
            <w:r>
              <w:rPr>
                <w:rFonts w:ascii="Times New Roman" w:hAnsi="Times New Roman" w:eastAsia="宋体" w:cs="Times New Roman"/>
                <w:b/>
                <w:bCs/>
                <w:sz w:val="24"/>
              </w:rPr>
              <w:t>生态环境</w:t>
            </w:r>
            <w:r>
              <w:rPr>
                <w:rFonts w:hint="eastAsia" w:ascii="Times New Roman" w:hAnsi="Times New Roman" w:eastAsia="宋体" w:cs="Times New Roman"/>
                <w:b/>
                <w:bCs/>
                <w:sz w:val="24"/>
              </w:rPr>
              <w:t>现状</w:t>
            </w:r>
          </w:p>
          <w:p w14:paraId="098174CB">
            <w:pPr>
              <w:wordWrap w:val="0"/>
              <w:topLinePunct/>
              <w:adjustRightInd w:val="0"/>
              <w:snapToGrid w:val="0"/>
              <w:spacing w:line="360" w:lineRule="auto"/>
              <w:ind w:firstLine="480" w:firstLineChars="200"/>
              <w:rPr>
                <w:rFonts w:ascii="Times New Roman" w:hAnsi="Times New Roman" w:eastAsia="宋体" w:cs="Times New Roman"/>
                <w:color w:val="FF0000"/>
                <w:sz w:val="24"/>
              </w:rPr>
            </w:pPr>
            <w:r>
              <w:rPr>
                <w:rFonts w:ascii="Times New Roman" w:hAnsi="Times New Roman" w:eastAsia="宋体" w:cs="Times New Roman"/>
                <w:sz w:val="24"/>
              </w:rPr>
              <w:t>根据</w:t>
            </w:r>
            <w:r>
              <w:rPr>
                <w:rFonts w:hint="eastAsia" w:ascii="Times New Roman" w:hAnsi="Times New Roman" w:eastAsia="宋体" w:cs="Times New Roman"/>
                <w:sz w:val="24"/>
              </w:rPr>
              <w:t>“《建设项目环境影响报告表编制技术指南（污染影响类）（试行）》，产业园区外建设项目新增用地且用地范围内含有生态环境保护目标时，应进行生态现状调查”</w:t>
            </w:r>
            <w:r>
              <w:rPr>
                <w:rFonts w:ascii="Times New Roman" w:hAnsi="Times New Roman" w:eastAsia="宋体" w:cs="Times New Roman"/>
                <w:sz w:val="24"/>
              </w:rPr>
              <w:t>。根据现场调查，</w:t>
            </w:r>
            <w:r>
              <w:rPr>
                <w:rFonts w:hint="eastAsia" w:ascii="Times New Roman" w:hAnsi="Times New Roman" w:eastAsia="宋体" w:cs="Times New Roman"/>
                <w:sz w:val="24"/>
              </w:rPr>
              <w:t>本项目位于</w:t>
            </w:r>
            <w:r>
              <w:rPr>
                <w:rFonts w:ascii="Times New Roman" w:hAnsi="Times New Roman" w:eastAsia="宋体" w:cs="Times New Roman"/>
                <w:sz w:val="24"/>
              </w:rPr>
              <w:t>甘肃省张掖市临泽工业园区(产业功能区)-凹凸棒石新材料产业园（初级加工区）</w:t>
            </w:r>
            <w:r>
              <w:rPr>
                <w:rFonts w:hint="eastAsia" w:ascii="Times New Roman" w:hAnsi="Times New Roman" w:eastAsia="宋体" w:cs="Times New Roman"/>
                <w:sz w:val="24"/>
              </w:rPr>
              <w:t>，项目</w:t>
            </w:r>
            <w:r>
              <w:rPr>
                <w:rFonts w:ascii="Times New Roman" w:hAnsi="Times New Roman" w:eastAsia="宋体" w:cs="Times New Roman"/>
                <w:sz w:val="24"/>
              </w:rPr>
              <w:t>周边</w:t>
            </w:r>
            <w:r>
              <w:rPr>
                <w:rFonts w:hint="eastAsia" w:ascii="Times New Roman" w:hAnsi="Times New Roman" w:eastAsia="宋体" w:cs="Times New Roman"/>
                <w:sz w:val="24"/>
              </w:rPr>
              <w:t>及用地范围内</w:t>
            </w:r>
            <w:r>
              <w:rPr>
                <w:rFonts w:ascii="Times New Roman" w:hAnsi="Times New Roman" w:eastAsia="宋体" w:cs="Times New Roman"/>
                <w:sz w:val="24"/>
              </w:rPr>
              <w:t>不</w:t>
            </w:r>
            <w:r>
              <w:rPr>
                <w:rFonts w:hint="eastAsia" w:ascii="Times New Roman" w:hAnsi="Times New Roman" w:eastAsia="宋体" w:cs="Times New Roman"/>
                <w:sz w:val="24"/>
              </w:rPr>
              <w:t>含</w:t>
            </w:r>
            <w:r>
              <w:rPr>
                <w:rFonts w:ascii="Times New Roman" w:hAnsi="Times New Roman" w:eastAsia="宋体" w:cs="Times New Roman"/>
                <w:sz w:val="24"/>
              </w:rPr>
              <w:t>生态环境保护目标，</w:t>
            </w:r>
            <w:r>
              <w:rPr>
                <w:rFonts w:hint="eastAsia" w:ascii="Times New Roman" w:hAnsi="Times New Roman" w:eastAsia="宋体" w:cs="Times New Roman"/>
                <w:sz w:val="24"/>
              </w:rPr>
              <w:t>故</w:t>
            </w:r>
            <w:r>
              <w:rPr>
                <w:rFonts w:ascii="Times New Roman" w:hAnsi="Times New Roman" w:eastAsia="宋体" w:cs="Times New Roman"/>
                <w:sz w:val="24"/>
              </w:rPr>
              <w:t>不开展生态现状调查</w:t>
            </w:r>
            <w:r>
              <w:rPr>
                <w:rFonts w:hint="eastAsia" w:ascii="Times New Roman" w:hAnsi="Times New Roman" w:eastAsia="宋体" w:cs="Times New Roman"/>
                <w:sz w:val="24"/>
              </w:rPr>
              <w:t>。</w:t>
            </w:r>
          </w:p>
        </w:tc>
      </w:tr>
      <w:tr w14:paraId="72CDA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771" w:hRule="atLeast"/>
        </w:trPr>
        <w:tc>
          <w:tcPr>
            <w:tcW w:w="250" w:type="pct"/>
            <w:tcBorders>
              <w:tl2br w:val="nil"/>
              <w:tr2bl w:val="nil"/>
            </w:tcBorders>
            <w:vAlign w:val="center"/>
          </w:tcPr>
          <w:p w14:paraId="738B0B6E">
            <w:pPr>
              <w:adjustRightInd w:val="0"/>
              <w:snapToGrid w:val="0"/>
              <w:jc w:val="center"/>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lang w:bidi="ar"/>
                <w14:textFill>
                  <w14:solidFill>
                    <w14:schemeClr w14:val="tx1"/>
                  </w14:solidFill>
                </w14:textFill>
              </w:rPr>
              <w:t>环境</w:t>
            </w:r>
          </w:p>
          <w:p w14:paraId="384279F7">
            <w:pPr>
              <w:adjustRightInd w:val="0"/>
              <w:snapToGrid w:val="0"/>
              <w:jc w:val="center"/>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lang w:bidi="ar"/>
                <w14:textFill>
                  <w14:solidFill>
                    <w14:schemeClr w14:val="tx1"/>
                  </w14:solidFill>
                </w14:textFill>
              </w:rPr>
              <w:t>保护</w:t>
            </w:r>
          </w:p>
          <w:p w14:paraId="694DCE12">
            <w:pPr>
              <w:adjustRightInd w:val="0"/>
              <w:snapToGrid w:val="0"/>
              <w:jc w:val="center"/>
              <w:rPr>
                <w:rFonts w:hint="eastAsia" w:ascii="宋体" w:hAnsi="宋体" w:eastAsia="宋体" w:cs="宋体"/>
                <w:b/>
                <w:bCs/>
                <w:color w:val="FF0000"/>
                <w:kern w:val="0"/>
                <w:sz w:val="24"/>
              </w:rPr>
            </w:pPr>
            <w:r>
              <w:rPr>
                <w:rFonts w:hint="eastAsia" w:ascii="宋体" w:hAnsi="宋体" w:eastAsia="宋体" w:cs="宋体"/>
                <w:b/>
                <w:bCs/>
                <w:color w:val="000000" w:themeColor="text1"/>
                <w:kern w:val="0"/>
                <w:sz w:val="24"/>
                <w14:textFill>
                  <w14:solidFill>
                    <w14:schemeClr w14:val="tx1"/>
                  </w14:solidFill>
                </w14:textFill>
              </w:rPr>
              <w:t>目标</w:t>
            </w:r>
          </w:p>
        </w:tc>
        <w:tc>
          <w:tcPr>
            <w:tcW w:w="4749" w:type="pct"/>
            <w:tcBorders>
              <w:tl2br w:val="nil"/>
              <w:tr2bl w:val="nil"/>
            </w:tcBorders>
            <w:vAlign w:val="center"/>
          </w:tcPr>
          <w:p w14:paraId="68E78478">
            <w:pPr>
              <w:widowControl/>
              <w:wordWrap w:val="0"/>
              <w:topLinePunct/>
              <w:adjustRightInd w:val="0"/>
              <w:snapToGrid w:val="0"/>
              <w:spacing w:line="360" w:lineRule="auto"/>
              <w:rPr>
                <w:rFonts w:ascii="Times New Roman" w:hAnsi="Times New Roman" w:eastAsia="宋体" w:cs="Times New Roman"/>
                <w:b/>
                <w:bCs/>
                <w:sz w:val="24"/>
              </w:rPr>
            </w:pPr>
            <w:r>
              <w:rPr>
                <w:rFonts w:hint="eastAsia" w:ascii="Times New Roman" w:hAnsi="Times New Roman" w:eastAsia="宋体" w:cs="Times New Roman"/>
                <w:b/>
                <w:bCs/>
                <w:sz w:val="24"/>
              </w:rPr>
              <w:t>7主要环境保护目标</w:t>
            </w:r>
          </w:p>
          <w:p w14:paraId="14D1DA12">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根据“《建设项目环境影响报告表编制技术指南（污染影响类）（试行）》，大气环境保护目标明确厂界外500米范围内的自然保护区、风景名胜区、居住区、文化区和农村地区中人群较集中的区域等保护目标的名称及与建设项目厂界位置关系；声环境保护目标明确厂界外50米范围内声环境保护目标；地下水环境保护目标明确厂界外500米范围内的地下水集中式饮用水水源和热水、矿泉水、温泉等特殊地下水资源”。</w:t>
            </w:r>
          </w:p>
          <w:p w14:paraId="51A79C49">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1、大气环境保护目标</w:t>
            </w:r>
          </w:p>
          <w:p w14:paraId="26237BC1">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本项目厂界外500m范围内无大气环境保护目标。</w:t>
            </w:r>
          </w:p>
          <w:p w14:paraId="3A4F6FC8">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Times New Roman" w:eastAsia="宋体" w:cs="Times New Roman"/>
                <w:sz w:val="24"/>
              </w:rPr>
              <w:t>声环境保护目标</w:t>
            </w:r>
          </w:p>
          <w:p w14:paraId="14802F3D">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本项目厂界外50m范围内无声环境保护目标。</w:t>
            </w:r>
          </w:p>
          <w:p w14:paraId="14A0FA00">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3、地下水环境保护目标</w:t>
            </w:r>
          </w:p>
          <w:p w14:paraId="7EA3865F">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本项目厂界外500m范围内无地下水集中式饮用水水源和热水、矿泉水、温泉等特殊地下水资源。</w:t>
            </w:r>
          </w:p>
          <w:p w14:paraId="6266E970">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4、生态环境保护目标</w:t>
            </w:r>
          </w:p>
          <w:p w14:paraId="21166281">
            <w:pPr>
              <w:widowControl/>
              <w:wordWrap w:val="0"/>
              <w:topLinePunct/>
              <w:adjustRightInd w:val="0"/>
              <w:snapToGrid w:val="0"/>
              <w:spacing w:line="360" w:lineRule="auto"/>
              <w:ind w:firstLine="480" w:firstLineChars="200"/>
              <w:rPr>
                <w:rFonts w:hint="eastAsia" w:ascii="宋体" w:hAnsi="宋体" w:eastAsia="宋体" w:cs="宋体"/>
                <w:color w:val="FF0000"/>
                <w:kern w:val="0"/>
                <w:sz w:val="24"/>
              </w:rPr>
            </w:pPr>
            <w:r>
              <w:rPr>
                <w:rFonts w:ascii="Times New Roman" w:hAnsi="Times New Roman" w:eastAsia="宋体" w:cs="Times New Roman"/>
                <w:sz w:val="24"/>
              </w:rPr>
              <w:t>本项目占地范围内无特殊生态敏感区及重要生态敏感区等生态环境保护目标，项目所在地</w:t>
            </w:r>
            <w:r>
              <w:rPr>
                <w:rFonts w:hint="eastAsia" w:ascii="Times New Roman" w:hAnsi="Times New Roman" w:eastAsia="宋体" w:cs="Times New Roman"/>
                <w:sz w:val="24"/>
              </w:rPr>
              <w:t>周边</w:t>
            </w:r>
            <w:r>
              <w:rPr>
                <w:rFonts w:ascii="Times New Roman" w:hAnsi="Times New Roman" w:eastAsia="宋体" w:cs="Times New Roman"/>
                <w:sz w:val="24"/>
              </w:rPr>
              <w:t>无国家级</w:t>
            </w:r>
            <w:r>
              <w:rPr>
                <w:rFonts w:hint="eastAsia" w:ascii="Times New Roman" w:hAnsi="Times New Roman" w:eastAsia="宋体" w:cs="Times New Roman"/>
                <w:sz w:val="24"/>
              </w:rPr>
              <w:t>、</w:t>
            </w:r>
            <w:r>
              <w:rPr>
                <w:rFonts w:ascii="Times New Roman" w:hAnsi="Times New Roman" w:eastAsia="宋体" w:cs="Times New Roman"/>
                <w:sz w:val="24"/>
              </w:rPr>
              <w:t>省</w:t>
            </w:r>
            <w:r>
              <w:rPr>
                <w:rFonts w:hint="eastAsia" w:ascii="Times New Roman" w:hAnsi="Times New Roman" w:eastAsia="宋体" w:cs="Times New Roman"/>
                <w:sz w:val="24"/>
              </w:rPr>
              <w:t>、</w:t>
            </w:r>
            <w:r>
              <w:rPr>
                <w:rFonts w:ascii="Times New Roman" w:hAnsi="Times New Roman" w:eastAsia="宋体" w:cs="Times New Roman"/>
                <w:sz w:val="24"/>
              </w:rPr>
              <w:t>市级自然保护区</w:t>
            </w:r>
            <w:r>
              <w:rPr>
                <w:rFonts w:hint="eastAsia" w:ascii="Times New Roman" w:hAnsi="Times New Roman" w:eastAsia="宋体" w:cs="Times New Roman"/>
                <w:sz w:val="24"/>
              </w:rPr>
              <w:t>、</w:t>
            </w:r>
            <w:r>
              <w:rPr>
                <w:rFonts w:ascii="Times New Roman" w:hAnsi="Times New Roman" w:eastAsia="宋体" w:cs="Times New Roman"/>
                <w:sz w:val="24"/>
              </w:rPr>
              <w:t>风景名胜区</w:t>
            </w:r>
            <w:r>
              <w:rPr>
                <w:rFonts w:hint="eastAsia" w:ascii="Times New Roman" w:hAnsi="Times New Roman" w:eastAsia="宋体" w:cs="Times New Roman"/>
                <w:sz w:val="24"/>
              </w:rPr>
              <w:t>、</w:t>
            </w:r>
            <w:r>
              <w:rPr>
                <w:rFonts w:ascii="Times New Roman" w:hAnsi="Times New Roman" w:eastAsia="宋体" w:cs="Times New Roman"/>
                <w:sz w:val="24"/>
              </w:rPr>
              <w:t>文物保护对象。</w:t>
            </w:r>
          </w:p>
        </w:tc>
      </w:tr>
      <w:tr w14:paraId="3BFC2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50" w:type="pct"/>
            <w:tcBorders>
              <w:tl2br w:val="nil"/>
              <w:tr2bl w:val="nil"/>
            </w:tcBorders>
            <w:tcMar>
              <w:left w:w="28" w:type="dxa"/>
              <w:right w:w="28" w:type="dxa"/>
            </w:tcMar>
            <w:vAlign w:val="center"/>
          </w:tcPr>
          <w:p w14:paraId="56DF4982">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p>
          <w:p w14:paraId="4F13E24F">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p>
          <w:p w14:paraId="48DDC19F">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p>
          <w:p w14:paraId="7E59D131">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p>
          <w:p w14:paraId="56BB3C3C">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p>
          <w:p w14:paraId="6802B850">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p>
          <w:p w14:paraId="4B65D231">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p>
          <w:p w14:paraId="1C3D88AE">
            <w:pPr>
              <w:adjustRightInd w:val="0"/>
              <w:snapToGrid w:val="0"/>
              <w:jc w:val="center"/>
              <w:rPr>
                <w:rFonts w:hint="eastAsia" w:ascii="宋体" w:hAnsi="宋体" w:eastAsia="宋体" w:cs="宋体"/>
                <w:b/>
                <w:bCs/>
                <w:kern w:val="0"/>
                <w:sz w:val="24"/>
                <w:lang w:bidi="ar"/>
              </w:rPr>
            </w:pPr>
          </w:p>
          <w:p w14:paraId="7FB13DBE">
            <w:pPr>
              <w:adjustRightInd w:val="0"/>
              <w:snapToGrid w:val="0"/>
              <w:jc w:val="center"/>
              <w:rPr>
                <w:rFonts w:hint="eastAsia" w:ascii="宋体" w:hAnsi="宋体" w:eastAsia="宋体" w:cs="宋体"/>
                <w:b/>
                <w:bCs/>
                <w:kern w:val="0"/>
                <w:sz w:val="24"/>
                <w:lang w:bidi="ar"/>
              </w:rPr>
            </w:pPr>
          </w:p>
          <w:p w14:paraId="4D9AAD9D">
            <w:pPr>
              <w:adjustRightInd w:val="0"/>
              <w:snapToGrid w:val="0"/>
              <w:jc w:val="center"/>
              <w:rPr>
                <w:rFonts w:hint="eastAsia" w:ascii="宋体" w:hAnsi="宋体" w:eastAsia="宋体" w:cs="宋体"/>
                <w:b/>
                <w:bCs/>
                <w:kern w:val="0"/>
                <w:sz w:val="24"/>
                <w:lang w:bidi="ar"/>
              </w:rPr>
            </w:pPr>
          </w:p>
          <w:p w14:paraId="42034929">
            <w:pPr>
              <w:adjustRightInd w:val="0"/>
              <w:snapToGrid w:val="0"/>
              <w:jc w:val="center"/>
              <w:rPr>
                <w:rFonts w:hint="eastAsia" w:ascii="宋体" w:hAnsi="宋体" w:eastAsia="宋体" w:cs="宋体"/>
                <w:b/>
                <w:bCs/>
                <w:kern w:val="0"/>
                <w:sz w:val="24"/>
                <w:lang w:bidi="ar"/>
              </w:rPr>
            </w:pPr>
          </w:p>
          <w:p w14:paraId="131A7DAB">
            <w:pPr>
              <w:adjustRightInd w:val="0"/>
              <w:snapToGrid w:val="0"/>
              <w:jc w:val="center"/>
              <w:rPr>
                <w:rFonts w:hint="eastAsia" w:ascii="宋体" w:hAnsi="宋体" w:eastAsia="宋体" w:cs="宋体"/>
                <w:b/>
                <w:bCs/>
                <w:kern w:val="0"/>
                <w:sz w:val="24"/>
                <w:lang w:bidi="ar"/>
              </w:rPr>
            </w:pPr>
          </w:p>
          <w:p w14:paraId="7A53BF71">
            <w:pPr>
              <w:adjustRightInd w:val="0"/>
              <w:snapToGrid w:val="0"/>
              <w:jc w:val="center"/>
              <w:rPr>
                <w:rFonts w:hint="eastAsia" w:ascii="宋体" w:hAnsi="宋体" w:eastAsia="宋体" w:cs="宋体"/>
                <w:b/>
                <w:bCs/>
                <w:kern w:val="0"/>
                <w:sz w:val="24"/>
                <w:lang w:bidi="ar"/>
              </w:rPr>
            </w:pPr>
          </w:p>
          <w:p w14:paraId="79E44656">
            <w:pPr>
              <w:adjustRightInd w:val="0"/>
              <w:snapToGrid w:val="0"/>
              <w:jc w:val="center"/>
              <w:rPr>
                <w:rFonts w:hint="eastAsia" w:ascii="宋体" w:hAnsi="宋体" w:eastAsia="宋体" w:cs="宋体"/>
                <w:b/>
                <w:bCs/>
                <w:kern w:val="0"/>
                <w:sz w:val="24"/>
                <w:lang w:bidi="ar"/>
              </w:rPr>
            </w:pPr>
          </w:p>
          <w:p w14:paraId="456B4DD9">
            <w:pPr>
              <w:adjustRightInd w:val="0"/>
              <w:snapToGrid w:val="0"/>
              <w:jc w:val="center"/>
              <w:rPr>
                <w:rFonts w:hint="eastAsia" w:ascii="宋体" w:hAnsi="宋体" w:eastAsia="宋体" w:cs="宋体"/>
                <w:b/>
                <w:bCs/>
                <w:kern w:val="0"/>
                <w:sz w:val="24"/>
                <w:lang w:bidi="ar"/>
              </w:rPr>
            </w:pPr>
          </w:p>
          <w:p w14:paraId="40965A5E">
            <w:pPr>
              <w:adjustRightInd w:val="0"/>
              <w:snapToGrid w:val="0"/>
              <w:jc w:val="center"/>
              <w:rPr>
                <w:rFonts w:hint="eastAsia" w:ascii="宋体" w:hAnsi="宋体" w:eastAsia="宋体" w:cs="宋体"/>
                <w:b/>
                <w:bCs/>
                <w:kern w:val="0"/>
                <w:sz w:val="24"/>
                <w:lang w:bidi="ar"/>
              </w:rPr>
            </w:pPr>
          </w:p>
          <w:p w14:paraId="6315AE80">
            <w:pPr>
              <w:adjustRightInd w:val="0"/>
              <w:snapToGrid w:val="0"/>
              <w:jc w:val="center"/>
              <w:rPr>
                <w:rFonts w:hint="eastAsia" w:ascii="宋体" w:hAnsi="宋体" w:eastAsia="宋体" w:cs="宋体"/>
                <w:b/>
                <w:bCs/>
                <w:kern w:val="0"/>
                <w:sz w:val="24"/>
                <w:lang w:bidi="ar"/>
              </w:rPr>
            </w:pPr>
          </w:p>
          <w:p w14:paraId="51D442FC">
            <w:pPr>
              <w:adjustRightInd w:val="0"/>
              <w:snapToGrid w:val="0"/>
              <w:jc w:val="center"/>
              <w:rPr>
                <w:rFonts w:hint="eastAsia" w:ascii="宋体" w:hAnsi="宋体" w:eastAsia="宋体" w:cs="宋体"/>
                <w:b/>
                <w:bCs/>
                <w:kern w:val="0"/>
                <w:sz w:val="24"/>
                <w:lang w:bidi="ar"/>
              </w:rPr>
            </w:pPr>
          </w:p>
          <w:p w14:paraId="571A9942">
            <w:pPr>
              <w:adjustRightInd w:val="0"/>
              <w:snapToGrid w:val="0"/>
              <w:jc w:val="center"/>
              <w:rPr>
                <w:rFonts w:hint="eastAsia" w:ascii="宋体" w:hAnsi="宋体" w:eastAsia="宋体" w:cs="宋体"/>
                <w:b/>
                <w:bCs/>
                <w:kern w:val="0"/>
                <w:sz w:val="24"/>
                <w:lang w:bidi="ar"/>
              </w:rPr>
            </w:pPr>
          </w:p>
          <w:p w14:paraId="32765F68">
            <w:pPr>
              <w:adjustRightInd w:val="0"/>
              <w:snapToGrid w:val="0"/>
              <w:jc w:val="center"/>
              <w:rPr>
                <w:rFonts w:hint="eastAsia" w:ascii="宋体" w:hAnsi="宋体" w:eastAsia="宋体" w:cs="宋体"/>
                <w:b/>
                <w:bCs/>
                <w:kern w:val="0"/>
                <w:sz w:val="24"/>
                <w:lang w:bidi="ar"/>
              </w:rPr>
            </w:pPr>
          </w:p>
          <w:p w14:paraId="0236D7E0">
            <w:pPr>
              <w:adjustRightInd w:val="0"/>
              <w:snapToGrid w:val="0"/>
              <w:jc w:val="center"/>
              <w:rPr>
                <w:rFonts w:hint="eastAsia" w:ascii="宋体" w:hAnsi="宋体" w:eastAsia="宋体" w:cs="宋体"/>
                <w:b/>
                <w:bCs/>
                <w:kern w:val="0"/>
                <w:sz w:val="24"/>
                <w:lang w:bidi="ar"/>
              </w:rPr>
            </w:pPr>
          </w:p>
          <w:p w14:paraId="0D045D9B">
            <w:pPr>
              <w:adjustRightInd w:val="0"/>
              <w:snapToGrid w:val="0"/>
              <w:jc w:val="center"/>
              <w:rPr>
                <w:rFonts w:hint="eastAsia" w:ascii="宋体" w:hAnsi="宋体" w:eastAsia="宋体" w:cs="宋体"/>
                <w:b/>
                <w:bCs/>
                <w:kern w:val="0"/>
                <w:sz w:val="24"/>
                <w:lang w:bidi="ar"/>
              </w:rPr>
            </w:pPr>
          </w:p>
          <w:p w14:paraId="7B87C3BF">
            <w:pPr>
              <w:adjustRightInd w:val="0"/>
              <w:snapToGrid w:val="0"/>
              <w:jc w:val="center"/>
              <w:rPr>
                <w:rFonts w:hint="eastAsia" w:ascii="宋体" w:hAnsi="宋体" w:eastAsia="宋体" w:cs="宋体"/>
                <w:b/>
                <w:bCs/>
                <w:kern w:val="0"/>
                <w:sz w:val="24"/>
                <w:lang w:bidi="ar"/>
              </w:rPr>
            </w:pPr>
          </w:p>
          <w:p w14:paraId="226D6F50">
            <w:pPr>
              <w:adjustRightInd w:val="0"/>
              <w:snapToGrid w:val="0"/>
              <w:jc w:val="center"/>
              <w:rPr>
                <w:rFonts w:hint="eastAsia" w:ascii="宋体" w:hAnsi="宋体" w:eastAsia="宋体" w:cs="宋体"/>
                <w:b/>
                <w:bCs/>
                <w:kern w:val="0"/>
                <w:sz w:val="24"/>
                <w:lang w:bidi="ar"/>
              </w:rPr>
            </w:pPr>
          </w:p>
          <w:p w14:paraId="5B542135">
            <w:pPr>
              <w:adjustRightInd w:val="0"/>
              <w:snapToGrid w:val="0"/>
              <w:jc w:val="center"/>
              <w:rPr>
                <w:rFonts w:hint="eastAsia" w:ascii="宋体" w:hAnsi="宋体" w:eastAsia="宋体" w:cs="宋体"/>
                <w:b/>
                <w:bCs/>
                <w:kern w:val="0"/>
                <w:sz w:val="24"/>
                <w:lang w:bidi="ar"/>
              </w:rPr>
            </w:pPr>
          </w:p>
          <w:p w14:paraId="458AE397">
            <w:pPr>
              <w:adjustRightInd w:val="0"/>
              <w:snapToGrid w:val="0"/>
              <w:jc w:val="center"/>
              <w:rPr>
                <w:rFonts w:hint="eastAsia" w:ascii="宋体" w:hAnsi="宋体" w:eastAsia="宋体" w:cs="宋体"/>
                <w:b/>
                <w:bCs/>
                <w:kern w:val="0"/>
                <w:sz w:val="24"/>
                <w:lang w:bidi="ar"/>
              </w:rPr>
            </w:pPr>
          </w:p>
          <w:p w14:paraId="7C4A02ED">
            <w:pPr>
              <w:adjustRightInd w:val="0"/>
              <w:snapToGrid w:val="0"/>
              <w:jc w:val="center"/>
              <w:rPr>
                <w:rFonts w:hint="eastAsia" w:ascii="宋体" w:hAnsi="宋体" w:eastAsia="宋体" w:cs="宋体"/>
                <w:b/>
                <w:bCs/>
                <w:kern w:val="0"/>
                <w:sz w:val="24"/>
                <w:lang w:bidi="ar"/>
              </w:rPr>
            </w:pPr>
          </w:p>
          <w:p w14:paraId="3E5F2D97">
            <w:pPr>
              <w:adjustRightInd w:val="0"/>
              <w:snapToGrid w:val="0"/>
              <w:jc w:val="center"/>
              <w:rPr>
                <w:rFonts w:hint="eastAsia" w:ascii="宋体" w:hAnsi="宋体" w:eastAsia="宋体" w:cs="宋体"/>
                <w:b/>
                <w:bCs/>
                <w:kern w:val="0"/>
                <w:sz w:val="24"/>
                <w:lang w:bidi="ar"/>
              </w:rPr>
            </w:pPr>
          </w:p>
          <w:p w14:paraId="6464DE7B">
            <w:pPr>
              <w:adjustRightInd w:val="0"/>
              <w:snapToGrid w:val="0"/>
              <w:jc w:val="center"/>
              <w:rPr>
                <w:rFonts w:hint="eastAsia" w:ascii="宋体" w:hAnsi="宋体" w:eastAsia="宋体" w:cs="宋体"/>
                <w:b/>
                <w:bCs/>
                <w:kern w:val="0"/>
                <w:sz w:val="24"/>
                <w:lang w:bidi="ar"/>
              </w:rPr>
            </w:pPr>
          </w:p>
          <w:p w14:paraId="0CB812B7">
            <w:pPr>
              <w:adjustRightInd w:val="0"/>
              <w:snapToGrid w:val="0"/>
              <w:jc w:val="center"/>
              <w:rPr>
                <w:rFonts w:hint="eastAsia" w:ascii="宋体" w:hAnsi="宋体" w:eastAsia="宋体" w:cs="宋体"/>
                <w:b/>
                <w:bCs/>
                <w:kern w:val="0"/>
                <w:sz w:val="24"/>
                <w:lang w:bidi="ar"/>
              </w:rPr>
            </w:pPr>
          </w:p>
          <w:p w14:paraId="0CB2BDE4">
            <w:pPr>
              <w:adjustRightInd w:val="0"/>
              <w:snapToGrid w:val="0"/>
              <w:jc w:val="center"/>
              <w:rPr>
                <w:rFonts w:hint="eastAsia" w:ascii="宋体" w:hAnsi="宋体" w:eastAsia="宋体" w:cs="宋体"/>
                <w:b/>
                <w:bCs/>
                <w:kern w:val="0"/>
                <w:sz w:val="24"/>
                <w:lang w:bidi="ar"/>
              </w:rPr>
            </w:pPr>
          </w:p>
          <w:p w14:paraId="402B8B46">
            <w:pPr>
              <w:adjustRightInd w:val="0"/>
              <w:snapToGrid w:val="0"/>
              <w:jc w:val="center"/>
              <w:rPr>
                <w:rFonts w:hint="eastAsia" w:ascii="宋体" w:hAnsi="宋体" w:eastAsia="宋体" w:cs="宋体"/>
                <w:b/>
                <w:bCs/>
                <w:kern w:val="0"/>
                <w:sz w:val="24"/>
                <w:lang w:bidi="ar"/>
              </w:rPr>
            </w:pPr>
          </w:p>
          <w:p w14:paraId="618AE627">
            <w:pPr>
              <w:adjustRightInd w:val="0"/>
              <w:snapToGrid w:val="0"/>
              <w:jc w:val="center"/>
              <w:rPr>
                <w:rFonts w:hint="eastAsia" w:ascii="宋体" w:hAnsi="宋体" w:eastAsia="宋体" w:cs="宋体"/>
                <w:b/>
                <w:bCs/>
                <w:kern w:val="0"/>
                <w:sz w:val="24"/>
              </w:rPr>
            </w:pPr>
            <w:r>
              <w:rPr>
                <w:rFonts w:hint="eastAsia" w:ascii="宋体" w:hAnsi="宋体" w:eastAsia="宋体" w:cs="宋体"/>
                <w:b/>
                <w:bCs/>
                <w:kern w:val="0"/>
                <w:sz w:val="24"/>
                <w:lang w:bidi="ar"/>
              </w:rPr>
              <w:t>污染</w:t>
            </w:r>
          </w:p>
          <w:p w14:paraId="28AC4B53">
            <w:pPr>
              <w:adjustRightInd w:val="0"/>
              <w:snapToGrid w:val="0"/>
              <w:jc w:val="center"/>
              <w:rPr>
                <w:rFonts w:hint="eastAsia" w:ascii="宋体" w:hAnsi="宋体" w:eastAsia="宋体" w:cs="宋体"/>
                <w:b/>
                <w:bCs/>
                <w:kern w:val="0"/>
                <w:sz w:val="24"/>
              </w:rPr>
            </w:pPr>
            <w:r>
              <w:rPr>
                <w:rFonts w:hint="eastAsia" w:ascii="宋体" w:hAnsi="宋体" w:eastAsia="宋体" w:cs="宋体"/>
                <w:b/>
                <w:bCs/>
                <w:kern w:val="0"/>
                <w:sz w:val="24"/>
                <w:lang w:bidi="ar"/>
              </w:rPr>
              <w:t>物排</w:t>
            </w:r>
          </w:p>
          <w:p w14:paraId="74D26ADE">
            <w:pPr>
              <w:adjustRightInd w:val="0"/>
              <w:snapToGrid w:val="0"/>
              <w:jc w:val="center"/>
              <w:rPr>
                <w:rFonts w:hint="eastAsia" w:ascii="宋体" w:hAnsi="宋体" w:eastAsia="宋体" w:cs="宋体"/>
                <w:b/>
                <w:bCs/>
                <w:kern w:val="0"/>
                <w:sz w:val="24"/>
              </w:rPr>
            </w:pPr>
            <w:r>
              <w:rPr>
                <w:rFonts w:hint="eastAsia" w:ascii="宋体" w:hAnsi="宋体" w:eastAsia="宋体" w:cs="宋体"/>
                <w:b/>
                <w:bCs/>
                <w:kern w:val="0"/>
                <w:sz w:val="24"/>
                <w:lang w:bidi="ar"/>
              </w:rPr>
              <w:t>放控</w:t>
            </w:r>
          </w:p>
          <w:p w14:paraId="475ABDEF">
            <w:pPr>
              <w:adjustRightInd w:val="0"/>
              <w:snapToGrid w:val="0"/>
              <w:jc w:val="center"/>
              <w:rPr>
                <w:rFonts w:hint="eastAsia" w:ascii="宋体" w:hAnsi="宋体" w:eastAsia="宋体" w:cs="宋体"/>
                <w:b/>
                <w:bCs/>
                <w:kern w:val="0"/>
                <w:sz w:val="24"/>
              </w:rPr>
            </w:pPr>
            <w:r>
              <w:rPr>
                <w:rFonts w:hint="eastAsia" w:ascii="宋体" w:hAnsi="宋体" w:eastAsia="宋体" w:cs="宋体"/>
                <w:b/>
                <w:bCs/>
                <w:kern w:val="0"/>
                <w:sz w:val="24"/>
                <w:lang w:bidi="ar"/>
              </w:rPr>
              <w:t>制标准</w:t>
            </w:r>
          </w:p>
          <w:p w14:paraId="7F355A41">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r>
              <w:rPr>
                <w:rFonts w:hint="eastAsia" w:ascii="宋体" w:hAnsi="宋体" w:eastAsia="宋体" w:cs="宋体"/>
                <w:b/>
                <w:bCs/>
                <w:kern w:val="0"/>
                <w:sz w:val="24"/>
                <w:lang w:bidi="ar"/>
              </w:rPr>
              <w:t>准</w:t>
            </w:r>
          </w:p>
          <w:p w14:paraId="3CD4670D">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p>
          <w:p w14:paraId="3B8225E1">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p>
          <w:p w14:paraId="0AF3FF82">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p>
          <w:p w14:paraId="4D9DDEBD">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p>
          <w:p w14:paraId="3C76E18F">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p>
          <w:p w14:paraId="37B8102E">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p>
          <w:p w14:paraId="2B517766">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p>
          <w:p w14:paraId="6F5E50DB">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p>
          <w:p w14:paraId="1050C25F">
            <w:pPr>
              <w:adjustRightInd w:val="0"/>
              <w:snapToGrid w:val="0"/>
              <w:ind w:firstLine="482"/>
              <w:jc w:val="center"/>
              <w:rPr>
                <w:rFonts w:hint="eastAsia" w:ascii="宋体" w:hAnsi="宋体" w:eastAsia="宋体" w:cs="宋体"/>
                <w:b/>
                <w:bCs/>
                <w:color w:val="000000" w:themeColor="text1"/>
                <w:kern w:val="0"/>
                <w:sz w:val="24"/>
                <w:lang w:bidi="ar"/>
                <w14:textFill>
                  <w14:solidFill>
                    <w14:schemeClr w14:val="tx1"/>
                  </w14:solidFill>
                </w14:textFill>
              </w:rPr>
            </w:pPr>
          </w:p>
          <w:p w14:paraId="053D5DB4">
            <w:pPr>
              <w:adjustRightInd w:val="0"/>
              <w:snapToGrid w:val="0"/>
              <w:ind w:firstLine="482"/>
              <w:jc w:val="center"/>
              <w:rPr>
                <w:rFonts w:hint="eastAsia" w:ascii="宋体" w:hAnsi="宋体" w:eastAsia="宋体" w:cs="宋体"/>
                <w:b/>
                <w:bCs/>
                <w:kern w:val="0"/>
                <w:sz w:val="24"/>
                <w:lang w:bidi="ar"/>
              </w:rPr>
            </w:pPr>
            <w:r>
              <w:rPr>
                <w:rFonts w:hint="eastAsia" w:ascii="宋体" w:hAnsi="宋体" w:eastAsia="宋体" w:cs="宋体"/>
                <w:b/>
                <w:bCs/>
                <w:kern w:val="0"/>
                <w:sz w:val="24"/>
                <w:lang w:bidi="ar"/>
              </w:rPr>
              <w:t>污</w:t>
            </w:r>
          </w:p>
          <w:p w14:paraId="1E4075CB">
            <w:pPr>
              <w:adjustRightInd w:val="0"/>
              <w:snapToGrid w:val="0"/>
              <w:ind w:firstLine="482"/>
              <w:jc w:val="center"/>
              <w:rPr>
                <w:rFonts w:hint="eastAsia" w:ascii="宋体" w:hAnsi="宋体" w:eastAsia="宋体" w:cs="宋体"/>
                <w:b/>
                <w:bCs/>
                <w:kern w:val="0"/>
                <w:sz w:val="24"/>
              </w:rPr>
            </w:pPr>
            <w:r>
              <w:rPr>
                <w:rFonts w:hint="eastAsia" w:ascii="宋体" w:hAnsi="宋体" w:eastAsia="宋体" w:cs="宋体"/>
                <w:b/>
                <w:bCs/>
                <w:kern w:val="0"/>
                <w:sz w:val="24"/>
                <w:lang w:bidi="ar"/>
              </w:rPr>
              <w:t>染</w:t>
            </w:r>
          </w:p>
          <w:p w14:paraId="29F3B774">
            <w:pPr>
              <w:adjustRightInd w:val="0"/>
              <w:snapToGrid w:val="0"/>
              <w:ind w:firstLine="482"/>
              <w:jc w:val="center"/>
              <w:rPr>
                <w:rFonts w:hint="eastAsia" w:ascii="宋体" w:hAnsi="宋体" w:eastAsia="宋体" w:cs="宋体"/>
                <w:b/>
                <w:bCs/>
                <w:kern w:val="0"/>
                <w:sz w:val="24"/>
              </w:rPr>
            </w:pPr>
            <w:r>
              <w:rPr>
                <w:rFonts w:hint="eastAsia" w:ascii="宋体" w:hAnsi="宋体" w:eastAsia="宋体" w:cs="宋体"/>
                <w:b/>
                <w:bCs/>
                <w:kern w:val="0"/>
                <w:sz w:val="24"/>
                <w:lang w:bidi="ar"/>
              </w:rPr>
              <w:t>物</w:t>
            </w:r>
          </w:p>
          <w:p w14:paraId="05D1944B">
            <w:pPr>
              <w:adjustRightInd w:val="0"/>
              <w:snapToGrid w:val="0"/>
              <w:ind w:firstLine="482"/>
              <w:jc w:val="center"/>
              <w:rPr>
                <w:rFonts w:hint="eastAsia" w:ascii="宋体" w:hAnsi="宋体" w:eastAsia="宋体" w:cs="宋体"/>
                <w:b/>
                <w:bCs/>
                <w:color w:val="FF0000"/>
                <w:kern w:val="0"/>
                <w:sz w:val="24"/>
              </w:rPr>
            </w:pPr>
            <w:r>
              <w:rPr>
                <w:rFonts w:hint="eastAsia" w:ascii="宋体" w:hAnsi="宋体" w:eastAsia="宋体" w:cs="宋体"/>
                <w:b/>
                <w:bCs/>
                <w:kern w:val="0"/>
                <w:sz w:val="24"/>
                <w:lang w:bidi="ar"/>
              </w:rPr>
              <w:t>准</w:t>
            </w:r>
          </w:p>
        </w:tc>
        <w:tc>
          <w:tcPr>
            <w:tcW w:w="4749" w:type="pct"/>
            <w:tcBorders>
              <w:tl2br w:val="nil"/>
              <w:tr2bl w:val="nil"/>
            </w:tcBorders>
            <w:vAlign w:val="center"/>
          </w:tcPr>
          <w:p w14:paraId="5432A8BB">
            <w:pPr>
              <w:widowControl/>
              <w:wordWrap w:val="0"/>
              <w:topLinePunct/>
              <w:adjustRightInd w:val="0"/>
              <w:snapToGrid w:val="0"/>
              <w:spacing w:line="360" w:lineRule="auto"/>
              <w:rPr>
                <w:rFonts w:ascii="Times New Roman" w:hAnsi="Times New Roman" w:eastAsia="宋体" w:cs="Times New Roman"/>
                <w:b/>
                <w:bCs/>
                <w:sz w:val="24"/>
              </w:rPr>
            </w:pPr>
            <w:r>
              <w:rPr>
                <w:rFonts w:hint="eastAsia" w:ascii="Times New Roman" w:hAnsi="Times New Roman" w:eastAsia="宋体" w:cs="Times New Roman"/>
                <w:b/>
                <w:bCs/>
                <w:sz w:val="24"/>
              </w:rPr>
              <w:t>8污染物排放控制标准</w:t>
            </w:r>
          </w:p>
          <w:p w14:paraId="36800392">
            <w:pPr>
              <w:widowControl/>
              <w:wordWrap w:val="0"/>
              <w:topLinePunct/>
              <w:adjustRightInd w:val="0"/>
              <w:snapToGrid w:val="0"/>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8.1</w:t>
            </w:r>
            <w:r>
              <w:rPr>
                <w:rFonts w:ascii="Times New Roman" w:hAnsi="Times New Roman" w:eastAsia="宋体" w:cs="Times New Roman"/>
                <w:b/>
                <w:bCs/>
                <w:sz w:val="24"/>
              </w:rPr>
              <w:t>废气</w:t>
            </w:r>
          </w:p>
          <w:p w14:paraId="6815D89F">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①施工期</w:t>
            </w:r>
          </w:p>
          <w:p w14:paraId="29242AC6">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施工期粉尘排放执行《大气污染物综合排放标准》(GB16297-1996)中表2新污染源大气污染物排放限值-无组织排放监控浓度限值</w:t>
            </w:r>
            <w:r>
              <w:rPr>
                <w:rFonts w:hint="eastAsia" w:ascii="Times New Roman" w:hAnsi="Times New Roman" w:eastAsia="宋体" w:cs="Times New Roman"/>
                <w:sz w:val="24"/>
              </w:rPr>
              <w:t>，详</w:t>
            </w:r>
            <w:r>
              <w:rPr>
                <w:rFonts w:ascii="Times New Roman" w:hAnsi="Times New Roman" w:eastAsia="宋体" w:cs="Times New Roman"/>
                <w:sz w:val="24"/>
              </w:rPr>
              <w:t>见下表。</w:t>
            </w:r>
          </w:p>
          <w:p w14:paraId="6B89ADB1">
            <w:pPr>
              <w:spacing w:line="360" w:lineRule="auto"/>
              <w:ind w:firstLine="482" w:firstLineChars="200"/>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表3-8 《大气污染物综合排放标准》（GB16297- 1996）</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6"/>
              <w:gridCol w:w="1848"/>
              <w:gridCol w:w="2332"/>
              <w:gridCol w:w="1912"/>
            </w:tblGrid>
            <w:tr w14:paraId="031FF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8" w:type="pct"/>
                  <w:tcBorders>
                    <w:tl2br w:val="nil"/>
                    <w:tr2bl w:val="nil"/>
                  </w:tcBorders>
                  <w:vAlign w:val="center"/>
                </w:tcPr>
                <w:p w14:paraId="1BD94F3F">
                  <w:pPr>
                    <w:jc w:val="center"/>
                    <w:rPr>
                      <w:rFonts w:ascii="Times New Roman" w:hAnsi="Times New Roman" w:cs="Times New Roman"/>
                      <w:b/>
                      <w:bCs/>
                      <w:szCs w:val="21"/>
                    </w:rPr>
                  </w:pPr>
                  <w:r>
                    <w:rPr>
                      <w:rFonts w:hint="eastAsia" w:ascii="Times New Roman" w:hAnsi="Times New Roman" w:cs="Times New Roman"/>
                      <w:b/>
                      <w:bCs/>
                      <w:szCs w:val="21"/>
                    </w:rPr>
                    <w:t>污染物</w:t>
                  </w:r>
                </w:p>
              </w:tc>
              <w:tc>
                <w:tcPr>
                  <w:tcW w:w="1174" w:type="pct"/>
                  <w:tcBorders>
                    <w:tl2br w:val="nil"/>
                    <w:tr2bl w:val="nil"/>
                  </w:tcBorders>
                  <w:vAlign w:val="center"/>
                </w:tcPr>
                <w:p w14:paraId="7AC1E5BF">
                  <w:pPr>
                    <w:jc w:val="center"/>
                    <w:rPr>
                      <w:rFonts w:ascii="Times New Roman" w:hAnsi="Times New Roman" w:cs="Times New Roman"/>
                      <w:b/>
                      <w:bCs/>
                      <w:szCs w:val="21"/>
                    </w:rPr>
                  </w:pPr>
                  <w:r>
                    <w:rPr>
                      <w:rFonts w:hint="eastAsia" w:ascii="Times New Roman" w:hAnsi="Times New Roman" w:cs="Times New Roman"/>
                      <w:b/>
                      <w:bCs/>
                      <w:szCs w:val="21"/>
                    </w:rPr>
                    <w:t>污染物排放形式</w:t>
                  </w:r>
                </w:p>
              </w:tc>
              <w:tc>
                <w:tcPr>
                  <w:tcW w:w="1481" w:type="pct"/>
                  <w:tcBorders>
                    <w:tl2br w:val="nil"/>
                    <w:tr2bl w:val="nil"/>
                  </w:tcBorders>
                  <w:vAlign w:val="center"/>
                </w:tcPr>
                <w:p w14:paraId="7B97C3A0">
                  <w:pPr>
                    <w:jc w:val="center"/>
                    <w:rPr>
                      <w:rFonts w:ascii="Times New Roman" w:hAnsi="Times New Roman" w:cs="Times New Roman"/>
                      <w:b/>
                      <w:bCs/>
                      <w:szCs w:val="21"/>
                    </w:rPr>
                  </w:pPr>
                  <w:r>
                    <w:rPr>
                      <w:rFonts w:hint="eastAsia" w:ascii="Times New Roman" w:hAnsi="Times New Roman" w:cs="Times New Roman"/>
                      <w:b/>
                      <w:bCs/>
                      <w:szCs w:val="21"/>
                    </w:rPr>
                    <w:t>监控点</w:t>
                  </w:r>
                </w:p>
              </w:tc>
              <w:tc>
                <w:tcPr>
                  <w:tcW w:w="1215" w:type="pct"/>
                  <w:tcBorders>
                    <w:tl2br w:val="nil"/>
                    <w:tr2bl w:val="nil"/>
                  </w:tcBorders>
                  <w:vAlign w:val="center"/>
                </w:tcPr>
                <w:p w14:paraId="0838B90E">
                  <w:pPr>
                    <w:jc w:val="center"/>
                    <w:rPr>
                      <w:rFonts w:ascii="Times New Roman" w:hAnsi="Times New Roman" w:cs="Times New Roman"/>
                      <w:b/>
                      <w:bCs/>
                      <w:szCs w:val="21"/>
                    </w:rPr>
                  </w:pPr>
                  <w:r>
                    <w:rPr>
                      <w:rFonts w:hint="eastAsia" w:ascii="Times New Roman" w:hAnsi="Times New Roman" w:cs="Times New Roman"/>
                      <w:b/>
                      <w:bCs/>
                      <w:szCs w:val="21"/>
                    </w:rPr>
                    <w:t>浓度限值(mg/m</w:t>
                  </w:r>
                  <w:r>
                    <w:rPr>
                      <w:rFonts w:hint="eastAsia" w:ascii="Times New Roman" w:hAnsi="Times New Roman" w:cs="Times New Roman"/>
                      <w:b/>
                      <w:bCs/>
                      <w:szCs w:val="21"/>
                      <w:vertAlign w:val="superscript"/>
                    </w:rPr>
                    <w:t>3</w:t>
                  </w:r>
                  <w:r>
                    <w:rPr>
                      <w:rFonts w:hint="eastAsia" w:ascii="Times New Roman" w:hAnsi="Times New Roman" w:cs="Times New Roman"/>
                      <w:b/>
                      <w:bCs/>
                      <w:szCs w:val="21"/>
                    </w:rPr>
                    <w:t>)</w:t>
                  </w:r>
                </w:p>
              </w:tc>
            </w:tr>
            <w:tr w14:paraId="14ABC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8" w:type="pct"/>
                  <w:tcBorders>
                    <w:tl2br w:val="nil"/>
                    <w:tr2bl w:val="nil"/>
                  </w:tcBorders>
                  <w:vAlign w:val="center"/>
                </w:tcPr>
                <w:p w14:paraId="7D8CC71F">
                  <w:pPr>
                    <w:jc w:val="center"/>
                    <w:rPr>
                      <w:rFonts w:ascii="Times New Roman" w:hAnsi="Times New Roman" w:cs="Times New Roman"/>
                      <w:szCs w:val="21"/>
                    </w:rPr>
                  </w:pPr>
                  <w:r>
                    <w:rPr>
                      <w:rFonts w:hint="eastAsia" w:ascii="Times New Roman" w:hAnsi="Times New Roman" w:cs="Times New Roman"/>
                      <w:szCs w:val="21"/>
                    </w:rPr>
                    <w:t>颗粒物</w:t>
                  </w:r>
                </w:p>
              </w:tc>
              <w:tc>
                <w:tcPr>
                  <w:tcW w:w="1174" w:type="pct"/>
                  <w:tcBorders>
                    <w:tl2br w:val="nil"/>
                    <w:tr2bl w:val="nil"/>
                  </w:tcBorders>
                  <w:vAlign w:val="center"/>
                </w:tcPr>
                <w:p w14:paraId="1CBFDA71">
                  <w:pPr>
                    <w:jc w:val="center"/>
                    <w:rPr>
                      <w:rFonts w:ascii="Times New Roman" w:hAnsi="Times New Roman" w:cs="Times New Roman"/>
                      <w:szCs w:val="21"/>
                    </w:rPr>
                  </w:pPr>
                  <w:r>
                    <w:rPr>
                      <w:rFonts w:hint="eastAsia" w:ascii="Times New Roman" w:hAnsi="Times New Roman" w:cs="Times New Roman"/>
                      <w:szCs w:val="21"/>
                    </w:rPr>
                    <w:t>无组织排放</w:t>
                  </w:r>
                </w:p>
              </w:tc>
              <w:tc>
                <w:tcPr>
                  <w:tcW w:w="1481" w:type="pct"/>
                  <w:tcBorders>
                    <w:tl2br w:val="nil"/>
                    <w:tr2bl w:val="nil"/>
                  </w:tcBorders>
                  <w:vAlign w:val="center"/>
                </w:tcPr>
                <w:p w14:paraId="072BD3EE">
                  <w:pPr>
                    <w:jc w:val="center"/>
                    <w:rPr>
                      <w:rFonts w:ascii="Times New Roman" w:hAnsi="Times New Roman" w:cs="Times New Roman"/>
                      <w:szCs w:val="21"/>
                    </w:rPr>
                  </w:pPr>
                  <w:r>
                    <w:rPr>
                      <w:rFonts w:hint="eastAsia" w:ascii="Times New Roman" w:hAnsi="Times New Roman" w:cs="Times New Roman"/>
                      <w:szCs w:val="21"/>
                    </w:rPr>
                    <w:t>周界外浓度最高点</w:t>
                  </w:r>
                </w:p>
              </w:tc>
              <w:tc>
                <w:tcPr>
                  <w:tcW w:w="1215" w:type="pct"/>
                  <w:tcBorders>
                    <w:tl2br w:val="nil"/>
                    <w:tr2bl w:val="nil"/>
                  </w:tcBorders>
                  <w:vAlign w:val="center"/>
                </w:tcPr>
                <w:p w14:paraId="376E11C0">
                  <w:pPr>
                    <w:jc w:val="center"/>
                    <w:rPr>
                      <w:rFonts w:ascii="Times New Roman" w:hAnsi="Times New Roman" w:cs="Times New Roman"/>
                      <w:szCs w:val="21"/>
                    </w:rPr>
                  </w:pPr>
                  <w:r>
                    <w:rPr>
                      <w:rFonts w:hint="eastAsia" w:ascii="Times New Roman" w:hAnsi="Times New Roman" w:cs="Times New Roman"/>
                      <w:szCs w:val="21"/>
                    </w:rPr>
                    <w:t>1.0</w:t>
                  </w:r>
                </w:p>
              </w:tc>
            </w:tr>
          </w:tbl>
          <w:p w14:paraId="1CF4589E">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ascii="Calibri" w:hAnsi="Calibri" w:eastAsia="宋体" w:cs="Calibri"/>
                <w:sz w:val="24"/>
              </w:rPr>
              <w:t>②</w:t>
            </w:r>
            <w:r>
              <w:rPr>
                <w:rFonts w:ascii="Times New Roman" w:hAnsi="Times New Roman" w:eastAsia="宋体" w:cs="Times New Roman"/>
                <w:sz w:val="24"/>
              </w:rPr>
              <w:t>运营期</w:t>
            </w:r>
          </w:p>
          <w:p w14:paraId="64F866F5">
            <w:pPr>
              <w:widowControl/>
              <w:wordWrap w:val="0"/>
              <w:topLinePunct/>
              <w:adjustRightInd w:val="0"/>
              <w:snapToGrid w:val="0"/>
              <w:spacing w:line="360" w:lineRule="auto"/>
              <w:ind w:firstLine="482" w:firstLineChars="200"/>
              <w:rPr>
                <w:rFonts w:ascii="Times New Roman" w:hAnsi="Times New Roman" w:eastAsia="宋体" w:cs="Times New Roman"/>
                <w:b/>
                <w:bCs/>
                <w:color w:val="FF0000"/>
                <w:sz w:val="24"/>
              </w:rPr>
            </w:pPr>
            <w:r>
              <w:rPr>
                <w:rFonts w:hint="eastAsia" w:ascii="Times New Roman" w:hAnsi="Times New Roman" w:eastAsia="宋体" w:cs="Times New Roman"/>
                <w:b/>
                <w:bCs/>
                <w:sz w:val="24"/>
              </w:rPr>
              <w:t>有组织废气：</w:t>
            </w:r>
          </w:p>
          <w:p w14:paraId="2892C2BC">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（1）</w:t>
            </w:r>
            <w:r>
              <w:rPr>
                <w:rFonts w:ascii="Times New Roman" w:hAnsi="Times New Roman" w:eastAsia="宋体" w:cs="Times New Roman"/>
                <w:sz w:val="24"/>
              </w:rPr>
              <w:t>DA001</w:t>
            </w:r>
            <w:r>
              <w:rPr>
                <w:rFonts w:hint="eastAsia" w:ascii="Times New Roman" w:hAnsi="Times New Roman" w:eastAsia="宋体" w:cs="Times New Roman"/>
                <w:sz w:val="24"/>
              </w:rPr>
              <w:t>排气筒</w:t>
            </w:r>
          </w:p>
          <w:p w14:paraId="21457832">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烘干工序（含烘干滚筒燃烧器燃油废气）、筛分工序及热骨料仓产生的混合废气，主要污染物为颗粒物、SO</w:t>
            </w:r>
            <w:r>
              <w:rPr>
                <w:rFonts w:hint="eastAsia" w:ascii="Times New Roman" w:hAnsi="Times New Roman" w:eastAsia="宋体" w:cs="Times New Roman"/>
                <w:sz w:val="24"/>
                <w:vertAlign w:val="subscript"/>
              </w:rPr>
              <w:t>2</w:t>
            </w:r>
            <w:r>
              <w:rPr>
                <w:rFonts w:hint="eastAsia" w:ascii="Times New Roman" w:hAnsi="Times New Roman" w:eastAsia="宋体" w:cs="Times New Roman"/>
                <w:sz w:val="24"/>
              </w:rPr>
              <w:t>、NO</w:t>
            </w:r>
            <w:r>
              <w:rPr>
                <w:rFonts w:hint="eastAsia" w:ascii="Times New Roman" w:hAnsi="Times New Roman" w:eastAsia="宋体" w:cs="Times New Roman"/>
                <w:sz w:val="24"/>
                <w:vertAlign w:val="subscript"/>
              </w:rPr>
              <w:t>x</w:t>
            </w:r>
            <w:r>
              <w:rPr>
                <w:rFonts w:hint="eastAsia" w:ascii="Times New Roman" w:hAnsi="Times New Roman" w:eastAsia="宋体" w:cs="Times New Roman"/>
                <w:sz w:val="24"/>
              </w:rPr>
              <w:t>，经“蜗壳除尘+布袋除尘器”处理后，通过1根22m高排气筒（DA001）排放。</w:t>
            </w:r>
          </w:p>
          <w:p w14:paraId="0120DE19">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根据《排污许可证申请与核发技术规范 石墨及其他非金属矿物制品制造》（HJ1119-2020）表21，本项目DA001排气筒颗粒物、SO</w:t>
            </w:r>
            <w:r>
              <w:rPr>
                <w:rFonts w:hint="eastAsia" w:ascii="Times New Roman" w:hAnsi="Times New Roman" w:eastAsia="宋体" w:cs="Times New Roman"/>
                <w:sz w:val="24"/>
                <w:vertAlign w:val="subscript"/>
              </w:rPr>
              <w:t>2</w:t>
            </w:r>
            <w:r>
              <w:rPr>
                <w:rFonts w:hint="eastAsia" w:ascii="Times New Roman" w:hAnsi="Times New Roman" w:eastAsia="宋体" w:cs="Times New Roman"/>
                <w:sz w:val="24"/>
              </w:rPr>
              <w:t>、NO</w:t>
            </w:r>
            <w:r>
              <w:rPr>
                <w:rFonts w:hint="eastAsia" w:ascii="Times New Roman" w:hAnsi="Times New Roman" w:eastAsia="宋体" w:cs="Times New Roman"/>
                <w:sz w:val="24"/>
                <w:vertAlign w:val="subscript"/>
              </w:rPr>
              <w:t>x</w:t>
            </w:r>
            <w:r>
              <w:rPr>
                <w:rFonts w:hint="eastAsia" w:ascii="Times New Roman" w:hAnsi="Times New Roman" w:eastAsia="宋体" w:cs="Times New Roman"/>
                <w:sz w:val="24"/>
              </w:rPr>
              <w:t>执行《大气污染物综合排放标准》(GB16297-1996)中表2新污染源大气污染物排放限值；</w:t>
            </w:r>
            <w:r>
              <w:rPr>
                <w:rFonts w:ascii="Times New Roman" w:hAnsi="Times New Roman" w:eastAsia="宋体" w:cs="Times New Roman"/>
                <w:sz w:val="24"/>
              </w:rPr>
              <w:t>具体标准值见下表。</w:t>
            </w:r>
          </w:p>
          <w:p w14:paraId="64F526F1">
            <w:pPr>
              <w:widowControl/>
              <w:jc w:val="center"/>
              <w:rPr>
                <w:rFonts w:ascii="Times New Roman" w:hAnsi="Times New Roman" w:eastAsia="宋体" w:cs="宋体-PUA"/>
                <w:b/>
                <w:color w:val="FF0000"/>
                <w:sz w:val="24"/>
                <w:shd w:val="clear" w:color="auto" w:fill="FFFFFF"/>
              </w:rPr>
            </w:pPr>
            <w:r>
              <w:rPr>
                <w:rFonts w:hint="eastAsia" w:ascii="Times New Roman" w:hAnsi="Times New Roman" w:eastAsia="宋体" w:cs="宋体-PUA"/>
                <w:b/>
                <w:color w:val="FF0000"/>
                <w:sz w:val="24"/>
                <w:shd w:val="clear" w:color="auto" w:fill="FFFFFF"/>
              </w:rPr>
              <w:t xml:space="preserve">   </w:t>
            </w:r>
            <w:r>
              <w:rPr>
                <w:rFonts w:hint="eastAsia" w:ascii="Times New Roman" w:hAnsi="Times New Roman" w:eastAsia="宋体" w:cs="宋体-PUA"/>
                <w:b/>
                <w:sz w:val="24"/>
                <w:shd w:val="clear" w:color="auto" w:fill="FFFFFF"/>
              </w:rPr>
              <w:t xml:space="preserve"> 表3-9 《大气污染物综合排放标准》（GB16297- 1996）</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835"/>
              <w:gridCol w:w="1673"/>
              <w:gridCol w:w="908"/>
              <w:gridCol w:w="1660"/>
              <w:gridCol w:w="891"/>
            </w:tblGrid>
            <w:tr w14:paraId="17CC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573" w:type="pct"/>
                  <w:vMerge w:val="restart"/>
                  <w:tcBorders>
                    <w:tl2br w:val="nil"/>
                    <w:tr2bl w:val="nil"/>
                  </w:tcBorders>
                  <w:vAlign w:val="center"/>
                </w:tcPr>
                <w:p w14:paraId="2BE3DECB">
                  <w:pPr>
                    <w:jc w:val="center"/>
                    <w:rPr>
                      <w:rFonts w:ascii="Times New Roman" w:hAnsi="Times New Roman" w:cs="Times New Roman"/>
                      <w:b/>
                      <w:bCs/>
                      <w:szCs w:val="21"/>
                    </w:rPr>
                  </w:pPr>
                  <w:r>
                    <w:rPr>
                      <w:rFonts w:hint="eastAsia" w:ascii="Times New Roman" w:hAnsi="Times New Roman" w:cs="Times New Roman"/>
                      <w:b/>
                      <w:bCs/>
                      <w:szCs w:val="21"/>
                    </w:rPr>
                    <w:t>污染物</w:t>
                  </w:r>
                </w:p>
              </w:tc>
              <w:tc>
                <w:tcPr>
                  <w:tcW w:w="1166" w:type="pct"/>
                  <w:vMerge w:val="restart"/>
                  <w:tcBorders>
                    <w:tl2br w:val="nil"/>
                    <w:tr2bl w:val="nil"/>
                  </w:tcBorders>
                  <w:vAlign w:val="center"/>
                </w:tcPr>
                <w:p w14:paraId="5FE6DE9F">
                  <w:pPr>
                    <w:jc w:val="center"/>
                    <w:rPr>
                      <w:rFonts w:ascii="Times New Roman" w:hAnsi="Times New Roman" w:cs="Times New Roman"/>
                      <w:b/>
                      <w:bCs/>
                      <w:szCs w:val="21"/>
                    </w:rPr>
                  </w:pPr>
                  <w:r>
                    <w:rPr>
                      <w:rFonts w:hint="eastAsia" w:ascii="Times New Roman" w:hAnsi="Times New Roman" w:cs="Times New Roman"/>
                      <w:b/>
                      <w:bCs/>
                      <w:szCs w:val="21"/>
                    </w:rPr>
                    <w:t>最高允许排放浓度mg/m</w:t>
                  </w:r>
                  <w:r>
                    <w:rPr>
                      <w:rFonts w:ascii="Times New Roman" w:hAnsi="Times New Roman" w:cs="Times New Roman"/>
                      <w:b/>
                      <w:bCs/>
                      <w:szCs w:val="21"/>
                      <w:vertAlign w:val="superscript"/>
                    </w:rPr>
                    <w:t>3</w:t>
                  </w:r>
                </w:p>
              </w:tc>
              <w:tc>
                <w:tcPr>
                  <w:tcW w:w="1640" w:type="pct"/>
                  <w:gridSpan w:val="2"/>
                  <w:tcBorders>
                    <w:bottom w:val="single" w:color="000000" w:sz="4" w:space="0"/>
                    <w:tl2br w:val="nil"/>
                    <w:tr2bl w:val="nil"/>
                  </w:tcBorders>
                  <w:vAlign w:val="center"/>
                </w:tcPr>
                <w:p w14:paraId="36F7618A">
                  <w:pPr>
                    <w:jc w:val="center"/>
                    <w:rPr>
                      <w:rFonts w:ascii="Times New Roman" w:hAnsi="Times New Roman" w:cs="Times New Roman"/>
                      <w:b/>
                      <w:bCs/>
                      <w:szCs w:val="21"/>
                    </w:rPr>
                  </w:pPr>
                  <w:r>
                    <w:rPr>
                      <w:rFonts w:hint="eastAsia" w:ascii="Times New Roman" w:hAnsi="Times New Roman" w:cs="Times New Roman"/>
                      <w:b/>
                      <w:bCs/>
                      <w:szCs w:val="21"/>
                    </w:rPr>
                    <w:t>最高允许排放速率（kg/</w:t>
                  </w:r>
                  <w:r>
                    <w:rPr>
                      <w:rFonts w:ascii="Times New Roman" w:hAnsi="Times New Roman" w:cs="Times New Roman"/>
                      <w:b/>
                      <w:bCs/>
                      <w:szCs w:val="21"/>
                    </w:rPr>
                    <w:t>h</w:t>
                  </w:r>
                  <w:r>
                    <w:rPr>
                      <w:rFonts w:hint="eastAsia" w:ascii="Times New Roman" w:hAnsi="Times New Roman" w:cs="Times New Roman"/>
                      <w:b/>
                      <w:bCs/>
                      <w:szCs w:val="21"/>
                    </w:rPr>
                    <w:t>）</w:t>
                  </w:r>
                </w:p>
              </w:tc>
              <w:tc>
                <w:tcPr>
                  <w:tcW w:w="1618" w:type="pct"/>
                  <w:gridSpan w:val="2"/>
                  <w:tcBorders>
                    <w:tl2br w:val="nil"/>
                    <w:tr2bl w:val="nil"/>
                  </w:tcBorders>
                  <w:vAlign w:val="center"/>
                </w:tcPr>
                <w:p w14:paraId="4B65B490">
                  <w:pPr>
                    <w:jc w:val="center"/>
                    <w:rPr>
                      <w:rFonts w:ascii="Times New Roman" w:hAnsi="Times New Roman" w:cs="Times New Roman"/>
                      <w:b/>
                      <w:bCs/>
                      <w:szCs w:val="21"/>
                    </w:rPr>
                  </w:pPr>
                  <w:r>
                    <w:rPr>
                      <w:rFonts w:hint="eastAsia" w:ascii="Times New Roman" w:hAnsi="Times New Roman" w:cs="Times New Roman"/>
                      <w:b/>
                      <w:bCs/>
                      <w:szCs w:val="21"/>
                    </w:rPr>
                    <w:t>最高允许排放速率严格50%执行后（kg/</w:t>
                  </w:r>
                  <w:r>
                    <w:rPr>
                      <w:rFonts w:ascii="Times New Roman" w:hAnsi="Times New Roman" w:cs="Times New Roman"/>
                      <w:b/>
                      <w:bCs/>
                      <w:szCs w:val="21"/>
                    </w:rPr>
                    <w:t>h</w:t>
                  </w:r>
                  <w:r>
                    <w:rPr>
                      <w:rFonts w:hint="eastAsia" w:ascii="Times New Roman" w:hAnsi="Times New Roman" w:cs="Times New Roman"/>
                      <w:b/>
                      <w:bCs/>
                      <w:szCs w:val="21"/>
                    </w:rPr>
                    <w:t>）</w:t>
                  </w:r>
                </w:p>
              </w:tc>
            </w:tr>
            <w:tr w14:paraId="01562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573" w:type="pct"/>
                  <w:vMerge w:val="continue"/>
                  <w:tcBorders>
                    <w:tl2br w:val="nil"/>
                    <w:tr2bl w:val="nil"/>
                  </w:tcBorders>
                  <w:vAlign w:val="center"/>
                </w:tcPr>
                <w:p w14:paraId="27B27353">
                  <w:pPr>
                    <w:jc w:val="center"/>
                    <w:rPr>
                      <w:rFonts w:ascii="Times New Roman" w:hAnsi="Times New Roman" w:cs="Times New Roman"/>
                      <w:b/>
                      <w:bCs/>
                      <w:szCs w:val="21"/>
                    </w:rPr>
                  </w:pPr>
                </w:p>
              </w:tc>
              <w:tc>
                <w:tcPr>
                  <w:tcW w:w="1166" w:type="pct"/>
                  <w:vMerge w:val="continue"/>
                  <w:tcBorders>
                    <w:tl2br w:val="nil"/>
                    <w:tr2bl w:val="nil"/>
                  </w:tcBorders>
                  <w:vAlign w:val="center"/>
                </w:tcPr>
                <w:p w14:paraId="03FF0010">
                  <w:pPr>
                    <w:jc w:val="center"/>
                    <w:rPr>
                      <w:rFonts w:ascii="Times New Roman" w:hAnsi="Times New Roman" w:cs="Times New Roman"/>
                      <w:b/>
                      <w:bCs/>
                      <w:szCs w:val="21"/>
                    </w:rPr>
                  </w:pPr>
                </w:p>
              </w:tc>
              <w:tc>
                <w:tcPr>
                  <w:tcW w:w="1063" w:type="pct"/>
                  <w:tcBorders>
                    <w:top w:val="single" w:color="000000" w:sz="4" w:space="0"/>
                    <w:right w:val="single" w:color="000000" w:sz="4" w:space="0"/>
                    <w:tl2br w:val="nil"/>
                    <w:tr2bl w:val="nil"/>
                  </w:tcBorders>
                  <w:vAlign w:val="center"/>
                </w:tcPr>
                <w:p w14:paraId="68B20F2C">
                  <w:pPr>
                    <w:jc w:val="center"/>
                    <w:rPr>
                      <w:rFonts w:ascii="Times New Roman" w:hAnsi="Times New Roman" w:cs="Times New Roman"/>
                      <w:b/>
                      <w:bCs/>
                      <w:szCs w:val="21"/>
                    </w:rPr>
                  </w:pPr>
                  <w:r>
                    <w:rPr>
                      <w:rFonts w:hint="eastAsia" w:ascii="Times New Roman" w:hAnsi="Times New Roman" w:cs="Times New Roman"/>
                      <w:b/>
                      <w:bCs/>
                      <w:szCs w:val="21"/>
                    </w:rPr>
                    <w:t>排气筒高度 ，m</w:t>
                  </w:r>
                </w:p>
              </w:tc>
              <w:tc>
                <w:tcPr>
                  <w:tcW w:w="577" w:type="pct"/>
                  <w:tcBorders>
                    <w:top w:val="single" w:color="000000" w:sz="4" w:space="0"/>
                    <w:left w:val="single" w:color="000000" w:sz="4" w:space="0"/>
                    <w:tl2br w:val="nil"/>
                    <w:tr2bl w:val="nil"/>
                  </w:tcBorders>
                  <w:vAlign w:val="center"/>
                </w:tcPr>
                <w:p w14:paraId="11FCEF04">
                  <w:pPr>
                    <w:jc w:val="center"/>
                    <w:rPr>
                      <w:rFonts w:ascii="Times New Roman" w:hAnsi="Times New Roman" w:cs="Times New Roman"/>
                      <w:b/>
                      <w:bCs/>
                      <w:szCs w:val="21"/>
                    </w:rPr>
                  </w:pPr>
                  <w:r>
                    <w:rPr>
                      <w:rFonts w:hint="eastAsia" w:ascii="Times New Roman" w:hAnsi="Times New Roman" w:cs="Times New Roman"/>
                      <w:b/>
                      <w:bCs/>
                      <w:szCs w:val="21"/>
                    </w:rPr>
                    <w:t>二级</w:t>
                  </w:r>
                </w:p>
              </w:tc>
              <w:tc>
                <w:tcPr>
                  <w:tcW w:w="1055" w:type="pct"/>
                  <w:tcBorders>
                    <w:top w:val="single" w:color="000000" w:sz="4" w:space="0"/>
                    <w:right w:val="single" w:color="000000" w:sz="4" w:space="0"/>
                    <w:tl2br w:val="nil"/>
                    <w:tr2bl w:val="nil"/>
                  </w:tcBorders>
                  <w:vAlign w:val="center"/>
                </w:tcPr>
                <w:p w14:paraId="2F6A32BD">
                  <w:pPr>
                    <w:jc w:val="center"/>
                    <w:rPr>
                      <w:rFonts w:ascii="Times New Roman" w:hAnsi="Times New Roman" w:cs="Times New Roman"/>
                      <w:b/>
                      <w:bCs/>
                      <w:szCs w:val="21"/>
                    </w:rPr>
                  </w:pPr>
                  <w:r>
                    <w:rPr>
                      <w:rFonts w:hint="eastAsia" w:ascii="Times New Roman" w:hAnsi="Times New Roman" w:cs="Times New Roman"/>
                      <w:b/>
                      <w:bCs/>
                      <w:szCs w:val="21"/>
                    </w:rPr>
                    <w:t>排气筒高度 ，m</w:t>
                  </w:r>
                </w:p>
              </w:tc>
              <w:tc>
                <w:tcPr>
                  <w:tcW w:w="563" w:type="pct"/>
                  <w:tcBorders>
                    <w:top w:val="single" w:color="000000" w:sz="4" w:space="0"/>
                    <w:left w:val="single" w:color="000000" w:sz="4" w:space="0"/>
                    <w:tl2br w:val="nil"/>
                    <w:tr2bl w:val="nil"/>
                  </w:tcBorders>
                  <w:vAlign w:val="center"/>
                </w:tcPr>
                <w:p w14:paraId="18293EAD">
                  <w:pPr>
                    <w:jc w:val="center"/>
                    <w:rPr>
                      <w:rFonts w:ascii="Times New Roman" w:hAnsi="Times New Roman" w:cs="Times New Roman"/>
                      <w:b/>
                      <w:bCs/>
                      <w:szCs w:val="21"/>
                    </w:rPr>
                  </w:pPr>
                  <w:r>
                    <w:rPr>
                      <w:rFonts w:hint="eastAsia" w:ascii="Times New Roman" w:hAnsi="Times New Roman" w:cs="Times New Roman"/>
                      <w:b/>
                      <w:bCs/>
                      <w:szCs w:val="21"/>
                    </w:rPr>
                    <w:t>二级</w:t>
                  </w:r>
                </w:p>
              </w:tc>
            </w:tr>
            <w:tr w14:paraId="46416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73" w:type="pct"/>
                  <w:tcBorders>
                    <w:tl2br w:val="nil"/>
                    <w:tr2bl w:val="nil"/>
                  </w:tcBorders>
                  <w:vAlign w:val="center"/>
                </w:tcPr>
                <w:p w14:paraId="612E6E24">
                  <w:pPr>
                    <w:jc w:val="center"/>
                    <w:rPr>
                      <w:rFonts w:ascii="Times New Roman" w:hAnsi="Times New Roman" w:cs="Times New Roman"/>
                      <w:szCs w:val="21"/>
                    </w:rPr>
                  </w:pPr>
                  <w:r>
                    <w:rPr>
                      <w:rFonts w:hint="eastAsia" w:ascii="Times New Roman" w:hAnsi="Times New Roman" w:eastAsia="宋体" w:cs="Times New Roman"/>
                      <w:szCs w:val="21"/>
                    </w:rPr>
                    <w:t>颗粒物</w:t>
                  </w:r>
                </w:p>
              </w:tc>
              <w:tc>
                <w:tcPr>
                  <w:tcW w:w="1166" w:type="pct"/>
                  <w:tcBorders>
                    <w:tl2br w:val="nil"/>
                    <w:tr2bl w:val="nil"/>
                  </w:tcBorders>
                  <w:vAlign w:val="center"/>
                </w:tcPr>
                <w:p w14:paraId="4D444B9F">
                  <w:pPr>
                    <w:jc w:val="center"/>
                    <w:rPr>
                      <w:rFonts w:ascii="Times New Roman" w:hAnsi="Times New Roman" w:cs="Times New Roman"/>
                      <w:szCs w:val="21"/>
                    </w:rPr>
                  </w:pPr>
                  <w:r>
                    <w:rPr>
                      <w:rFonts w:hint="eastAsia" w:ascii="Times New Roman" w:hAnsi="Times New Roman" w:cs="Times New Roman"/>
                      <w:szCs w:val="21"/>
                    </w:rPr>
                    <w:t>120</w:t>
                  </w:r>
                </w:p>
              </w:tc>
              <w:tc>
                <w:tcPr>
                  <w:tcW w:w="1063" w:type="pct"/>
                  <w:tcBorders>
                    <w:right w:val="single" w:color="000000" w:sz="4" w:space="0"/>
                    <w:tl2br w:val="nil"/>
                    <w:tr2bl w:val="nil"/>
                  </w:tcBorders>
                  <w:vAlign w:val="center"/>
                </w:tcPr>
                <w:p w14:paraId="5015F152">
                  <w:pPr>
                    <w:jc w:val="center"/>
                    <w:rPr>
                      <w:rFonts w:ascii="Times New Roman" w:hAnsi="Times New Roman" w:cs="Times New Roman"/>
                      <w:szCs w:val="21"/>
                    </w:rPr>
                  </w:pPr>
                  <w:r>
                    <w:rPr>
                      <w:rFonts w:hint="eastAsia" w:ascii="Times New Roman" w:hAnsi="Times New Roman" w:cs="Times New Roman"/>
                      <w:szCs w:val="21"/>
                    </w:rPr>
                    <w:t>22</w:t>
                  </w:r>
                </w:p>
              </w:tc>
              <w:tc>
                <w:tcPr>
                  <w:tcW w:w="577" w:type="pct"/>
                  <w:tcBorders>
                    <w:left w:val="single" w:color="000000" w:sz="4" w:space="0"/>
                    <w:tl2br w:val="nil"/>
                    <w:tr2bl w:val="nil"/>
                  </w:tcBorders>
                  <w:vAlign w:val="center"/>
                </w:tcPr>
                <w:p w14:paraId="74D7B977">
                  <w:pPr>
                    <w:jc w:val="center"/>
                    <w:rPr>
                      <w:rFonts w:ascii="Times New Roman" w:hAnsi="Times New Roman" w:cs="Times New Roman"/>
                      <w:szCs w:val="21"/>
                    </w:rPr>
                  </w:pPr>
                  <w:r>
                    <w:rPr>
                      <w:rFonts w:hint="eastAsia" w:ascii="Times New Roman" w:hAnsi="Times New Roman" w:cs="Times New Roman"/>
                      <w:szCs w:val="21"/>
                    </w:rPr>
                    <w:t>9.32</w:t>
                  </w:r>
                </w:p>
              </w:tc>
              <w:tc>
                <w:tcPr>
                  <w:tcW w:w="1055" w:type="pct"/>
                  <w:tcBorders>
                    <w:right w:val="single" w:color="000000" w:sz="4" w:space="0"/>
                    <w:tl2br w:val="nil"/>
                    <w:tr2bl w:val="nil"/>
                  </w:tcBorders>
                  <w:vAlign w:val="center"/>
                </w:tcPr>
                <w:p w14:paraId="12F312E7">
                  <w:pPr>
                    <w:jc w:val="center"/>
                    <w:rPr>
                      <w:rFonts w:ascii="Times New Roman" w:hAnsi="Times New Roman" w:cs="Times New Roman"/>
                      <w:szCs w:val="21"/>
                    </w:rPr>
                  </w:pPr>
                  <w:r>
                    <w:rPr>
                      <w:rFonts w:hint="eastAsia" w:ascii="Times New Roman" w:hAnsi="Times New Roman" w:cs="Times New Roman"/>
                      <w:szCs w:val="21"/>
                    </w:rPr>
                    <w:t>22</w:t>
                  </w:r>
                </w:p>
              </w:tc>
              <w:tc>
                <w:tcPr>
                  <w:tcW w:w="563" w:type="pct"/>
                  <w:tcBorders>
                    <w:left w:val="single" w:color="000000" w:sz="4" w:space="0"/>
                    <w:tl2br w:val="nil"/>
                    <w:tr2bl w:val="nil"/>
                  </w:tcBorders>
                  <w:vAlign w:val="center"/>
                </w:tcPr>
                <w:p w14:paraId="1228E763">
                  <w:pPr>
                    <w:jc w:val="center"/>
                    <w:rPr>
                      <w:rFonts w:ascii="Times New Roman" w:hAnsi="Times New Roman" w:cs="Times New Roman"/>
                      <w:szCs w:val="21"/>
                    </w:rPr>
                  </w:pPr>
                  <w:r>
                    <w:rPr>
                      <w:rFonts w:hint="eastAsia" w:ascii="Times New Roman" w:hAnsi="Times New Roman" w:cs="Times New Roman"/>
                      <w:szCs w:val="21"/>
                    </w:rPr>
                    <w:t>4.66</w:t>
                  </w:r>
                </w:p>
              </w:tc>
            </w:tr>
            <w:tr w14:paraId="0E06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73" w:type="pct"/>
                  <w:tcBorders>
                    <w:tl2br w:val="nil"/>
                    <w:tr2bl w:val="nil"/>
                  </w:tcBorders>
                  <w:vAlign w:val="center"/>
                </w:tcPr>
                <w:p w14:paraId="573F8EAE">
                  <w:pPr>
                    <w:jc w:val="center"/>
                    <w:rPr>
                      <w:rFonts w:ascii="Times New Roman" w:hAnsi="Times New Roman" w:cs="Times New Roman"/>
                      <w:szCs w:val="21"/>
                    </w:rPr>
                  </w:pPr>
                  <w:r>
                    <w:rPr>
                      <w:rFonts w:hint="eastAsia" w:ascii="Times New Roman" w:hAnsi="Times New Roman" w:eastAsia="宋体" w:cs="Times New Roman"/>
                      <w:szCs w:val="21"/>
                    </w:rPr>
                    <w:t>SO</w:t>
                  </w:r>
                  <w:r>
                    <w:rPr>
                      <w:rFonts w:hint="eastAsia" w:ascii="Times New Roman" w:hAnsi="Times New Roman" w:eastAsia="宋体" w:cs="Times New Roman"/>
                      <w:szCs w:val="21"/>
                      <w:vertAlign w:val="subscript"/>
                    </w:rPr>
                    <w:t>2</w:t>
                  </w:r>
                </w:p>
              </w:tc>
              <w:tc>
                <w:tcPr>
                  <w:tcW w:w="1166" w:type="pct"/>
                  <w:tcBorders>
                    <w:tl2br w:val="nil"/>
                    <w:tr2bl w:val="nil"/>
                  </w:tcBorders>
                  <w:vAlign w:val="center"/>
                </w:tcPr>
                <w:p w14:paraId="3C518D04">
                  <w:pPr>
                    <w:jc w:val="center"/>
                    <w:rPr>
                      <w:rFonts w:ascii="Times New Roman" w:hAnsi="Times New Roman" w:cs="Times New Roman"/>
                      <w:szCs w:val="21"/>
                    </w:rPr>
                  </w:pPr>
                  <w:r>
                    <w:rPr>
                      <w:rFonts w:hint="eastAsia" w:ascii="Times New Roman" w:hAnsi="Times New Roman" w:cs="Times New Roman"/>
                      <w:szCs w:val="21"/>
                    </w:rPr>
                    <w:t>550</w:t>
                  </w:r>
                </w:p>
              </w:tc>
              <w:tc>
                <w:tcPr>
                  <w:tcW w:w="1063" w:type="pct"/>
                  <w:tcBorders>
                    <w:right w:val="single" w:color="000000" w:sz="4" w:space="0"/>
                    <w:tl2br w:val="nil"/>
                    <w:tr2bl w:val="nil"/>
                  </w:tcBorders>
                  <w:vAlign w:val="center"/>
                </w:tcPr>
                <w:p w14:paraId="1F9BAA32">
                  <w:pPr>
                    <w:jc w:val="center"/>
                    <w:rPr>
                      <w:rFonts w:ascii="Times New Roman" w:hAnsi="Times New Roman" w:cs="Times New Roman"/>
                      <w:szCs w:val="21"/>
                    </w:rPr>
                  </w:pPr>
                  <w:r>
                    <w:rPr>
                      <w:rFonts w:hint="eastAsia" w:ascii="Times New Roman" w:hAnsi="Times New Roman" w:cs="Times New Roman"/>
                      <w:szCs w:val="21"/>
                    </w:rPr>
                    <w:t>22</w:t>
                  </w:r>
                </w:p>
              </w:tc>
              <w:tc>
                <w:tcPr>
                  <w:tcW w:w="577" w:type="pct"/>
                  <w:tcBorders>
                    <w:left w:val="single" w:color="000000" w:sz="4" w:space="0"/>
                    <w:tl2br w:val="nil"/>
                    <w:tr2bl w:val="nil"/>
                  </w:tcBorders>
                  <w:vAlign w:val="center"/>
                </w:tcPr>
                <w:p w14:paraId="31DD0E8A">
                  <w:pPr>
                    <w:jc w:val="center"/>
                    <w:rPr>
                      <w:rFonts w:ascii="Times New Roman" w:hAnsi="Times New Roman" w:cs="Times New Roman"/>
                      <w:szCs w:val="21"/>
                    </w:rPr>
                  </w:pPr>
                  <w:r>
                    <w:rPr>
                      <w:rFonts w:hint="eastAsia" w:ascii="Times New Roman" w:hAnsi="Times New Roman" w:cs="Times New Roman"/>
                      <w:szCs w:val="21"/>
                    </w:rPr>
                    <w:t>5.38</w:t>
                  </w:r>
                </w:p>
              </w:tc>
              <w:tc>
                <w:tcPr>
                  <w:tcW w:w="1055" w:type="pct"/>
                  <w:tcBorders>
                    <w:right w:val="single" w:color="000000" w:sz="4" w:space="0"/>
                    <w:tl2br w:val="nil"/>
                    <w:tr2bl w:val="nil"/>
                  </w:tcBorders>
                  <w:vAlign w:val="center"/>
                </w:tcPr>
                <w:p w14:paraId="08839DD3">
                  <w:pPr>
                    <w:jc w:val="center"/>
                    <w:rPr>
                      <w:rFonts w:ascii="Times New Roman" w:hAnsi="Times New Roman" w:cs="Times New Roman"/>
                      <w:szCs w:val="21"/>
                    </w:rPr>
                  </w:pPr>
                  <w:r>
                    <w:rPr>
                      <w:rFonts w:hint="eastAsia" w:ascii="Times New Roman" w:hAnsi="Times New Roman" w:cs="Times New Roman"/>
                      <w:szCs w:val="21"/>
                    </w:rPr>
                    <w:t>22</w:t>
                  </w:r>
                </w:p>
              </w:tc>
              <w:tc>
                <w:tcPr>
                  <w:tcW w:w="563" w:type="pct"/>
                  <w:tcBorders>
                    <w:left w:val="single" w:color="000000" w:sz="4" w:space="0"/>
                    <w:tl2br w:val="nil"/>
                    <w:tr2bl w:val="nil"/>
                  </w:tcBorders>
                  <w:vAlign w:val="center"/>
                </w:tcPr>
                <w:p w14:paraId="3C4A6B63">
                  <w:pPr>
                    <w:jc w:val="center"/>
                    <w:rPr>
                      <w:rFonts w:ascii="Times New Roman" w:hAnsi="Times New Roman" w:cs="Times New Roman"/>
                      <w:szCs w:val="21"/>
                    </w:rPr>
                  </w:pPr>
                  <w:r>
                    <w:rPr>
                      <w:rFonts w:hint="eastAsia" w:ascii="Times New Roman" w:hAnsi="Times New Roman" w:cs="Times New Roman"/>
                      <w:szCs w:val="21"/>
                    </w:rPr>
                    <w:t>2.69</w:t>
                  </w:r>
                </w:p>
              </w:tc>
            </w:tr>
            <w:tr w14:paraId="58330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73" w:type="pct"/>
                  <w:tcBorders>
                    <w:tl2br w:val="nil"/>
                    <w:tr2bl w:val="nil"/>
                  </w:tcBorders>
                  <w:vAlign w:val="center"/>
                </w:tcPr>
                <w:p w14:paraId="2DCC390F">
                  <w:pPr>
                    <w:jc w:val="center"/>
                    <w:rPr>
                      <w:rFonts w:ascii="Times New Roman" w:hAnsi="Times New Roman" w:cs="Times New Roman"/>
                      <w:szCs w:val="21"/>
                    </w:rPr>
                  </w:pPr>
                  <w:r>
                    <w:rPr>
                      <w:rFonts w:hint="eastAsia" w:ascii="Times New Roman" w:hAnsi="Times New Roman" w:eastAsia="宋体" w:cs="Times New Roman"/>
                      <w:szCs w:val="21"/>
                    </w:rPr>
                    <w:t>NO</w:t>
                  </w:r>
                  <w:r>
                    <w:rPr>
                      <w:rFonts w:hint="eastAsia" w:ascii="Times New Roman" w:hAnsi="Times New Roman" w:eastAsia="宋体" w:cs="Times New Roman"/>
                      <w:szCs w:val="21"/>
                      <w:vertAlign w:val="subscript"/>
                    </w:rPr>
                    <w:t>x</w:t>
                  </w:r>
                </w:p>
              </w:tc>
              <w:tc>
                <w:tcPr>
                  <w:tcW w:w="1166" w:type="pct"/>
                  <w:tcBorders>
                    <w:tl2br w:val="nil"/>
                    <w:tr2bl w:val="nil"/>
                  </w:tcBorders>
                  <w:vAlign w:val="center"/>
                </w:tcPr>
                <w:p w14:paraId="0EB5C740">
                  <w:pPr>
                    <w:jc w:val="center"/>
                    <w:rPr>
                      <w:rFonts w:ascii="Times New Roman" w:hAnsi="Times New Roman" w:cs="Times New Roman"/>
                      <w:szCs w:val="21"/>
                    </w:rPr>
                  </w:pPr>
                  <w:r>
                    <w:rPr>
                      <w:rFonts w:hint="eastAsia" w:ascii="Times New Roman" w:hAnsi="Times New Roman" w:cs="Times New Roman"/>
                      <w:szCs w:val="21"/>
                    </w:rPr>
                    <w:t>240</w:t>
                  </w:r>
                </w:p>
              </w:tc>
              <w:tc>
                <w:tcPr>
                  <w:tcW w:w="1063" w:type="pct"/>
                  <w:tcBorders>
                    <w:right w:val="single" w:color="000000" w:sz="4" w:space="0"/>
                    <w:tl2br w:val="nil"/>
                    <w:tr2bl w:val="nil"/>
                  </w:tcBorders>
                  <w:vAlign w:val="center"/>
                </w:tcPr>
                <w:p w14:paraId="6EA98AB5">
                  <w:pPr>
                    <w:jc w:val="center"/>
                    <w:rPr>
                      <w:rFonts w:ascii="Times New Roman" w:hAnsi="Times New Roman" w:cs="Times New Roman"/>
                      <w:szCs w:val="21"/>
                    </w:rPr>
                  </w:pPr>
                  <w:r>
                    <w:rPr>
                      <w:rFonts w:hint="eastAsia" w:ascii="Times New Roman" w:hAnsi="Times New Roman" w:cs="Times New Roman"/>
                      <w:szCs w:val="21"/>
                    </w:rPr>
                    <w:t>22</w:t>
                  </w:r>
                </w:p>
              </w:tc>
              <w:tc>
                <w:tcPr>
                  <w:tcW w:w="577" w:type="pct"/>
                  <w:tcBorders>
                    <w:left w:val="single" w:color="000000" w:sz="4" w:space="0"/>
                    <w:tl2br w:val="nil"/>
                    <w:tr2bl w:val="nil"/>
                  </w:tcBorders>
                  <w:vAlign w:val="center"/>
                </w:tcPr>
                <w:p w14:paraId="793B4540">
                  <w:pPr>
                    <w:jc w:val="center"/>
                    <w:rPr>
                      <w:rFonts w:ascii="Times New Roman" w:hAnsi="Times New Roman" w:cs="Times New Roman"/>
                      <w:szCs w:val="21"/>
                    </w:rPr>
                  </w:pPr>
                  <w:r>
                    <w:rPr>
                      <w:rFonts w:hint="eastAsia" w:ascii="Times New Roman" w:hAnsi="Times New Roman" w:cs="Times New Roman"/>
                      <w:szCs w:val="21"/>
                    </w:rPr>
                    <w:t>1.92</w:t>
                  </w:r>
                </w:p>
              </w:tc>
              <w:tc>
                <w:tcPr>
                  <w:tcW w:w="1055" w:type="pct"/>
                  <w:tcBorders>
                    <w:right w:val="single" w:color="000000" w:sz="4" w:space="0"/>
                    <w:tl2br w:val="nil"/>
                    <w:tr2bl w:val="nil"/>
                  </w:tcBorders>
                  <w:vAlign w:val="center"/>
                </w:tcPr>
                <w:p w14:paraId="71DCA00F">
                  <w:pPr>
                    <w:jc w:val="center"/>
                    <w:rPr>
                      <w:rFonts w:ascii="Times New Roman" w:hAnsi="Times New Roman" w:cs="Times New Roman"/>
                      <w:szCs w:val="21"/>
                    </w:rPr>
                  </w:pPr>
                  <w:r>
                    <w:rPr>
                      <w:rFonts w:hint="eastAsia" w:ascii="Times New Roman" w:hAnsi="Times New Roman" w:cs="Times New Roman"/>
                      <w:szCs w:val="21"/>
                    </w:rPr>
                    <w:t>22</w:t>
                  </w:r>
                </w:p>
              </w:tc>
              <w:tc>
                <w:tcPr>
                  <w:tcW w:w="563" w:type="pct"/>
                  <w:tcBorders>
                    <w:left w:val="single" w:color="000000" w:sz="4" w:space="0"/>
                    <w:tl2br w:val="nil"/>
                    <w:tr2bl w:val="nil"/>
                  </w:tcBorders>
                  <w:vAlign w:val="center"/>
                </w:tcPr>
                <w:p w14:paraId="37F54A5F">
                  <w:pPr>
                    <w:jc w:val="center"/>
                    <w:rPr>
                      <w:rFonts w:ascii="Times New Roman" w:hAnsi="Times New Roman" w:cs="Times New Roman"/>
                      <w:szCs w:val="21"/>
                    </w:rPr>
                  </w:pPr>
                  <w:r>
                    <w:rPr>
                      <w:rFonts w:hint="eastAsia" w:ascii="Times New Roman" w:hAnsi="Times New Roman" w:cs="Times New Roman"/>
                      <w:szCs w:val="21"/>
                    </w:rPr>
                    <w:t>0.96</w:t>
                  </w:r>
                </w:p>
              </w:tc>
            </w:tr>
            <w:tr w14:paraId="2260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6"/>
                  <w:tcBorders>
                    <w:tl2br w:val="nil"/>
                    <w:tr2bl w:val="nil"/>
                  </w:tcBorders>
                  <w:vAlign w:val="center"/>
                </w:tcPr>
                <w:p w14:paraId="379958EB">
                  <w:pPr>
                    <w:rPr>
                      <w:rFonts w:ascii="Times New Roman" w:hAnsi="Times New Roman" w:cs="Times New Roman"/>
                      <w:szCs w:val="21"/>
                    </w:rPr>
                  </w:pPr>
                  <w:r>
                    <w:rPr>
                      <w:rFonts w:hint="eastAsia" w:ascii="Times New Roman" w:hAnsi="Times New Roman" w:cs="Times New Roman"/>
                      <w:szCs w:val="21"/>
                    </w:rPr>
                    <w:t>注1：</w:t>
                  </w:r>
                  <w:r>
                    <w:rPr>
                      <w:rFonts w:ascii="Times New Roman" w:hAnsi="Times New Roman" w:cs="Times New Roman"/>
                      <w:szCs w:val="21"/>
                    </w:rPr>
                    <w:t>DA001</w:t>
                  </w:r>
                  <w:r>
                    <w:rPr>
                      <w:rFonts w:hint="eastAsia" w:ascii="Times New Roman" w:hAnsi="Times New Roman" w:cs="Times New Roman"/>
                      <w:szCs w:val="21"/>
                    </w:rPr>
                    <w:t>排气筒高度取沥青拌合楼高度为22m，各污染物排放速率采用内插法计算。</w:t>
                  </w:r>
                </w:p>
                <w:p w14:paraId="10F5022C">
                  <w:pPr>
                    <w:rPr>
                      <w:rFonts w:ascii="Times New Roman" w:hAnsi="Times New Roman" w:cs="Times New Roman"/>
                      <w:color w:val="FF0000"/>
                      <w:szCs w:val="21"/>
                    </w:rPr>
                  </w:pPr>
                  <w:r>
                    <w:rPr>
                      <w:rFonts w:hint="eastAsia" w:ascii="Times New Roman" w:hAnsi="Times New Roman" w:cs="Times New Roman"/>
                      <w:szCs w:val="21"/>
                    </w:rPr>
                    <w:t>注2：《大气污染物综合排放标准》（GB16297-1996）要求：“排气筒高度除须遵守表列排放速率标准值外，还应高出周围200m半径范围的建筑5m以上，不能达到该要求的排气筒，应按其高度对应的表列排放速率标准值严格50%执行”。本项目DA001排气筒高度为22 m，厂区最高建（构）筑物为沥青拌合楼，高度约22 m，经现场调查，本项目周边200 m范围内存在高度超过排气筒高度的建（构）筑物，因此DA001排气筒各污染物最高允许排放速率严格50%执行。</w:t>
                  </w:r>
                </w:p>
              </w:tc>
            </w:tr>
          </w:tbl>
          <w:p w14:paraId="7D74C48C">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Times New Roman" w:eastAsia="宋体" w:cs="Times New Roman"/>
                <w:sz w:val="24"/>
              </w:rPr>
              <w:t>DA00</w:t>
            </w:r>
            <w:r>
              <w:rPr>
                <w:rFonts w:hint="eastAsia" w:ascii="Times New Roman" w:hAnsi="Times New Roman" w:eastAsia="宋体" w:cs="Times New Roman"/>
                <w:sz w:val="24"/>
              </w:rPr>
              <w:t>2排气筒</w:t>
            </w:r>
          </w:p>
          <w:p w14:paraId="03A52699">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本项目DA002排气筒颗粒物、沥青烟、苯并[a]芘、非甲烷总烃执行《大气污染物综合排放标准》(GB16297-1996)中表2新污染源大气污染物排放限值；</w:t>
            </w:r>
            <w:r>
              <w:rPr>
                <w:rFonts w:ascii="Times New Roman" w:hAnsi="Times New Roman" w:eastAsia="宋体" w:cs="Times New Roman"/>
                <w:sz w:val="24"/>
              </w:rPr>
              <w:t>具体标准值见下表。</w:t>
            </w:r>
          </w:p>
          <w:p w14:paraId="71C6793F">
            <w:pPr>
              <w:widowControl/>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 xml:space="preserve"> 表3-10 《大气污染物综合排放标准》（GB16297- 1996）</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835"/>
              <w:gridCol w:w="1673"/>
              <w:gridCol w:w="908"/>
              <w:gridCol w:w="1681"/>
              <w:gridCol w:w="870"/>
            </w:tblGrid>
            <w:tr w14:paraId="33BDF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573" w:type="pct"/>
                  <w:vMerge w:val="restart"/>
                  <w:tcBorders>
                    <w:tl2br w:val="nil"/>
                    <w:tr2bl w:val="nil"/>
                  </w:tcBorders>
                  <w:vAlign w:val="center"/>
                </w:tcPr>
                <w:p w14:paraId="66265288">
                  <w:pPr>
                    <w:jc w:val="center"/>
                    <w:rPr>
                      <w:rFonts w:ascii="Times New Roman" w:hAnsi="Times New Roman" w:cs="Times New Roman"/>
                      <w:b/>
                      <w:bCs/>
                      <w:szCs w:val="21"/>
                    </w:rPr>
                  </w:pPr>
                  <w:r>
                    <w:rPr>
                      <w:rFonts w:hint="eastAsia" w:ascii="Times New Roman" w:hAnsi="Times New Roman" w:cs="Times New Roman"/>
                      <w:b/>
                      <w:bCs/>
                      <w:szCs w:val="21"/>
                    </w:rPr>
                    <w:t>污染物</w:t>
                  </w:r>
                </w:p>
              </w:tc>
              <w:tc>
                <w:tcPr>
                  <w:tcW w:w="1166" w:type="pct"/>
                  <w:vMerge w:val="restart"/>
                  <w:tcBorders>
                    <w:tl2br w:val="nil"/>
                    <w:tr2bl w:val="nil"/>
                  </w:tcBorders>
                  <w:vAlign w:val="center"/>
                </w:tcPr>
                <w:p w14:paraId="673913EE">
                  <w:pPr>
                    <w:jc w:val="center"/>
                    <w:rPr>
                      <w:rFonts w:ascii="Times New Roman" w:hAnsi="Times New Roman" w:cs="Times New Roman"/>
                      <w:b/>
                      <w:bCs/>
                      <w:szCs w:val="21"/>
                    </w:rPr>
                  </w:pPr>
                  <w:r>
                    <w:rPr>
                      <w:rFonts w:hint="eastAsia" w:ascii="Times New Roman" w:hAnsi="Times New Roman" w:cs="Times New Roman"/>
                      <w:b/>
                      <w:bCs/>
                      <w:szCs w:val="21"/>
                    </w:rPr>
                    <w:t>最高允许排放浓度mg/m</w:t>
                  </w:r>
                  <w:r>
                    <w:rPr>
                      <w:rFonts w:ascii="Times New Roman" w:hAnsi="Times New Roman" w:cs="Times New Roman"/>
                      <w:b/>
                      <w:bCs/>
                      <w:szCs w:val="21"/>
                      <w:vertAlign w:val="superscript"/>
                    </w:rPr>
                    <w:t>3</w:t>
                  </w:r>
                </w:p>
              </w:tc>
              <w:tc>
                <w:tcPr>
                  <w:tcW w:w="1640" w:type="pct"/>
                  <w:gridSpan w:val="2"/>
                  <w:tcBorders>
                    <w:bottom w:val="single" w:color="000000" w:sz="4" w:space="0"/>
                    <w:tl2br w:val="nil"/>
                    <w:tr2bl w:val="nil"/>
                  </w:tcBorders>
                  <w:vAlign w:val="center"/>
                </w:tcPr>
                <w:p w14:paraId="13BE7A37">
                  <w:pPr>
                    <w:jc w:val="center"/>
                    <w:rPr>
                      <w:rFonts w:ascii="Times New Roman" w:hAnsi="Times New Roman" w:cs="Times New Roman"/>
                      <w:b/>
                      <w:bCs/>
                      <w:szCs w:val="21"/>
                    </w:rPr>
                  </w:pPr>
                  <w:r>
                    <w:rPr>
                      <w:rFonts w:hint="eastAsia" w:ascii="Times New Roman" w:hAnsi="Times New Roman" w:cs="Times New Roman"/>
                      <w:b/>
                      <w:bCs/>
                      <w:szCs w:val="21"/>
                    </w:rPr>
                    <w:t>最高允许排放速率（kg/</w:t>
                  </w:r>
                  <w:r>
                    <w:rPr>
                      <w:rFonts w:ascii="Times New Roman" w:hAnsi="Times New Roman" w:cs="Times New Roman"/>
                      <w:b/>
                      <w:bCs/>
                      <w:szCs w:val="21"/>
                    </w:rPr>
                    <w:t>h</w:t>
                  </w:r>
                  <w:r>
                    <w:rPr>
                      <w:rFonts w:hint="eastAsia" w:ascii="Times New Roman" w:hAnsi="Times New Roman" w:cs="Times New Roman"/>
                      <w:b/>
                      <w:bCs/>
                      <w:szCs w:val="21"/>
                    </w:rPr>
                    <w:t>）</w:t>
                  </w:r>
                </w:p>
              </w:tc>
              <w:tc>
                <w:tcPr>
                  <w:tcW w:w="1618" w:type="pct"/>
                  <w:gridSpan w:val="2"/>
                  <w:tcBorders>
                    <w:tl2br w:val="nil"/>
                    <w:tr2bl w:val="nil"/>
                  </w:tcBorders>
                  <w:vAlign w:val="center"/>
                </w:tcPr>
                <w:p w14:paraId="0D6340E9">
                  <w:pPr>
                    <w:jc w:val="center"/>
                    <w:rPr>
                      <w:rFonts w:ascii="Times New Roman" w:hAnsi="Times New Roman" w:cs="Times New Roman"/>
                      <w:b/>
                      <w:bCs/>
                      <w:szCs w:val="21"/>
                    </w:rPr>
                  </w:pPr>
                  <w:r>
                    <w:rPr>
                      <w:rFonts w:hint="eastAsia" w:ascii="Times New Roman" w:hAnsi="Times New Roman" w:cs="Times New Roman"/>
                      <w:b/>
                      <w:bCs/>
                      <w:szCs w:val="21"/>
                    </w:rPr>
                    <w:t>最高允许排放速率严格50%执行后（kg/</w:t>
                  </w:r>
                  <w:r>
                    <w:rPr>
                      <w:rFonts w:ascii="Times New Roman" w:hAnsi="Times New Roman" w:cs="Times New Roman"/>
                      <w:b/>
                      <w:bCs/>
                      <w:szCs w:val="21"/>
                    </w:rPr>
                    <w:t>h</w:t>
                  </w:r>
                  <w:r>
                    <w:rPr>
                      <w:rFonts w:hint="eastAsia" w:ascii="Times New Roman" w:hAnsi="Times New Roman" w:cs="Times New Roman"/>
                      <w:b/>
                      <w:bCs/>
                      <w:szCs w:val="21"/>
                    </w:rPr>
                    <w:t>）</w:t>
                  </w:r>
                </w:p>
              </w:tc>
            </w:tr>
            <w:tr w14:paraId="7CB9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573" w:type="pct"/>
                  <w:vMerge w:val="continue"/>
                  <w:tcBorders>
                    <w:tl2br w:val="nil"/>
                    <w:tr2bl w:val="nil"/>
                  </w:tcBorders>
                  <w:vAlign w:val="center"/>
                </w:tcPr>
                <w:p w14:paraId="1982D475">
                  <w:pPr>
                    <w:jc w:val="center"/>
                    <w:rPr>
                      <w:rFonts w:ascii="Times New Roman" w:hAnsi="Times New Roman" w:cs="Times New Roman"/>
                      <w:b/>
                      <w:bCs/>
                      <w:szCs w:val="21"/>
                    </w:rPr>
                  </w:pPr>
                </w:p>
              </w:tc>
              <w:tc>
                <w:tcPr>
                  <w:tcW w:w="1166" w:type="pct"/>
                  <w:vMerge w:val="continue"/>
                  <w:tcBorders>
                    <w:tl2br w:val="nil"/>
                    <w:tr2bl w:val="nil"/>
                  </w:tcBorders>
                  <w:vAlign w:val="center"/>
                </w:tcPr>
                <w:p w14:paraId="4B1D4DFE">
                  <w:pPr>
                    <w:jc w:val="center"/>
                    <w:rPr>
                      <w:rFonts w:ascii="Times New Roman" w:hAnsi="Times New Roman" w:cs="Times New Roman"/>
                      <w:b/>
                      <w:bCs/>
                      <w:szCs w:val="21"/>
                    </w:rPr>
                  </w:pPr>
                </w:p>
              </w:tc>
              <w:tc>
                <w:tcPr>
                  <w:tcW w:w="1063" w:type="pct"/>
                  <w:tcBorders>
                    <w:top w:val="single" w:color="000000" w:sz="4" w:space="0"/>
                    <w:right w:val="single" w:color="000000" w:sz="4" w:space="0"/>
                    <w:tl2br w:val="nil"/>
                    <w:tr2bl w:val="nil"/>
                  </w:tcBorders>
                  <w:vAlign w:val="center"/>
                </w:tcPr>
                <w:p w14:paraId="3E45D9AC">
                  <w:pPr>
                    <w:jc w:val="center"/>
                    <w:rPr>
                      <w:rFonts w:ascii="Times New Roman" w:hAnsi="Times New Roman" w:cs="Times New Roman"/>
                      <w:b/>
                      <w:bCs/>
                      <w:szCs w:val="21"/>
                    </w:rPr>
                  </w:pPr>
                  <w:r>
                    <w:rPr>
                      <w:rFonts w:hint="eastAsia" w:ascii="Times New Roman" w:hAnsi="Times New Roman" w:cs="Times New Roman"/>
                      <w:b/>
                      <w:bCs/>
                      <w:szCs w:val="21"/>
                    </w:rPr>
                    <w:t>排气筒高度 ，m</w:t>
                  </w:r>
                </w:p>
              </w:tc>
              <w:tc>
                <w:tcPr>
                  <w:tcW w:w="577" w:type="pct"/>
                  <w:tcBorders>
                    <w:top w:val="single" w:color="000000" w:sz="4" w:space="0"/>
                    <w:left w:val="single" w:color="000000" w:sz="4" w:space="0"/>
                    <w:tl2br w:val="nil"/>
                    <w:tr2bl w:val="nil"/>
                  </w:tcBorders>
                  <w:vAlign w:val="center"/>
                </w:tcPr>
                <w:p w14:paraId="18BC7181">
                  <w:pPr>
                    <w:jc w:val="center"/>
                    <w:rPr>
                      <w:rFonts w:ascii="Times New Roman" w:hAnsi="Times New Roman" w:cs="Times New Roman"/>
                      <w:b/>
                      <w:bCs/>
                      <w:szCs w:val="21"/>
                    </w:rPr>
                  </w:pPr>
                  <w:r>
                    <w:rPr>
                      <w:rFonts w:hint="eastAsia" w:ascii="Times New Roman" w:hAnsi="Times New Roman" w:cs="Times New Roman"/>
                      <w:b/>
                      <w:bCs/>
                      <w:szCs w:val="21"/>
                    </w:rPr>
                    <w:t>二级</w:t>
                  </w:r>
                </w:p>
              </w:tc>
              <w:tc>
                <w:tcPr>
                  <w:tcW w:w="1068" w:type="pct"/>
                  <w:tcBorders>
                    <w:top w:val="single" w:color="000000" w:sz="4" w:space="0"/>
                    <w:right w:val="single" w:color="000000" w:sz="4" w:space="0"/>
                    <w:tl2br w:val="nil"/>
                    <w:tr2bl w:val="nil"/>
                  </w:tcBorders>
                  <w:vAlign w:val="center"/>
                </w:tcPr>
                <w:p w14:paraId="105B296C">
                  <w:pPr>
                    <w:jc w:val="center"/>
                    <w:rPr>
                      <w:rFonts w:ascii="Times New Roman" w:hAnsi="Times New Roman" w:cs="Times New Roman"/>
                      <w:b/>
                      <w:bCs/>
                      <w:szCs w:val="21"/>
                    </w:rPr>
                  </w:pPr>
                  <w:r>
                    <w:rPr>
                      <w:rFonts w:hint="eastAsia" w:ascii="Times New Roman" w:hAnsi="Times New Roman" w:cs="Times New Roman"/>
                      <w:b/>
                      <w:bCs/>
                      <w:szCs w:val="21"/>
                    </w:rPr>
                    <w:t>排气筒高度 ，m</w:t>
                  </w:r>
                </w:p>
              </w:tc>
              <w:tc>
                <w:tcPr>
                  <w:tcW w:w="549" w:type="pct"/>
                  <w:tcBorders>
                    <w:top w:val="single" w:color="000000" w:sz="4" w:space="0"/>
                    <w:left w:val="single" w:color="000000" w:sz="4" w:space="0"/>
                    <w:tl2br w:val="nil"/>
                    <w:tr2bl w:val="nil"/>
                  </w:tcBorders>
                  <w:vAlign w:val="center"/>
                </w:tcPr>
                <w:p w14:paraId="1450D99F">
                  <w:pPr>
                    <w:jc w:val="center"/>
                    <w:rPr>
                      <w:rFonts w:ascii="Times New Roman" w:hAnsi="Times New Roman" w:cs="Times New Roman"/>
                      <w:b/>
                      <w:bCs/>
                      <w:szCs w:val="21"/>
                    </w:rPr>
                  </w:pPr>
                  <w:r>
                    <w:rPr>
                      <w:rFonts w:hint="eastAsia" w:ascii="Times New Roman" w:hAnsi="Times New Roman" w:cs="Times New Roman"/>
                      <w:b/>
                      <w:bCs/>
                      <w:szCs w:val="21"/>
                    </w:rPr>
                    <w:t>二级</w:t>
                  </w:r>
                </w:p>
              </w:tc>
            </w:tr>
            <w:tr w14:paraId="1AFB4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73" w:type="pct"/>
                  <w:tcBorders>
                    <w:tl2br w:val="nil"/>
                    <w:tr2bl w:val="nil"/>
                  </w:tcBorders>
                  <w:vAlign w:val="center"/>
                </w:tcPr>
                <w:p w14:paraId="6F3994A3">
                  <w:pPr>
                    <w:jc w:val="center"/>
                    <w:rPr>
                      <w:rFonts w:ascii="Times New Roman" w:hAnsi="Times New Roman" w:cs="Times New Roman"/>
                      <w:szCs w:val="21"/>
                    </w:rPr>
                  </w:pPr>
                  <w:r>
                    <w:rPr>
                      <w:rFonts w:hint="eastAsia" w:ascii="Times New Roman" w:hAnsi="Times New Roman" w:eastAsia="宋体" w:cs="Times New Roman"/>
                      <w:szCs w:val="21"/>
                    </w:rPr>
                    <w:t>颗粒物</w:t>
                  </w:r>
                </w:p>
              </w:tc>
              <w:tc>
                <w:tcPr>
                  <w:tcW w:w="1166" w:type="pct"/>
                  <w:tcBorders>
                    <w:tl2br w:val="nil"/>
                    <w:tr2bl w:val="nil"/>
                  </w:tcBorders>
                  <w:vAlign w:val="center"/>
                </w:tcPr>
                <w:p w14:paraId="0F08329F">
                  <w:pPr>
                    <w:jc w:val="center"/>
                    <w:rPr>
                      <w:rFonts w:ascii="Times New Roman" w:hAnsi="Times New Roman" w:cs="Times New Roman"/>
                      <w:szCs w:val="21"/>
                    </w:rPr>
                  </w:pPr>
                  <w:r>
                    <w:rPr>
                      <w:rFonts w:hint="eastAsia" w:ascii="Times New Roman" w:hAnsi="Times New Roman" w:cs="Times New Roman"/>
                      <w:szCs w:val="21"/>
                    </w:rPr>
                    <w:t>120</w:t>
                  </w:r>
                </w:p>
              </w:tc>
              <w:tc>
                <w:tcPr>
                  <w:tcW w:w="1063" w:type="pct"/>
                  <w:tcBorders>
                    <w:right w:val="single" w:color="000000" w:sz="4" w:space="0"/>
                    <w:tl2br w:val="nil"/>
                    <w:tr2bl w:val="nil"/>
                  </w:tcBorders>
                  <w:vAlign w:val="center"/>
                </w:tcPr>
                <w:p w14:paraId="488AA58C">
                  <w:pPr>
                    <w:jc w:val="center"/>
                    <w:rPr>
                      <w:rFonts w:ascii="Times New Roman" w:hAnsi="Times New Roman" w:cs="Times New Roman"/>
                      <w:szCs w:val="21"/>
                    </w:rPr>
                  </w:pPr>
                  <w:r>
                    <w:rPr>
                      <w:rFonts w:hint="eastAsia" w:ascii="Times New Roman" w:hAnsi="Times New Roman" w:cs="Times New Roman"/>
                      <w:szCs w:val="21"/>
                    </w:rPr>
                    <w:t>25</w:t>
                  </w:r>
                </w:p>
              </w:tc>
              <w:tc>
                <w:tcPr>
                  <w:tcW w:w="577" w:type="pct"/>
                  <w:tcBorders>
                    <w:left w:val="single" w:color="000000" w:sz="4" w:space="0"/>
                    <w:tl2br w:val="nil"/>
                    <w:tr2bl w:val="nil"/>
                  </w:tcBorders>
                  <w:vAlign w:val="center"/>
                </w:tcPr>
                <w:p w14:paraId="09FDD703">
                  <w:pPr>
                    <w:jc w:val="center"/>
                    <w:rPr>
                      <w:rFonts w:ascii="Times New Roman" w:hAnsi="Times New Roman" w:cs="Times New Roman"/>
                      <w:szCs w:val="21"/>
                    </w:rPr>
                  </w:pPr>
                  <w:r>
                    <w:rPr>
                      <w:rFonts w:hint="eastAsia" w:ascii="Times New Roman" w:hAnsi="Times New Roman" w:cs="Times New Roman"/>
                      <w:szCs w:val="21"/>
                    </w:rPr>
                    <w:t>14.45</w:t>
                  </w:r>
                </w:p>
              </w:tc>
              <w:tc>
                <w:tcPr>
                  <w:tcW w:w="1068" w:type="pct"/>
                  <w:tcBorders>
                    <w:right w:val="single" w:color="000000" w:sz="4" w:space="0"/>
                    <w:tl2br w:val="nil"/>
                    <w:tr2bl w:val="nil"/>
                  </w:tcBorders>
                  <w:vAlign w:val="center"/>
                </w:tcPr>
                <w:p w14:paraId="6A2E37D3">
                  <w:pPr>
                    <w:jc w:val="center"/>
                    <w:rPr>
                      <w:rFonts w:ascii="Times New Roman" w:hAnsi="Times New Roman" w:cs="Times New Roman"/>
                      <w:szCs w:val="21"/>
                    </w:rPr>
                  </w:pPr>
                  <w:r>
                    <w:rPr>
                      <w:rFonts w:hint="eastAsia" w:ascii="Times New Roman" w:hAnsi="Times New Roman" w:cs="Times New Roman"/>
                      <w:szCs w:val="21"/>
                    </w:rPr>
                    <w:t>25</w:t>
                  </w:r>
                </w:p>
              </w:tc>
              <w:tc>
                <w:tcPr>
                  <w:tcW w:w="549" w:type="pct"/>
                  <w:tcBorders>
                    <w:left w:val="single" w:color="000000" w:sz="4" w:space="0"/>
                    <w:tl2br w:val="nil"/>
                    <w:tr2bl w:val="nil"/>
                  </w:tcBorders>
                  <w:vAlign w:val="center"/>
                </w:tcPr>
                <w:p w14:paraId="0A207A2A">
                  <w:pPr>
                    <w:jc w:val="center"/>
                    <w:rPr>
                      <w:rFonts w:ascii="Times New Roman" w:hAnsi="Times New Roman" w:cs="Times New Roman"/>
                      <w:szCs w:val="21"/>
                    </w:rPr>
                  </w:pPr>
                  <w:r>
                    <w:rPr>
                      <w:rFonts w:hint="eastAsia" w:ascii="Times New Roman" w:hAnsi="Times New Roman" w:cs="Times New Roman"/>
                      <w:szCs w:val="21"/>
                    </w:rPr>
                    <w:t>7.225</w:t>
                  </w:r>
                </w:p>
              </w:tc>
            </w:tr>
            <w:tr w14:paraId="0EFF9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73" w:type="pct"/>
                  <w:tcBorders>
                    <w:tl2br w:val="nil"/>
                    <w:tr2bl w:val="nil"/>
                  </w:tcBorders>
                  <w:vAlign w:val="center"/>
                </w:tcPr>
                <w:p w14:paraId="36101113">
                  <w:pPr>
                    <w:jc w:val="center"/>
                    <w:rPr>
                      <w:rFonts w:ascii="Times New Roman" w:hAnsi="Times New Roman" w:cs="Times New Roman"/>
                      <w:szCs w:val="21"/>
                    </w:rPr>
                  </w:pPr>
                  <w:r>
                    <w:rPr>
                      <w:rFonts w:hint="eastAsia" w:ascii="Times New Roman" w:hAnsi="Times New Roman" w:eastAsia="宋体" w:cs="Times New Roman"/>
                      <w:szCs w:val="21"/>
                    </w:rPr>
                    <w:t>沥青烟</w:t>
                  </w:r>
                </w:p>
              </w:tc>
              <w:tc>
                <w:tcPr>
                  <w:tcW w:w="1166" w:type="pct"/>
                  <w:tcBorders>
                    <w:tl2br w:val="nil"/>
                    <w:tr2bl w:val="nil"/>
                  </w:tcBorders>
                  <w:vAlign w:val="center"/>
                </w:tcPr>
                <w:p w14:paraId="216BCF1C">
                  <w:pPr>
                    <w:jc w:val="center"/>
                    <w:rPr>
                      <w:rFonts w:ascii="Times New Roman" w:hAnsi="Times New Roman" w:cs="Times New Roman"/>
                      <w:szCs w:val="21"/>
                    </w:rPr>
                  </w:pPr>
                  <w:r>
                    <w:rPr>
                      <w:rFonts w:hint="eastAsia" w:ascii="Times New Roman" w:hAnsi="Times New Roman" w:cs="Times New Roman"/>
                      <w:szCs w:val="21"/>
                    </w:rPr>
                    <w:t>75</w:t>
                  </w:r>
                </w:p>
              </w:tc>
              <w:tc>
                <w:tcPr>
                  <w:tcW w:w="1063" w:type="pct"/>
                  <w:tcBorders>
                    <w:right w:val="single" w:color="000000" w:sz="4" w:space="0"/>
                    <w:tl2br w:val="nil"/>
                    <w:tr2bl w:val="nil"/>
                  </w:tcBorders>
                  <w:vAlign w:val="center"/>
                </w:tcPr>
                <w:p w14:paraId="3FF52A68">
                  <w:pPr>
                    <w:jc w:val="center"/>
                    <w:rPr>
                      <w:rFonts w:ascii="Times New Roman" w:hAnsi="Times New Roman" w:cs="Times New Roman"/>
                      <w:szCs w:val="21"/>
                    </w:rPr>
                  </w:pPr>
                  <w:r>
                    <w:rPr>
                      <w:rFonts w:hint="eastAsia" w:ascii="Times New Roman" w:hAnsi="Times New Roman" w:cs="Times New Roman"/>
                      <w:szCs w:val="21"/>
                    </w:rPr>
                    <w:t>25</w:t>
                  </w:r>
                </w:p>
              </w:tc>
              <w:tc>
                <w:tcPr>
                  <w:tcW w:w="577" w:type="pct"/>
                  <w:tcBorders>
                    <w:left w:val="single" w:color="000000" w:sz="4" w:space="0"/>
                    <w:tl2br w:val="nil"/>
                    <w:tr2bl w:val="nil"/>
                  </w:tcBorders>
                  <w:vAlign w:val="center"/>
                </w:tcPr>
                <w:p w14:paraId="3B68AB54">
                  <w:pPr>
                    <w:jc w:val="center"/>
                    <w:rPr>
                      <w:rFonts w:ascii="Times New Roman" w:hAnsi="Times New Roman" w:cs="Times New Roman"/>
                      <w:szCs w:val="21"/>
                    </w:rPr>
                  </w:pPr>
                  <w:r>
                    <w:rPr>
                      <w:rFonts w:hint="eastAsia" w:ascii="Times New Roman" w:hAnsi="Times New Roman" w:cs="Times New Roman"/>
                      <w:szCs w:val="21"/>
                    </w:rPr>
                    <w:t>0.927</w:t>
                  </w:r>
                </w:p>
              </w:tc>
              <w:tc>
                <w:tcPr>
                  <w:tcW w:w="1068" w:type="pct"/>
                  <w:tcBorders>
                    <w:right w:val="single" w:color="000000" w:sz="4" w:space="0"/>
                    <w:tl2br w:val="nil"/>
                    <w:tr2bl w:val="nil"/>
                  </w:tcBorders>
                  <w:vAlign w:val="center"/>
                </w:tcPr>
                <w:p w14:paraId="39817D4C">
                  <w:pPr>
                    <w:jc w:val="center"/>
                    <w:rPr>
                      <w:rFonts w:ascii="Times New Roman" w:hAnsi="Times New Roman" w:cs="Times New Roman"/>
                      <w:szCs w:val="21"/>
                    </w:rPr>
                  </w:pPr>
                  <w:r>
                    <w:rPr>
                      <w:rFonts w:hint="eastAsia" w:ascii="Times New Roman" w:hAnsi="Times New Roman" w:cs="Times New Roman"/>
                      <w:szCs w:val="21"/>
                    </w:rPr>
                    <w:t>25</w:t>
                  </w:r>
                </w:p>
              </w:tc>
              <w:tc>
                <w:tcPr>
                  <w:tcW w:w="549" w:type="pct"/>
                  <w:tcBorders>
                    <w:left w:val="single" w:color="000000" w:sz="4" w:space="0"/>
                    <w:tl2br w:val="nil"/>
                    <w:tr2bl w:val="nil"/>
                  </w:tcBorders>
                  <w:vAlign w:val="center"/>
                </w:tcPr>
                <w:p w14:paraId="37B0A6E6">
                  <w:pPr>
                    <w:jc w:val="center"/>
                    <w:rPr>
                      <w:rFonts w:ascii="Times New Roman" w:hAnsi="Times New Roman" w:cs="Times New Roman"/>
                      <w:szCs w:val="21"/>
                    </w:rPr>
                  </w:pPr>
                  <w:r>
                    <w:rPr>
                      <w:rFonts w:ascii="Times New Roman" w:hAnsi="Times New Roman" w:cs="Times New Roman"/>
                      <w:szCs w:val="21"/>
                    </w:rPr>
                    <w:t>0.4635</w:t>
                  </w:r>
                </w:p>
              </w:tc>
            </w:tr>
            <w:tr w14:paraId="6AFE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73" w:type="pct"/>
                  <w:tcBorders>
                    <w:tl2br w:val="nil"/>
                    <w:tr2bl w:val="nil"/>
                  </w:tcBorders>
                  <w:vAlign w:val="center"/>
                </w:tcPr>
                <w:p w14:paraId="7EDD9F82">
                  <w:pPr>
                    <w:jc w:val="center"/>
                    <w:rPr>
                      <w:rFonts w:ascii="Times New Roman" w:hAnsi="Times New Roman" w:cs="Times New Roman"/>
                      <w:szCs w:val="21"/>
                    </w:rPr>
                  </w:pPr>
                  <w:r>
                    <w:rPr>
                      <w:rFonts w:hint="eastAsia" w:ascii="Times New Roman" w:hAnsi="Times New Roman" w:cs="Times New Roman"/>
                      <w:szCs w:val="21"/>
                    </w:rPr>
                    <w:t>苯并[a]芘</w:t>
                  </w:r>
                </w:p>
              </w:tc>
              <w:tc>
                <w:tcPr>
                  <w:tcW w:w="1166" w:type="pct"/>
                  <w:tcBorders>
                    <w:tl2br w:val="nil"/>
                    <w:tr2bl w:val="nil"/>
                  </w:tcBorders>
                  <w:vAlign w:val="center"/>
                </w:tcPr>
                <w:p w14:paraId="173D3511">
                  <w:pPr>
                    <w:jc w:val="center"/>
                    <w:rPr>
                      <w:rFonts w:ascii="Times New Roman" w:hAnsi="Times New Roman" w:cs="Times New Roman"/>
                      <w:szCs w:val="21"/>
                    </w:rPr>
                  </w:pPr>
                  <w:r>
                    <w:rPr>
                      <w:rFonts w:ascii="Times New Roman" w:hAnsi="Times New Roman" w:cs="Times New Roman"/>
                      <w:szCs w:val="21"/>
                    </w:rPr>
                    <w:t>0.30×10</w:t>
                  </w:r>
                  <w:r>
                    <w:rPr>
                      <w:rFonts w:hint="eastAsia" w:ascii="Times New Roman" w:hAnsi="Times New Roman" w:cs="Times New Roman"/>
                      <w:szCs w:val="21"/>
                      <w:vertAlign w:val="superscript"/>
                    </w:rPr>
                    <w:t>-3</w:t>
                  </w:r>
                </w:p>
              </w:tc>
              <w:tc>
                <w:tcPr>
                  <w:tcW w:w="1063" w:type="pct"/>
                  <w:tcBorders>
                    <w:right w:val="single" w:color="000000" w:sz="4" w:space="0"/>
                    <w:tl2br w:val="nil"/>
                    <w:tr2bl w:val="nil"/>
                  </w:tcBorders>
                  <w:vAlign w:val="center"/>
                </w:tcPr>
                <w:p w14:paraId="222983F3">
                  <w:pPr>
                    <w:jc w:val="center"/>
                    <w:rPr>
                      <w:rFonts w:ascii="Times New Roman" w:hAnsi="Times New Roman" w:cs="Times New Roman"/>
                      <w:szCs w:val="21"/>
                    </w:rPr>
                  </w:pPr>
                  <w:r>
                    <w:rPr>
                      <w:rFonts w:hint="eastAsia" w:ascii="Times New Roman" w:hAnsi="Times New Roman" w:cs="Times New Roman"/>
                      <w:szCs w:val="21"/>
                    </w:rPr>
                    <w:t>25</w:t>
                  </w:r>
                </w:p>
              </w:tc>
              <w:tc>
                <w:tcPr>
                  <w:tcW w:w="577" w:type="pct"/>
                  <w:tcBorders>
                    <w:left w:val="single" w:color="000000" w:sz="4" w:space="0"/>
                    <w:tl2br w:val="nil"/>
                    <w:tr2bl w:val="nil"/>
                  </w:tcBorders>
                  <w:vAlign w:val="center"/>
                </w:tcPr>
                <w:p w14:paraId="2DB7D2A7">
                  <w:pPr>
                    <w:jc w:val="center"/>
                    <w:rPr>
                      <w:rFonts w:ascii="Times New Roman" w:hAnsi="Times New Roman" w:cs="Times New Roman"/>
                      <w:szCs w:val="21"/>
                    </w:rPr>
                  </w:pPr>
                  <w:r>
                    <w:rPr>
                      <w:rFonts w:ascii="Times New Roman" w:hAnsi="Times New Roman" w:cs="Times New Roman"/>
                      <w:szCs w:val="21"/>
                    </w:rPr>
                    <w:t>0.1875×10</w:t>
                  </w:r>
                  <w:r>
                    <w:rPr>
                      <w:rFonts w:hint="eastAsia" w:ascii="Times New Roman" w:hAnsi="Times New Roman" w:cs="Times New Roman"/>
                      <w:szCs w:val="21"/>
                      <w:vertAlign w:val="superscript"/>
                    </w:rPr>
                    <w:t>-3</w:t>
                  </w:r>
                </w:p>
              </w:tc>
              <w:tc>
                <w:tcPr>
                  <w:tcW w:w="1068" w:type="pct"/>
                  <w:tcBorders>
                    <w:right w:val="single" w:color="000000" w:sz="4" w:space="0"/>
                    <w:tl2br w:val="nil"/>
                    <w:tr2bl w:val="nil"/>
                  </w:tcBorders>
                  <w:vAlign w:val="center"/>
                </w:tcPr>
                <w:p w14:paraId="00190E30">
                  <w:pPr>
                    <w:jc w:val="center"/>
                    <w:rPr>
                      <w:rFonts w:ascii="Times New Roman" w:hAnsi="Times New Roman" w:cs="Times New Roman"/>
                      <w:szCs w:val="21"/>
                    </w:rPr>
                  </w:pPr>
                  <w:r>
                    <w:rPr>
                      <w:rFonts w:hint="eastAsia" w:ascii="Times New Roman" w:hAnsi="Times New Roman" w:cs="Times New Roman"/>
                      <w:szCs w:val="21"/>
                    </w:rPr>
                    <w:t>25</w:t>
                  </w:r>
                </w:p>
              </w:tc>
              <w:tc>
                <w:tcPr>
                  <w:tcW w:w="549" w:type="pct"/>
                  <w:tcBorders>
                    <w:left w:val="single" w:color="000000" w:sz="4" w:space="0"/>
                    <w:tl2br w:val="nil"/>
                    <w:tr2bl w:val="nil"/>
                  </w:tcBorders>
                  <w:vAlign w:val="center"/>
                </w:tcPr>
                <w:p w14:paraId="5C41FFC8">
                  <w:pPr>
                    <w:jc w:val="center"/>
                    <w:rPr>
                      <w:rFonts w:ascii="Times New Roman" w:hAnsi="Times New Roman" w:cs="Times New Roman"/>
                      <w:szCs w:val="21"/>
                    </w:rPr>
                  </w:pPr>
                  <w:r>
                    <w:rPr>
                      <w:rFonts w:ascii="Times New Roman" w:hAnsi="Times New Roman" w:cs="Times New Roman"/>
                      <w:szCs w:val="21"/>
                    </w:rPr>
                    <w:t>0.09375×10</w:t>
                  </w:r>
                  <w:r>
                    <w:rPr>
                      <w:rFonts w:hint="eastAsia" w:ascii="Times New Roman" w:hAnsi="Times New Roman" w:cs="Times New Roman"/>
                      <w:szCs w:val="21"/>
                      <w:vertAlign w:val="superscript"/>
                    </w:rPr>
                    <w:t>-3</w:t>
                  </w:r>
                </w:p>
              </w:tc>
            </w:tr>
            <w:tr w14:paraId="60EFF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73" w:type="pct"/>
                  <w:tcBorders>
                    <w:tl2br w:val="nil"/>
                    <w:tr2bl w:val="nil"/>
                  </w:tcBorders>
                  <w:vAlign w:val="center"/>
                </w:tcPr>
                <w:p w14:paraId="42584121">
                  <w:pPr>
                    <w:jc w:val="center"/>
                    <w:rPr>
                      <w:rFonts w:ascii="Times New Roman" w:hAnsi="Times New Roman" w:cs="Times New Roman"/>
                      <w:szCs w:val="21"/>
                    </w:rPr>
                  </w:pPr>
                  <w:r>
                    <w:rPr>
                      <w:rFonts w:hint="eastAsia" w:ascii="Times New Roman" w:hAnsi="Times New Roman" w:cs="Times New Roman"/>
                      <w:szCs w:val="21"/>
                    </w:rPr>
                    <w:t>非甲烷总烃</w:t>
                  </w:r>
                </w:p>
              </w:tc>
              <w:tc>
                <w:tcPr>
                  <w:tcW w:w="1166" w:type="pct"/>
                  <w:tcBorders>
                    <w:tl2br w:val="nil"/>
                    <w:tr2bl w:val="nil"/>
                  </w:tcBorders>
                  <w:vAlign w:val="center"/>
                </w:tcPr>
                <w:p w14:paraId="4EC777D0">
                  <w:pPr>
                    <w:jc w:val="center"/>
                    <w:rPr>
                      <w:rFonts w:ascii="Times New Roman" w:hAnsi="Times New Roman" w:cs="Times New Roman"/>
                      <w:szCs w:val="21"/>
                    </w:rPr>
                  </w:pPr>
                  <w:r>
                    <w:rPr>
                      <w:rFonts w:hint="eastAsia" w:ascii="Times New Roman" w:hAnsi="Times New Roman" w:cs="Times New Roman"/>
                      <w:szCs w:val="21"/>
                    </w:rPr>
                    <w:t>120</w:t>
                  </w:r>
                </w:p>
              </w:tc>
              <w:tc>
                <w:tcPr>
                  <w:tcW w:w="1063" w:type="pct"/>
                  <w:tcBorders>
                    <w:right w:val="single" w:color="000000" w:sz="4" w:space="0"/>
                    <w:tl2br w:val="nil"/>
                    <w:tr2bl w:val="nil"/>
                  </w:tcBorders>
                  <w:vAlign w:val="center"/>
                </w:tcPr>
                <w:p w14:paraId="554C44D2">
                  <w:pPr>
                    <w:jc w:val="center"/>
                    <w:rPr>
                      <w:rFonts w:ascii="Times New Roman" w:hAnsi="Times New Roman" w:cs="Times New Roman"/>
                      <w:szCs w:val="21"/>
                    </w:rPr>
                  </w:pPr>
                  <w:r>
                    <w:rPr>
                      <w:rFonts w:hint="eastAsia" w:ascii="Times New Roman" w:hAnsi="Times New Roman" w:cs="Times New Roman"/>
                      <w:szCs w:val="21"/>
                    </w:rPr>
                    <w:t>25</w:t>
                  </w:r>
                </w:p>
              </w:tc>
              <w:tc>
                <w:tcPr>
                  <w:tcW w:w="577" w:type="pct"/>
                  <w:tcBorders>
                    <w:left w:val="single" w:color="000000" w:sz="4" w:space="0"/>
                    <w:tl2br w:val="nil"/>
                    <w:tr2bl w:val="nil"/>
                  </w:tcBorders>
                  <w:vAlign w:val="center"/>
                </w:tcPr>
                <w:p w14:paraId="69F91975">
                  <w:pPr>
                    <w:jc w:val="center"/>
                    <w:rPr>
                      <w:rFonts w:ascii="Times New Roman" w:hAnsi="Times New Roman" w:cs="Times New Roman"/>
                      <w:szCs w:val="21"/>
                    </w:rPr>
                  </w:pPr>
                  <w:r>
                    <w:rPr>
                      <w:rFonts w:hint="eastAsia" w:ascii="Times New Roman" w:hAnsi="Times New Roman" w:cs="Times New Roman"/>
                      <w:szCs w:val="21"/>
                    </w:rPr>
                    <w:t>24</w:t>
                  </w:r>
                </w:p>
              </w:tc>
              <w:tc>
                <w:tcPr>
                  <w:tcW w:w="1068" w:type="pct"/>
                  <w:tcBorders>
                    <w:right w:val="single" w:color="000000" w:sz="4" w:space="0"/>
                    <w:tl2br w:val="nil"/>
                    <w:tr2bl w:val="nil"/>
                  </w:tcBorders>
                  <w:vAlign w:val="center"/>
                </w:tcPr>
                <w:p w14:paraId="1452904C">
                  <w:pPr>
                    <w:jc w:val="center"/>
                    <w:rPr>
                      <w:rFonts w:ascii="Times New Roman" w:hAnsi="Times New Roman" w:cs="Times New Roman"/>
                      <w:szCs w:val="21"/>
                    </w:rPr>
                  </w:pPr>
                  <w:r>
                    <w:rPr>
                      <w:rFonts w:hint="eastAsia" w:ascii="Times New Roman" w:hAnsi="Times New Roman" w:cs="Times New Roman"/>
                      <w:szCs w:val="21"/>
                    </w:rPr>
                    <w:t>25</w:t>
                  </w:r>
                </w:p>
              </w:tc>
              <w:tc>
                <w:tcPr>
                  <w:tcW w:w="549" w:type="pct"/>
                  <w:tcBorders>
                    <w:left w:val="single" w:color="000000" w:sz="4" w:space="0"/>
                    <w:tl2br w:val="nil"/>
                    <w:tr2bl w:val="nil"/>
                  </w:tcBorders>
                  <w:vAlign w:val="center"/>
                </w:tcPr>
                <w:p w14:paraId="3E767193">
                  <w:pPr>
                    <w:jc w:val="center"/>
                    <w:rPr>
                      <w:rFonts w:ascii="Times New Roman" w:hAnsi="Times New Roman" w:cs="Times New Roman"/>
                      <w:szCs w:val="21"/>
                    </w:rPr>
                  </w:pPr>
                  <w:r>
                    <w:rPr>
                      <w:rFonts w:hint="eastAsia" w:ascii="Times New Roman" w:hAnsi="Times New Roman" w:cs="Times New Roman"/>
                      <w:szCs w:val="21"/>
                    </w:rPr>
                    <w:t>12</w:t>
                  </w:r>
                </w:p>
              </w:tc>
            </w:tr>
            <w:tr w14:paraId="602E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6"/>
                  <w:tcBorders>
                    <w:tl2br w:val="nil"/>
                    <w:tr2bl w:val="nil"/>
                  </w:tcBorders>
                  <w:vAlign w:val="center"/>
                </w:tcPr>
                <w:p w14:paraId="70D2A3D6">
                  <w:pPr>
                    <w:rPr>
                      <w:rFonts w:ascii="Times New Roman" w:hAnsi="Times New Roman" w:cs="Times New Roman"/>
                      <w:szCs w:val="21"/>
                    </w:rPr>
                  </w:pPr>
                  <w:r>
                    <w:rPr>
                      <w:rFonts w:hint="eastAsia" w:ascii="Times New Roman" w:hAnsi="Times New Roman" w:cs="Times New Roman"/>
                      <w:szCs w:val="21"/>
                    </w:rPr>
                    <w:t>注1：</w:t>
                  </w:r>
                  <w:r>
                    <w:rPr>
                      <w:rFonts w:ascii="Times New Roman" w:hAnsi="Times New Roman" w:cs="Times New Roman"/>
                      <w:szCs w:val="21"/>
                    </w:rPr>
                    <w:t>DA00</w:t>
                  </w:r>
                  <w:r>
                    <w:rPr>
                      <w:rFonts w:hint="eastAsia" w:ascii="Times New Roman" w:hAnsi="Times New Roman" w:cs="Times New Roman"/>
                      <w:szCs w:val="21"/>
                    </w:rPr>
                    <w:t>2排气筒高度为25m，各污染物排放速率采用内插法计算。</w:t>
                  </w:r>
                </w:p>
                <w:p w14:paraId="5BE44B6A">
                  <w:pPr>
                    <w:rPr>
                      <w:rFonts w:ascii="Times New Roman" w:hAnsi="Times New Roman" w:cs="Times New Roman"/>
                      <w:color w:val="FF0000"/>
                      <w:szCs w:val="21"/>
                    </w:rPr>
                  </w:pPr>
                  <w:r>
                    <w:rPr>
                      <w:rFonts w:hint="eastAsia" w:ascii="Times New Roman" w:hAnsi="Times New Roman" w:cs="Times New Roman"/>
                      <w:szCs w:val="21"/>
                    </w:rPr>
                    <w:t>注2：《大气污染物综合排放标准》（GB16297-1996）要求：“排气筒高度除须遵守表列排放速率标准值外，还应高出周围200m半径范围的建筑5m以上，不能达到该要求的排气筒，应按其高度对应的表列排放速率标准值严格50%执行”。本项目DA002排气筒高度为25 m，经现场调查，本项目周边200 m范围内存在高度超过排气筒高度的建（构）筑物，因此DA002排气筒各污染物最高允许排放速率严格50%执行。</w:t>
                  </w:r>
                </w:p>
              </w:tc>
            </w:tr>
          </w:tbl>
          <w:p w14:paraId="638E2346">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（3）</w:t>
            </w:r>
            <w:r>
              <w:rPr>
                <w:rFonts w:ascii="Times New Roman" w:hAnsi="Times New Roman" w:eastAsia="宋体" w:cs="Times New Roman"/>
                <w:sz w:val="24"/>
              </w:rPr>
              <w:t>DA00</w:t>
            </w:r>
            <w:r>
              <w:rPr>
                <w:rFonts w:hint="eastAsia" w:ascii="Times New Roman" w:hAnsi="Times New Roman" w:eastAsia="宋体" w:cs="Times New Roman"/>
                <w:sz w:val="24"/>
              </w:rPr>
              <w:t>3排气筒</w:t>
            </w:r>
          </w:p>
          <w:p w14:paraId="5EEC0F04">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本项目DA003排气筒沥青烟、苯并[a]芘、非甲烷总烃执行《大气污染物综合排放标准》(GB16297-1996)中表2新污染源大气污染物排放限值；</w:t>
            </w:r>
            <w:r>
              <w:rPr>
                <w:rFonts w:ascii="Times New Roman" w:hAnsi="Times New Roman" w:eastAsia="宋体" w:cs="Times New Roman"/>
                <w:sz w:val="24"/>
              </w:rPr>
              <w:t>具体标准值见下表。</w:t>
            </w:r>
          </w:p>
          <w:p w14:paraId="2108FD72">
            <w:pPr>
              <w:widowControl/>
              <w:jc w:val="center"/>
              <w:rPr>
                <w:rFonts w:ascii="Times New Roman" w:hAnsi="Times New Roman" w:eastAsia="宋体" w:cs="宋体-PUA"/>
                <w:b/>
                <w:sz w:val="24"/>
                <w:shd w:val="clear" w:color="auto" w:fill="FFFFFF"/>
              </w:rPr>
            </w:pPr>
            <w:r>
              <w:rPr>
                <w:rFonts w:hint="eastAsia" w:ascii="Times New Roman" w:hAnsi="Times New Roman" w:eastAsia="宋体" w:cs="宋体-PUA"/>
                <w:b/>
                <w:color w:val="FF0000"/>
                <w:sz w:val="24"/>
                <w:shd w:val="clear" w:color="auto" w:fill="FFFFFF"/>
              </w:rPr>
              <w:t xml:space="preserve"> </w:t>
            </w:r>
            <w:r>
              <w:rPr>
                <w:rFonts w:hint="eastAsia" w:ascii="Times New Roman" w:hAnsi="Times New Roman" w:eastAsia="宋体" w:cs="宋体-PUA"/>
                <w:b/>
                <w:sz w:val="24"/>
                <w:shd w:val="clear" w:color="auto" w:fill="FFFFFF"/>
              </w:rPr>
              <w:t xml:space="preserve"> 表3-11 《大气污染物综合排放标准》（GB16297- 1996）</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1835"/>
              <w:gridCol w:w="1673"/>
              <w:gridCol w:w="908"/>
              <w:gridCol w:w="1666"/>
              <w:gridCol w:w="884"/>
            </w:tblGrid>
            <w:tr w14:paraId="4DAD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573" w:type="pct"/>
                  <w:vMerge w:val="restart"/>
                  <w:tcBorders>
                    <w:tl2br w:val="nil"/>
                    <w:tr2bl w:val="nil"/>
                  </w:tcBorders>
                  <w:vAlign w:val="center"/>
                </w:tcPr>
                <w:p w14:paraId="70EFD4F4">
                  <w:pPr>
                    <w:jc w:val="center"/>
                    <w:rPr>
                      <w:rFonts w:ascii="Times New Roman" w:hAnsi="Times New Roman" w:cs="Times New Roman"/>
                      <w:b/>
                      <w:bCs/>
                      <w:szCs w:val="21"/>
                    </w:rPr>
                  </w:pPr>
                  <w:r>
                    <w:rPr>
                      <w:rFonts w:hint="eastAsia" w:ascii="Times New Roman" w:hAnsi="Times New Roman" w:cs="Times New Roman"/>
                      <w:b/>
                      <w:bCs/>
                      <w:szCs w:val="21"/>
                    </w:rPr>
                    <w:t>污染物</w:t>
                  </w:r>
                </w:p>
              </w:tc>
              <w:tc>
                <w:tcPr>
                  <w:tcW w:w="1166" w:type="pct"/>
                  <w:vMerge w:val="restart"/>
                  <w:tcBorders>
                    <w:tl2br w:val="nil"/>
                    <w:tr2bl w:val="nil"/>
                  </w:tcBorders>
                  <w:vAlign w:val="center"/>
                </w:tcPr>
                <w:p w14:paraId="3BC98CFA">
                  <w:pPr>
                    <w:jc w:val="center"/>
                    <w:rPr>
                      <w:rFonts w:ascii="Times New Roman" w:hAnsi="Times New Roman" w:cs="Times New Roman"/>
                      <w:b/>
                      <w:bCs/>
                      <w:szCs w:val="21"/>
                    </w:rPr>
                  </w:pPr>
                  <w:r>
                    <w:rPr>
                      <w:rFonts w:hint="eastAsia" w:ascii="Times New Roman" w:hAnsi="Times New Roman" w:cs="Times New Roman"/>
                      <w:b/>
                      <w:bCs/>
                      <w:szCs w:val="21"/>
                    </w:rPr>
                    <w:t>最高允许排放浓度mg/m</w:t>
                  </w:r>
                  <w:r>
                    <w:rPr>
                      <w:rFonts w:ascii="Times New Roman" w:hAnsi="Times New Roman" w:cs="Times New Roman"/>
                      <w:b/>
                      <w:bCs/>
                      <w:szCs w:val="21"/>
                      <w:vertAlign w:val="superscript"/>
                    </w:rPr>
                    <w:t>3</w:t>
                  </w:r>
                </w:p>
              </w:tc>
              <w:tc>
                <w:tcPr>
                  <w:tcW w:w="1640" w:type="pct"/>
                  <w:gridSpan w:val="2"/>
                  <w:tcBorders>
                    <w:bottom w:val="single" w:color="000000" w:sz="4" w:space="0"/>
                    <w:tl2br w:val="nil"/>
                    <w:tr2bl w:val="nil"/>
                  </w:tcBorders>
                  <w:vAlign w:val="center"/>
                </w:tcPr>
                <w:p w14:paraId="3E3221DF">
                  <w:pPr>
                    <w:jc w:val="center"/>
                    <w:rPr>
                      <w:rFonts w:ascii="Times New Roman" w:hAnsi="Times New Roman" w:cs="Times New Roman"/>
                      <w:b/>
                      <w:bCs/>
                      <w:szCs w:val="21"/>
                    </w:rPr>
                  </w:pPr>
                  <w:r>
                    <w:rPr>
                      <w:rFonts w:hint="eastAsia" w:ascii="Times New Roman" w:hAnsi="Times New Roman" w:cs="Times New Roman"/>
                      <w:b/>
                      <w:bCs/>
                      <w:szCs w:val="21"/>
                    </w:rPr>
                    <w:t>最高允许排放速率（kg/</w:t>
                  </w:r>
                  <w:r>
                    <w:rPr>
                      <w:rFonts w:ascii="Times New Roman" w:hAnsi="Times New Roman" w:cs="Times New Roman"/>
                      <w:b/>
                      <w:bCs/>
                      <w:szCs w:val="21"/>
                    </w:rPr>
                    <w:t>h</w:t>
                  </w:r>
                  <w:r>
                    <w:rPr>
                      <w:rFonts w:hint="eastAsia" w:ascii="Times New Roman" w:hAnsi="Times New Roman" w:cs="Times New Roman"/>
                      <w:b/>
                      <w:bCs/>
                      <w:szCs w:val="21"/>
                    </w:rPr>
                    <w:t>）</w:t>
                  </w:r>
                </w:p>
              </w:tc>
              <w:tc>
                <w:tcPr>
                  <w:tcW w:w="1618" w:type="pct"/>
                  <w:gridSpan w:val="2"/>
                  <w:tcBorders>
                    <w:tl2br w:val="nil"/>
                    <w:tr2bl w:val="nil"/>
                  </w:tcBorders>
                  <w:vAlign w:val="center"/>
                </w:tcPr>
                <w:p w14:paraId="244A33B1">
                  <w:pPr>
                    <w:jc w:val="center"/>
                    <w:rPr>
                      <w:rFonts w:ascii="Times New Roman" w:hAnsi="Times New Roman" w:cs="Times New Roman"/>
                      <w:b/>
                      <w:bCs/>
                      <w:szCs w:val="21"/>
                    </w:rPr>
                  </w:pPr>
                  <w:r>
                    <w:rPr>
                      <w:rFonts w:hint="eastAsia" w:ascii="Times New Roman" w:hAnsi="Times New Roman" w:cs="Times New Roman"/>
                      <w:b/>
                      <w:bCs/>
                      <w:szCs w:val="21"/>
                    </w:rPr>
                    <w:t>最高允许排放速率严格50%执行后（kg/</w:t>
                  </w:r>
                  <w:r>
                    <w:rPr>
                      <w:rFonts w:ascii="Times New Roman" w:hAnsi="Times New Roman" w:cs="Times New Roman"/>
                      <w:b/>
                      <w:bCs/>
                      <w:szCs w:val="21"/>
                    </w:rPr>
                    <w:t>h</w:t>
                  </w:r>
                  <w:r>
                    <w:rPr>
                      <w:rFonts w:hint="eastAsia" w:ascii="Times New Roman" w:hAnsi="Times New Roman" w:cs="Times New Roman"/>
                      <w:b/>
                      <w:bCs/>
                      <w:szCs w:val="21"/>
                    </w:rPr>
                    <w:t>）</w:t>
                  </w:r>
                </w:p>
              </w:tc>
            </w:tr>
            <w:tr w14:paraId="3682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573" w:type="pct"/>
                  <w:vMerge w:val="continue"/>
                  <w:tcBorders>
                    <w:tl2br w:val="nil"/>
                    <w:tr2bl w:val="nil"/>
                  </w:tcBorders>
                  <w:vAlign w:val="center"/>
                </w:tcPr>
                <w:p w14:paraId="206A05B4">
                  <w:pPr>
                    <w:jc w:val="center"/>
                    <w:rPr>
                      <w:rFonts w:ascii="Times New Roman" w:hAnsi="Times New Roman" w:cs="Times New Roman"/>
                      <w:b/>
                      <w:bCs/>
                      <w:szCs w:val="21"/>
                    </w:rPr>
                  </w:pPr>
                </w:p>
              </w:tc>
              <w:tc>
                <w:tcPr>
                  <w:tcW w:w="1166" w:type="pct"/>
                  <w:vMerge w:val="continue"/>
                  <w:tcBorders>
                    <w:tl2br w:val="nil"/>
                    <w:tr2bl w:val="nil"/>
                  </w:tcBorders>
                  <w:vAlign w:val="center"/>
                </w:tcPr>
                <w:p w14:paraId="1E699E8A">
                  <w:pPr>
                    <w:jc w:val="center"/>
                    <w:rPr>
                      <w:rFonts w:ascii="Times New Roman" w:hAnsi="Times New Roman" w:cs="Times New Roman"/>
                      <w:b/>
                      <w:bCs/>
                      <w:szCs w:val="21"/>
                    </w:rPr>
                  </w:pPr>
                </w:p>
              </w:tc>
              <w:tc>
                <w:tcPr>
                  <w:tcW w:w="1063" w:type="pct"/>
                  <w:tcBorders>
                    <w:top w:val="single" w:color="000000" w:sz="4" w:space="0"/>
                    <w:right w:val="single" w:color="000000" w:sz="4" w:space="0"/>
                    <w:tl2br w:val="nil"/>
                    <w:tr2bl w:val="nil"/>
                  </w:tcBorders>
                  <w:vAlign w:val="center"/>
                </w:tcPr>
                <w:p w14:paraId="54F3C6EF">
                  <w:pPr>
                    <w:jc w:val="center"/>
                    <w:rPr>
                      <w:rFonts w:ascii="Times New Roman" w:hAnsi="Times New Roman" w:cs="Times New Roman"/>
                      <w:b/>
                      <w:bCs/>
                      <w:szCs w:val="21"/>
                    </w:rPr>
                  </w:pPr>
                  <w:r>
                    <w:rPr>
                      <w:rFonts w:hint="eastAsia" w:ascii="Times New Roman" w:hAnsi="Times New Roman" w:cs="Times New Roman"/>
                      <w:b/>
                      <w:bCs/>
                      <w:szCs w:val="21"/>
                    </w:rPr>
                    <w:t>排气筒高度 ，m</w:t>
                  </w:r>
                </w:p>
              </w:tc>
              <w:tc>
                <w:tcPr>
                  <w:tcW w:w="577" w:type="pct"/>
                  <w:tcBorders>
                    <w:top w:val="single" w:color="000000" w:sz="4" w:space="0"/>
                    <w:left w:val="single" w:color="000000" w:sz="4" w:space="0"/>
                    <w:tl2br w:val="nil"/>
                    <w:tr2bl w:val="nil"/>
                  </w:tcBorders>
                  <w:vAlign w:val="center"/>
                </w:tcPr>
                <w:p w14:paraId="27239E82">
                  <w:pPr>
                    <w:jc w:val="center"/>
                    <w:rPr>
                      <w:rFonts w:ascii="Times New Roman" w:hAnsi="Times New Roman" w:cs="Times New Roman"/>
                      <w:b/>
                      <w:bCs/>
                      <w:szCs w:val="21"/>
                    </w:rPr>
                  </w:pPr>
                  <w:r>
                    <w:rPr>
                      <w:rFonts w:hint="eastAsia" w:ascii="Times New Roman" w:hAnsi="Times New Roman" w:cs="Times New Roman"/>
                      <w:b/>
                      <w:bCs/>
                      <w:szCs w:val="21"/>
                    </w:rPr>
                    <w:t>二级</w:t>
                  </w:r>
                </w:p>
              </w:tc>
              <w:tc>
                <w:tcPr>
                  <w:tcW w:w="1059" w:type="pct"/>
                  <w:tcBorders>
                    <w:top w:val="single" w:color="000000" w:sz="4" w:space="0"/>
                    <w:right w:val="single" w:color="000000" w:sz="4" w:space="0"/>
                    <w:tl2br w:val="nil"/>
                    <w:tr2bl w:val="nil"/>
                  </w:tcBorders>
                  <w:vAlign w:val="center"/>
                </w:tcPr>
                <w:p w14:paraId="1C84B958">
                  <w:pPr>
                    <w:jc w:val="center"/>
                    <w:rPr>
                      <w:rFonts w:ascii="Times New Roman" w:hAnsi="Times New Roman" w:cs="Times New Roman"/>
                      <w:b/>
                      <w:bCs/>
                      <w:szCs w:val="21"/>
                    </w:rPr>
                  </w:pPr>
                  <w:r>
                    <w:rPr>
                      <w:rFonts w:hint="eastAsia" w:ascii="Times New Roman" w:hAnsi="Times New Roman" w:cs="Times New Roman"/>
                      <w:b/>
                      <w:bCs/>
                      <w:szCs w:val="21"/>
                    </w:rPr>
                    <w:t>排气筒高度 ，m</w:t>
                  </w:r>
                </w:p>
              </w:tc>
              <w:tc>
                <w:tcPr>
                  <w:tcW w:w="558" w:type="pct"/>
                  <w:tcBorders>
                    <w:top w:val="single" w:color="000000" w:sz="4" w:space="0"/>
                    <w:left w:val="single" w:color="000000" w:sz="4" w:space="0"/>
                    <w:tl2br w:val="nil"/>
                    <w:tr2bl w:val="nil"/>
                  </w:tcBorders>
                  <w:vAlign w:val="center"/>
                </w:tcPr>
                <w:p w14:paraId="2AC72FD3">
                  <w:pPr>
                    <w:jc w:val="center"/>
                    <w:rPr>
                      <w:rFonts w:ascii="Times New Roman" w:hAnsi="Times New Roman" w:cs="Times New Roman"/>
                      <w:b/>
                      <w:bCs/>
                      <w:szCs w:val="21"/>
                    </w:rPr>
                  </w:pPr>
                  <w:r>
                    <w:rPr>
                      <w:rFonts w:hint="eastAsia" w:ascii="Times New Roman" w:hAnsi="Times New Roman" w:cs="Times New Roman"/>
                      <w:b/>
                      <w:bCs/>
                      <w:szCs w:val="21"/>
                    </w:rPr>
                    <w:t>二级</w:t>
                  </w:r>
                </w:p>
              </w:tc>
            </w:tr>
            <w:tr w14:paraId="50BE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73" w:type="pct"/>
                  <w:tcBorders>
                    <w:tl2br w:val="nil"/>
                    <w:tr2bl w:val="nil"/>
                  </w:tcBorders>
                  <w:vAlign w:val="center"/>
                </w:tcPr>
                <w:p w14:paraId="4611F645">
                  <w:pPr>
                    <w:jc w:val="center"/>
                    <w:rPr>
                      <w:rFonts w:ascii="Times New Roman" w:hAnsi="Times New Roman" w:cs="Times New Roman"/>
                      <w:szCs w:val="21"/>
                    </w:rPr>
                  </w:pPr>
                  <w:r>
                    <w:rPr>
                      <w:rFonts w:hint="eastAsia" w:ascii="Times New Roman" w:hAnsi="Times New Roman" w:eastAsia="宋体" w:cs="Times New Roman"/>
                      <w:szCs w:val="21"/>
                    </w:rPr>
                    <w:t>沥青烟</w:t>
                  </w:r>
                </w:p>
              </w:tc>
              <w:tc>
                <w:tcPr>
                  <w:tcW w:w="1166" w:type="pct"/>
                  <w:tcBorders>
                    <w:tl2br w:val="nil"/>
                    <w:tr2bl w:val="nil"/>
                  </w:tcBorders>
                  <w:vAlign w:val="center"/>
                </w:tcPr>
                <w:p w14:paraId="3A218517">
                  <w:pPr>
                    <w:jc w:val="center"/>
                    <w:rPr>
                      <w:rFonts w:ascii="Times New Roman" w:hAnsi="Times New Roman" w:cs="Times New Roman"/>
                      <w:szCs w:val="21"/>
                    </w:rPr>
                  </w:pPr>
                  <w:r>
                    <w:rPr>
                      <w:rFonts w:hint="eastAsia" w:ascii="Times New Roman" w:hAnsi="Times New Roman" w:cs="Times New Roman"/>
                      <w:szCs w:val="21"/>
                    </w:rPr>
                    <w:t>75</w:t>
                  </w:r>
                </w:p>
              </w:tc>
              <w:tc>
                <w:tcPr>
                  <w:tcW w:w="1063" w:type="pct"/>
                  <w:tcBorders>
                    <w:right w:val="single" w:color="000000" w:sz="4" w:space="0"/>
                    <w:tl2br w:val="nil"/>
                    <w:tr2bl w:val="nil"/>
                  </w:tcBorders>
                  <w:vAlign w:val="center"/>
                </w:tcPr>
                <w:p w14:paraId="32FB9CE5">
                  <w:pPr>
                    <w:jc w:val="center"/>
                    <w:rPr>
                      <w:rFonts w:ascii="Times New Roman" w:hAnsi="Times New Roman" w:cs="Times New Roman"/>
                      <w:szCs w:val="21"/>
                    </w:rPr>
                  </w:pPr>
                  <w:r>
                    <w:rPr>
                      <w:rFonts w:hint="eastAsia" w:ascii="Times New Roman" w:hAnsi="Times New Roman" w:cs="Times New Roman"/>
                      <w:szCs w:val="21"/>
                    </w:rPr>
                    <w:t>15</w:t>
                  </w:r>
                </w:p>
              </w:tc>
              <w:tc>
                <w:tcPr>
                  <w:tcW w:w="577" w:type="pct"/>
                  <w:tcBorders>
                    <w:left w:val="single" w:color="000000" w:sz="4" w:space="0"/>
                    <w:tl2br w:val="nil"/>
                    <w:tr2bl w:val="nil"/>
                  </w:tcBorders>
                  <w:vAlign w:val="center"/>
                </w:tcPr>
                <w:p w14:paraId="79BED95A">
                  <w:pPr>
                    <w:jc w:val="center"/>
                    <w:rPr>
                      <w:rFonts w:ascii="Times New Roman" w:hAnsi="Times New Roman" w:cs="Times New Roman"/>
                      <w:szCs w:val="21"/>
                    </w:rPr>
                  </w:pPr>
                  <w:r>
                    <w:rPr>
                      <w:rFonts w:hint="eastAsia" w:ascii="Times New Roman" w:hAnsi="Times New Roman" w:cs="Times New Roman"/>
                      <w:szCs w:val="21"/>
                    </w:rPr>
                    <w:t>0.18</w:t>
                  </w:r>
                </w:p>
              </w:tc>
              <w:tc>
                <w:tcPr>
                  <w:tcW w:w="1059" w:type="pct"/>
                  <w:tcBorders>
                    <w:right w:val="single" w:color="000000" w:sz="4" w:space="0"/>
                    <w:tl2br w:val="nil"/>
                    <w:tr2bl w:val="nil"/>
                  </w:tcBorders>
                  <w:vAlign w:val="center"/>
                </w:tcPr>
                <w:p w14:paraId="29A53B92">
                  <w:pPr>
                    <w:jc w:val="center"/>
                    <w:rPr>
                      <w:rFonts w:ascii="Times New Roman" w:hAnsi="Times New Roman" w:cs="Times New Roman"/>
                      <w:szCs w:val="21"/>
                    </w:rPr>
                  </w:pPr>
                  <w:r>
                    <w:rPr>
                      <w:rFonts w:hint="eastAsia" w:ascii="Times New Roman" w:hAnsi="Times New Roman" w:cs="Times New Roman"/>
                      <w:szCs w:val="21"/>
                    </w:rPr>
                    <w:t>15</w:t>
                  </w:r>
                </w:p>
              </w:tc>
              <w:tc>
                <w:tcPr>
                  <w:tcW w:w="558" w:type="pct"/>
                  <w:tcBorders>
                    <w:left w:val="single" w:color="000000" w:sz="4" w:space="0"/>
                    <w:tl2br w:val="nil"/>
                    <w:tr2bl w:val="nil"/>
                  </w:tcBorders>
                  <w:vAlign w:val="center"/>
                </w:tcPr>
                <w:p w14:paraId="42EB1CD7">
                  <w:pPr>
                    <w:jc w:val="center"/>
                    <w:rPr>
                      <w:rFonts w:ascii="Times New Roman" w:hAnsi="Times New Roman" w:cs="Times New Roman"/>
                      <w:szCs w:val="21"/>
                    </w:rPr>
                  </w:pPr>
                  <w:r>
                    <w:rPr>
                      <w:rFonts w:hint="eastAsia" w:ascii="Times New Roman" w:hAnsi="Times New Roman" w:cs="Times New Roman"/>
                      <w:szCs w:val="21"/>
                    </w:rPr>
                    <w:t>0.09</w:t>
                  </w:r>
                </w:p>
              </w:tc>
            </w:tr>
            <w:tr w14:paraId="2E5AC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73" w:type="pct"/>
                  <w:tcBorders>
                    <w:tl2br w:val="nil"/>
                    <w:tr2bl w:val="nil"/>
                  </w:tcBorders>
                  <w:vAlign w:val="center"/>
                </w:tcPr>
                <w:p w14:paraId="2E66928F">
                  <w:pPr>
                    <w:jc w:val="center"/>
                    <w:rPr>
                      <w:rFonts w:ascii="Times New Roman" w:hAnsi="Times New Roman" w:cs="Times New Roman"/>
                      <w:szCs w:val="21"/>
                    </w:rPr>
                  </w:pPr>
                  <w:r>
                    <w:rPr>
                      <w:rFonts w:hint="eastAsia" w:ascii="Times New Roman" w:hAnsi="Times New Roman" w:cs="Times New Roman"/>
                      <w:szCs w:val="21"/>
                    </w:rPr>
                    <w:t>苯并[a]芘</w:t>
                  </w:r>
                </w:p>
              </w:tc>
              <w:tc>
                <w:tcPr>
                  <w:tcW w:w="1166" w:type="pct"/>
                  <w:tcBorders>
                    <w:tl2br w:val="nil"/>
                    <w:tr2bl w:val="nil"/>
                  </w:tcBorders>
                  <w:vAlign w:val="center"/>
                </w:tcPr>
                <w:p w14:paraId="301151B7">
                  <w:pPr>
                    <w:jc w:val="center"/>
                    <w:rPr>
                      <w:rFonts w:ascii="Times New Roman" w:hAnsi="Times New Roman" w:cs="Times New Roman"/>
                      <w:szCs w:val="21"/>
                    </w:rPr>
                  </w:pPr>
                  <w:r>
                    <w:rPr>
                      <w:rFonts w:ascii="Times New Roman" w:hAnsi="Times New Roman" w:cs="Times New Roman"/>
                      <w:szCs w:val="21"/>
                    </w:rPr>
                    <w:t>0.30×10</w:t>
                  </w:r>
                  <w:r>
                    <w:rPr>
                      <w:rFonts w:hint="eastAsia" w:ascii="Times New Roman" w:hAnsi="Times New Roman" w:cs="Times New Roman"/>
                      <w:szCs w:val="21"/>
                      <w:vertAlign w:val="superscript"/>
                    </w:rPr>
                    <w:t>-3</w:t>
                  </w:r>
                </w:p>
              </w:tc>
              <w:tc>
                <w:tcPr>
                  <w:tcW w:w="1063" w:type="pct"/>
                  <w:tcBorders>
                    <w:right w:val="single" w:color="000000" w:sz="4" w:space="0"/>
                    <w:tl2br w:val="nil"/>
                    <w:tr2bl w:val="nil"/>
                  </w:tcBorders>
                  <w:vAlign w:val="center"/>
                </w:tcPr>
                <w:p w14:paraId="2378A430">
                  <w:pPr>
                    <w:jc w:val="center"/>
                    <w:rPr>
                      <w:rFonts w:ascii="Times New Roman" w:hAnsi="Times New Roman" w:cs="Times New Roman"/>
                      <w:szCs w:val="21"/>
                    </w:rPr>
                  </w:pPr>
                  <w:r>
                    <w:rPr>
                      <w:rFonts w:hint="eastAsia" w:ascii="Times New Roman" w:hAnsi="Times New Roman" w:cs="Times New Roman"/>
                      <w:szCs w:val="21"/>
                    </w:rPr>
                    <w:t>15</w:t>
                  </w:r>
                </w:p>
              </w:tc>
              <w:tc>
                <w:tcPr>
                  <w:tcW w:w="577" w:type="pct"/>
                  <w:tcBorders>
                    <w:left w:val="single" w:color="000000" w:sz="4" w:space="0"/>
                    <w:tl2br w:val="nil"/>
                    <w:tr2bl w:val="nil"/>
                  </w:tcBorders>
                  <w:vAlign w:val="center"/>
                </w:tcPr>
                <w:p w14:paraId="663F7C95">
                  <w:pPr>
                    <w:jc w:val="center"/>
                    <w:rPr>
                      <w:rFonts w:ascii="Times New Roman" w:hAnsi="Times New Roman" w:cs="Times New Roman"/>
                      <w:szCs w:val="21"/>
                    </w:rPr>
                  </w:pPr>
                  <w:r>
                    <w:rPr>
                      <w:rFonts w:ascii="Times New Roman" w:hAnsi="Times New Roman" w:cs="Times New Roman"/>
                      <w:szCs w:val="21"/>
                    </w:rPr>
                    <w:t>0.050×10</w:t>
                  </w:r>
                  <w:r>
                    <w:rPr>
                      <w:rFonts w:hint="eastAsia" w:ascii="Times New Roman" w:hAnsi="Times New Roman" w:cs="Times New Roman"/>
                      <w:szCs w:val="21"/>
                      <w:vertAlign w:val="superscript"/>
                    </w:rPr>
                    <w:t>-3</w:t>
                  </w:r>
                </w:p>
              </w:tc>
              <w:tc>
                <w:tcPr>
                  <w:tcW w:w="1059" w:type="pct"/>
                  <w:tcBorders>
                    <w:right w:val="single" w:color="000000" w:sz="4" w:space="0"/>
                    <w:tl2br w:val="nil"/>
                    <w:tr2bl w:val="nil"/>
                  </w:tcBorders>
                  <w:vAlign w:val="center"/>
                </w:tcPr>
                <w:p w14:paraId="2C9B5458">
                  <w:pPr>
                    <w:jc w:val="center"/>
                    <w:rPr>
                      <w:rFonts w:ascii="Times New Roman" w:hAnsi="Times New Roman" w:cs="Times New Roman"/>
                      <w:szCs w:val="21"/>
                    </w:rPr>
                  </w:pPr>
                  <w:r>
                    <w:rPr>
                      <w:rFonts w:hint="eastAsia" w:ascii="Times New Roman" w:hAnsi="Times New Roman" w:cs="Times New Roman"/>
                      <w:szCs w:val="21"/>
                    </w:rPr>
                    <w:t>15</w:t>
                  </w:r>
                </w:p>
              </w:tc>
              <w:tc>
                <w:tcPr>
                  <w:tcW w:w="558" w:type="pct"/>
                  <w:tcBorders>
                    <w:left w:val="single" w:color="000000" w:sz="4" w:space="0"/>
                    <w:tl2br w:val="nil"/>
                    <w:tr2bl w:val="nil"/>
                  </w:tcBorders>
                  <w:vAlign w:val="center"/>
                </w:tcPr>
                <w:p w14:paraId="5DFF833E">
                  <w:pPr>
                    <w:jc w:val="center"/>
                    <w:rPr>
                      <w:rFonts w:ascii="Times New Roman" w:hAnsi="Times New Roman" w:cs="Times New Roman"/>
                      <w:szCs w:val="21"/>
                    </w:rPr>
                  </w:pPr>
                  <w:r>
                    <w:rPr>
                      <w:rFonts w:ascii="Times New Roman" w:hAnsi="Times New Roman" w:cs="Times New Roman"/>
                      <w:szCs w:val="21"/>
                    </w:rPr>
                    <w:t>0.025×10</w:t>
                  </w:r>
                  <w:r>
                    <w:rPr>
                      <w:rFonts w:hint="eastAsia" w:ascii="Times New Roman" w:hAnsi="Times New Roman" w:cs="Times New Roman"/>
                      <w:szCs w:val="21"/>
                      <w:vertAlign w:val="superscript"/>
                    </w:rPr>
                    <w:t>-3</w:t>
                  </w:r>
                </w:p>
              </w:tc>
            </w:tr>
            <w:tr w14:paraId="24D6E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73" w:type="pct"/>
                  <w:tcBorders>
                    <w:tl2br w:val="nil"/>
                    <w:tr2bl w:val="nil"/>
                  </w:tcBorders>
                  <w:vAlign w:val="center"/>
                </w:tcPr>
                <w:p w14:paraId="6AD564D1">
                  <w:pPr>
                    <w:jc w:val="center"/>
                    <w:rPr>
                      <w:rFonts w:ascii="Times New Roman" w:hAnsi="Times New Roman" w:cs="Times New Roman"/>
                      <w:szCs w:val="21"/>
                    </w:rPr>
                  </w:pPr>
                  <w:r>
                    <w:rPr>
                      <w:rFonts w:hint="eastAsia" w:ascii="Times New Roman" w:hAnsi="Times New Roman" w:cs="Times New Roman"/>
                      <w:szCs w:val="21"/>
                    </w:rPr>
                    <w:t>非甲烷总烃</w:t>
                  </w:r>
                </w:p>
              </w:tc>
              <w:tc>
                <w:tcPr>
                  <w:tcW w:w="1166" w:type="pct"/>
                  <w:tcBorders>
                    <w:tl2br w:val="nil"/>
                    <w:tr2bl w:val="nil"/>
                  </w:tcBorders>
                  <w:vAlign w:val="center"/>
                </w:tcPr>
                <w:p w14:paraId="17898C0E">
                  <w:pPr>
                    <w:jc w:val="center"/>
                    <w:rPr>
                      <w:rFonts w:ascii="Times New Roman" w:hAnsi="Times New Roman" w:cs="Times New Roman"/>
                      <w:szCs w:val="21"/>
                    </w:rPr>
                  </w:pPr>
                  <w:r>
                    <w:rPr>
                      <w:rFonts w:hint="eastAsia" w:ascii="Times New Roman" w:hAnsi="Times New Roman" w:cs="Times New Roman"/>
                      <w:szCs w:val="21"/>
                    </w:rPr>
                    <w:t>120</w:t>
                  </w:r>
                </w:p>
              </w:tc>
              <w:tc>
                <w:tcPr>
                  <w:tcW w:w="1063" w:type="pct"/>
                  <w:tcBorders>
                    <w:right w:val="single" w:color="000000" w:sz="4" w:space="0"/>
                    <w:tl2br w:val="nil"/>
                    <w:tr2bl w:val="nil"/>
                  </w:tcBorders>
                  <w:vAlign w:val="center"/>
                </w:tcPr>
                <w:p w14:paraId="12CEBEBE">
                  <w:pPr>
                    <w:jc w:val="center"/>
                    <w:rPr>
                      <w:rFonts w:ascii="Times New Roman" w:hAnsi="Times New Roman" w:cs="Times New Roman"/>
                      <w:szCs w:val="21"/>
                    </w:rPr>
                  </w:pPr>
                  <w:r>
                    <w:rPr>
                      <w:rFonts w:hint="eastAsia" w:ascii="Times New Roman" w:hAnsi="Times New Roman" w:cs="Times New Roman"/>
                      <w:szCs w:val="21"/>
                    </w:rPr>
                    <w:t>15</w:t>
                  </w:r>
                </w:p>
              </w:tc>
              <w:tc>
                <w:tcPr>
                  <w:tcW w:w="577" w:type="pct"/>
                  <w:tcBorders>
                    <w:left w:val="single" w:color="000000" w:sz="4" w:space="0"/>
                    <w:tl2br w:val="nil"/>
                    <w:tr2bl w:val="nil"/>
                  </w:tcBorders>
                  <w:vAlign w:val="center"/>
                </w:tcPr>
                <w:p w14:paraId="207847B5">
                  <w:pPr>
                    <w:jc w:val="center"/>
                    <w:rPr>
                      <w:rFonts w:ascii="Times New Roman" w:hAnsi="Times New Roman" w:cs="Times New Roman"/>
                      <w:szCs w:val="21"/>
                    </w:rPr>
                  </w:pPr>
                  <w:r>
                    <w:rPr>
                      <w:rFonts w:hint="eastAsia" w:ascii="Times New Roman" w:hAnsi="Times New Roman" w:cs="Times New Roman"/>
                      <w:szCs w:val="21"/>
                    </w:rPr>
                    <w:t>10</w:t>
                  </w:r>
                </w:p>
              </w:tc>
              <w:tc>
                <w:tcPr>
                  <w:tcW w:w="1059" w:type="pct"/>
                  <w:tcBorders>
                    <w:right w:val="single" w:color="000000" w:sz="4" w:space="0"/>
                    <w:tl2br w:val="nil"/>
                    <w:tr2bl w:val="nil"/>
                  </w:tcBorders>
                  <w:vAlign w:val="center"/>
                </w:tcPr>
                <w:p w14:paraId="4163A593">
                  <w:pPr>
                    <w:jc w:val="center"/>
                    <w:rPr>
                      <w:rFonts w:ascii="Times New Roman" w:hAnsi="Times New Roman" w:cs="Times New Roman"/>
                      <w:szCs w:val="21"/>
                    </w:rPr>
                  </w:pPr>
                  <w:r>
                    <w:rPr>
                      <w:rFonts w:hint="eastAsia" w:ascii="Times New Roman" w:hAnsi="Times New Roman" w:cs="Times New Roman"/>
                      <w:szCs w:val="21"/>
                    </w:rPr>
                    <w:t>15</w:t>
                  </w:r>
                </w:p>
              </w:tc>
              <w:tc>
                <w:tcPr>
                  <w:tcW w:w="558" w:type="pct"/>
                  <w:tcBorders>
                    <w:left w:val="single" w:color="000000" w:sz="4" w:space="0"/>
                    <w:tl2br w:val="nil"/>
                    <w:tr2bl w:val="nil"/>
                  </w:tcBorders>
                  <w:vAlign w:val="center"/>
                </w:tcPr>
                <w:p w14:paraId="26D3C26F">
                  <w:pPr>
                    <w:jc w:val="center"/>
                    <w:rPr>
                      <w:rFonts w:ascii="Times New Roman" w:hAnsi="Times New Roman" w:cs="Times New Roman"/>
                      <w:szCs w:val="21"/>
                    </w:rPr>
                  </w:pPr>
                  <w:r>
                    <w:rPr>
                      <w:rFonts w:hint="eastAsia" w:ascii="Times New Roman" w:hAnsi="Times New Roman" w:cs="Times New Roman"/>
                      <w:szCs w:val="21"/>
                    </w:rPr>
                    <w:t>5</w:t>
                  </w:r>
                </w:p>
              </w:tc>
            </w:tr>
            <w:tr w14:paraId="0DC4A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6"/>
                  <w:tcBorders>
                    <w:tl2br w:val="nil"/>
                    <w:tr2bl w:val="nil"/>
                  </w:tcBorders>
                  <w:vAlign w:val="center"/>
                </w:tcPr>
                <w:p w14:paraId="62951E9F">
                  <w:pPr>
                    <w:rPr>
                      <w:rFonts w:ascii="Times New Roman" w:hAnsi="Times New Roman" w:cs="Times New Roman"/>
                      <w:color w:val="FF0000"/>
                      <w:szCs w:val="21"/>
                    </w:rPr>
                  </w:pPr>
                  <w:r>
                    <w:rPr>
                      <w:rFonts w:hint="eastAsia" w:ascii="Times New Roman" w:hAnsi="Times New Roman" w:cs="Times New Roman"/>
                      <w:szCs w:val="21"/>
                    </w:rPr>
                    <w:t>注1：《大气污染物综合排放标准》（GB16297-1996）要求：“排气筒高度除须遵守表列排放速率标准值外，还应高出周围200m半径范围的建筑5m以上，不能达到该要求的排气筒，应按其高度对应的表列排放速率标准值严格50%执行”。本项目DA003排气筒高度为15 m，厂区最高建（构）筑物为沥青拌合楼，高度约22 m，200 m范围内存在高度超过排气筒高度的建（构）筑物，因此DA003排气筒各污染物最高允许排放速率严格50%执行。</w:t>
                  </w:r>
                </w:p>
              </w:tc>
            </w:tr>
          </w:tbl>
          <w:p w14:paraId="4D086275">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Times New Roman" w:eastAsia="宋体" w:cs="Times New Roman"/>
                <w:sz w:val="24"/>
              </w:rPr>
              <w:t>DA00</w:t>
            </w:r>
            <w:r>
              <w:rPr>
                <w:rFonts w:hint="eastAsia" w:ascii="Times New Roman" w:hAnsi="Times New Roman" w:eastAsia="宋体" w:cs="Times New Roman"/>
                <w:sz w:val="24"/>
              </w:rPr>
              <w:t>4排气筒</w:t>
            </w:r>
          </w:p>
          <w:p w14:paraId="55B5FB25">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本项目DA004排气筒颗粒物、SO</w:t>
            </w:r>
            <w:r>
              <w:rPr>
                <w:rFonts w:hint="eastAsia" w:ascii="Times New Roman" w:hAnsi="Times New Roman" w:eastAsia="宋体" w:cs="Times New Roman"/>
                <w:sz w:val="24"/>
                <w:vertAlign w:val="subscript"/>
              </w:rPr>
              <w:t>2</w:t>
            </w:r>
            <w:r>
              <w:rPr>
                <w:rFonts w:hint="eastAsia" w:ascii="Times New Roman" w:hAnsi="Times New Roman" w:eastAsia="宋体" w:cs="Times New Roman"/>
                <w:sz w:val="24"/>
              </w:rPr>
              <w:t>、NO</w:t>
            </w:r>
            <w:r>
              <w:rPr>
                <w:rFonts w:hint="eastAsia" w:ascii="Times New Roman" w:hAnsi="Times New Roman" w:eastAsia="宋体" w:cs="Times New Roman"/>
                <w:sz w:val="24"/>
                <w:vertAlign w:val="subscript"/>
              </w:rPr>
              <w:t>x</w:t>
            </w:r>
            <w:r>
              <w:rPr>
                <w:rFonts w:hint="eastAsia" w:ascii="Times New Roman" w:hAnsi="Times New Roman" w:eastAsia="宋体" w:cs="Times New Roman"/>
                <w:sz w:val="24"/>
              </w:rPr>
              <w:t>执行《锅炉大气污染物排放标准》（GB13271-2014）表2新建锅炉大气污染物排放浓度限值-燃油锅炉限值；</w:t>
            </w:r>
            <w:r>
              <w:rPr>
                <w:rFonts w:ascii="Times New Roman" w:hAnsi="Times New Roman" w:eastAsia="宋体" w:cs="Times New Roman"/>
                <w:sz w:val="24"/>
              </w:rPr>
              <w:t>具体标准值见下表。</w:t>
            </w:r>
          </w:p>
          <w:p w14:paraId="41708FB6">
            <w:pPr>
              <w:wordWrap w:val="0"/>
              <w:topLinePunct/>
              <w:snapToGrid w:val="0"/>
              <w:spacing w:line="360" w:lineRule="auto"/>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 xml:space="preserve">   表3-12 《锅炉大气污染物排放标准》（GB13271-2014）</w:t>
            </w:r>
          </w:p>
          <w:tbl>
            <w:tblPr>
              <w:tblStyle w:val="28"/>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5"/>
              <w:gridCol w:w="1066"/>
              <w:gridCol w:w="1181"/>
              <w:gridCol w:w="1118"/>
              <w:gridCol w:w="1790"/>
              <w:gridCol w:w="1595"/>
            </w:tblGrid>
            <w:tr w14:paraId="3F325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708" w:type="pct"/>
                  <w:tcBorders>
                    <w:tl2br w:val="nil"/>
                    <w:tr2bl w:val="nil"/>
                  </w:tcBorders>
                  <w:vAlign w:val="center"/>
                </w:tcPr>
                <w:p w14:paraId="164607B8">
                  <w:pPr>
                    <w:jc w:val="center"/>
                    <w:rPr>
                      <w:rFonts w:ascii="Times New Roman" w:hAnsi="Times New Roman" w:cs="Times New Roman"/>
                      <w:b/>
                      <w:bCs/>
                      <w:szCs w:val="21"/>
                    </w:rPr>
                  </w:pPr>
                  <w:r>
                    <w:rPr>
                      <w:rFonts w:hint="eastAsia" w:ascii="Times New Roman" w:hAnsi="Times New Roman" w:cs="Times New Roman"/>
                      <w:b/>
                      <w:bCs/>
                      <w:szCs w:val="21"/>
                    </w:rPr>
                    <w:t>污染物</w:t>
                  </w:r>
                </w:p>
              </w:tc>
              <w:tc>
                <w:tcPr>
                  <w:tcW w:w="677" w:type="pct"/>
                  <w:tcBorders>
                    <w:tl2br w:val="nil"/>
                    <w:tr2bl w:val="nil"/>
                  </w:tcBorders>
                  <w:vAlign w:val="center"/>
                </w:tcPr>
                <w:p w14:paraId="17A2E614">
                  <w:pPr>
                    <w:jc w:val="center"/>
                    <w:rPr>
                      <w:rFonts w:ascii="Times New Roman" w:hAnsi="Times New Roman" w:cs="Times New Roman"/>
                      <w:b/>
                      <w:bCs/>
                      <w:szCs w:val="21"/>
                    </w:rPr>
                  </w:pPr>
                  <w:r>
                    <w:rPr>
                      <w:rFonts w:hint="eastAsia" w:ascii="Times New Roman" w:hAnsi="Times New Roman" w:cs="Times New Roman"/>
                      <w:b/>
                      <w:bCs/>
                      <w:szCs w:val="21"/>
                    </w:rPr>
                    <w:t>颗粒物</w:t>
                  </w:r>
                </w:p>
              </w:tc>
              <w:tc>
                <w:tcPr>
                  <w:tcW w:w="751" w:type="pct"/>
                  <w:tcBorders>
                    <w:tl2br w:val="nil"/>
                    <w:tr2bl w:val="nil"/>
                  </w:tcBorders>
                  <w:vAlign w:val="center"/>
                </w:tcPr>
                <w:p w14:paraId="5F6144A3">
                  <w:pPr>
                    <w:jc w:val="center"/>
                    <w:rPr>
                      <w:rFonts w:ascii="Times New Roman" w:hAnsi="Times New Roman" w:cs="Times New Roman"/>
                      <w:b/>
                      <w:bCs/>
                      <w:szCs w:val="21"/>
                    </w:rPr>
                  </w:pPr>
                  <w:r>
                    <w:rPr>
                      <w:rFonts w:hint="eastAsia" w:ascii="Times New Roman" w:hAnsi="Times New Roman" w:cs="Times New Roman"/>
                      <w:b/>
                      <w:bCs/>
                      <w:szCs w:val="21"/>
                    </w:rPr>
                    <w:t>SO</w:t>
                  </w:r>
                  <w:r>
                    <w:rPr>
                      <w:rFonts w:hint="eastAsia" w:ascii="Times New Roman" w:hAnsi="Times New Roman" w:cs="Times New Roman"/>
                      <w:b/>
                      <w:bCs/>
                      <w:szCs w:val="21"/>
                      <w:vertAlign w:val="subscript"/>
                    </w:rPr>
                    <w:t>2</w:t>
                  </w:r>
                </w:p>
              </w:tc>
              <w:tc>
                <w:tcPr>
                  <w:tcW w:w="711" w:type="pct"/>
                  <w:tcBorders>
                    <w:tl2br w:val="nil"/>
                    <w:tr2bl w:val="nil"/>
                  </w:tcBorders>
                  <w:vAlign w:val="center"/>
                </w:tcPr>
                <w:p w14:paraId="319303F9">
                  <w:pPr>
                    <w:jc w:val="center"/>
                    <w:rPr>
                      <w:rFonts w:ascii="Times New Roman" w:hAnsi="Times New Roman" w:cs="Times New Roman"/>
                      <w:b/>
                      <w:bCs/>
                      <w:szCs w:val="21"/>
                    </w:rPr>
                  </w:pPr>
                  <w:r>
                    <w:rPr>
                      <w:rFonts w:hint="eastAsia" w:ascii="Times New Roman" w:hAnsi="Times New Roman" w:cs="Times New Roman"/>
                      <w:b/>
                      <w:bCs/>
                      <w:szCs w:val="21"/>
                    </w:rPr>
                    <w:t>NOx</w:t>
                  </w:r>
                </w:p>
              </w:tc>
              <w:tc>
                <w:tcPr>
                  <w:tcW w:w="1137" w:type="pct"/>
                  <w:tcBorders>
                    <w:tl2br w:val="nil"/>
                    <w:tr2bl w:val="nil"/>
                  </w:tcBorders>
                  <w:vAlign w:val="center"/>
                </w:tcPr>
                <w:p w14:paraId="700C2A5E">
                  <w:pPr>
                    <w:jc w:val="center"/>
                    <w:rPr>
                      <w:rFonts w:ascii="Times New Roman" w:hAnsi="Times New Roman" w:cs="Times New Roman"/>
                      <w:b/>
                      <w:bCs/>
                      <w:szCs w:val="21"/>
                    </w:rPr>
                  </w:pPr>
                  <w:r>
                    <w:rPr>
                      <w:rFonts w:hint="eastAsia" w:ascii="Times New Roman" w:hAnsi="Times New Roman" w:cs="Times New Roman"/>
                      <w:b/>
                      <w:bCs/>
                      <w:szCs w:val="21"/>
                    </w:rPr>
                    <w:t>烟气林格曼黑度</w:t>
                  </w:r>
                </w:p>
              </w:tc>
              <w:tc>
                <w:tcPr>
                  <w:tcW w:w="1013" w:type="pct"/>
                  <w:tcBorders>
                    <w:tl2br w:val="nil"/>
                    <w:tr2bl w:val="nil"/>
                  </w:tcBorders>
                  <w:vAlign w:val="center"/>
                </w:tcPr>
                <w:p w14:paraId="1DC239DB">
                  <w:pPr>
                    <w:jc w:val="center"/>
                    <w:rPr>
                      <w:rFonts w:ascii="Times New Roman" w:hAnsi="Times New Roman" w:cs="Times New Roman"/>
                      <w:b/>
                      <w:bCs/>
                      <w:szCs w:val="21"/>
                    </w:rPr>
                  </w:pPr>
                  <w:r>
                    <w:rPr>
                      <w:rFonts w:hint="eastAsia" w:ascii="Times New Roman" w:hAnsi="Times New Roman" w:cs="Times New Roman"/>
                      <w:b/>
                      <w:bCs/>
                      <w:szCs w:val="21"/>
                    </w:rPr>
                    <w:t>标准来源</w:t>
                  </w:r>
                </w:p>
              </w:tc>
            </w:tr>
            <w:tr w14:paraId="016EA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708" w:type="pct"/>
                  <w:tcBorders>
                    <w:tl2br w:val="nil"/>
                    <w:tr2bl w:val="nil"/>
                  </w:tcBorders>
                  <w:vAlign w:val="center"/>
                </w:tcPr>
                <w:p w14:paraId="09DA040B">
                  <w:pPr>
                    <w:jc w:val="center"/>
                    <w:rPr>
                      <w:rFonts w:ascii="Times New Roman" w:hAnsi="Times New Roman" w:cs="Times New Roman"/>
                      <w:szCs w:val="21"/>
                    </w:rPr>
                  </w:pPr>
                  <w:r>
                    <w:rPr>
                      <w:rFonts w:hint="eastAsia" w:ascii="Times New Roman" w:hAnsi="Times New Roman" w:cs="Times New Roman"/>
                      <w:szCs w:val="21"/>
                    </w:rPr>
                    <w:t>标准限值</w:t>
                  </w:r>
                </w:p>
              </w:tc>
              <w:tc>
                <w:tcPr>
                  <w:tcW w:w="677" w:type="pct"/>
                  <w:tcBorders>
                    <w:tl2br w:val="nil"/>
                    <w:tr2bl w:val="nil"/>
                  </w:tcBorders>
                  <w:vAlign w:val="center"/>
                </w:tcPr>
                <w:p w14:paraId="0BD9C2D6">
                  <w:pPr>
                    <w:jc w:val="center"/>
                    <w:rPr>
                      <w:rFonts w:ascii="Times New Roman" w:hAnsi="Times New Roman" w:cs="Times New Roman"/>
                      <w:szCs w:val="21"/>
                    </w:rPr>
                  </w:pPr>
                  <w:r>
                    <w:rPr>
                      <w:rFonts w:hint="eastAsia" w:ascii="Times New Roman" w:hAnsi="Times New Roman" w:cs="Times New Roman"/>
                      <w:szCs w:val="21"/>
                    </w:rPr>
                    <w:t>30mg/m</w:t>
                  </w:r>
                  <w:r>
                    <w:rPr>
                      <w:rFonts w:hint="eastAsia" w:ascii="Times New Roman" w:hAnsi="Times New Roman" w:cs="Times New Roman"/>
                      <w:szCs w:val="21"/>
                      <w:vertAlign w:val="superscript"/>
                    </w:rPr>
                    <w:t>3</w:t>
                  </w:r>
                </w:p>
              </w:tc>
              <w:tc>
                <w:tcPr>
                  <w:tcW w:w="751" w:type="pct"/>
                  <w:tcBorders>
                    <w:tl2br w:val="nil"/>
                    <w:tr2bl w:val="nil"/>
                  </w:tcBorders>
                  <w:vAlign w:val="center"/>
                </w:tcPr>
                <w:p w14:paraId="3C143EFE">
                  <w:pPr>
                    <w:jc w:val="center"/>
                    <w:rPr>
                      <w:rFonts w:ascii="Times New Roman" w:hAnsi="Times New Roman" w:cs="Times New Roman"/>
                      <w:szCs w:val="21"/>
                    </w:rPr>
                  </w:pPr>
                  <w:r>
                    <w:rPr>
                      <w:rFonts w:hint="eastAsia" w:ascii="Times New Roman" w:hAnsi="Times New Roman" w:cs="Times New Roman"/>
                      <w:szCs w:val="21"/>
                    </w:rPr>
                    <w:t>200mg/m</w:t>
                  </w:r>
                  <w:r>
                    <w:rPr>
                      <w:rFonts w:hint="eastAsia" w:ascii="Times New Roman" w:hAnsi="Times New Roman" w:cs="Times New Roman"/>
                      <w:szCs w:val="21"/>
                      <w:vertAlign w:val="superscript"/>
                    </w:rPr>
                    <w:t>3</w:t>
                  </w:r>
                </w:p>
              </w:tc>
              <w:tc>
                <w:tcPr>
                  <w:tcW w:w="711" w:type="pct"/>
                  <w:tcBorders>
                    <w:tl2br w:val="nil"/>
                    <w:tr2bl w:val="nil"/>
                  </w:tcBorders>
                  <w:vAlign w:val="center"/>
                </w:tcPr>
                <w:p w14:paraId="6FC17967">
                  <w:pPr>
                    <w:jc w:val="center"/>
                    <w:rPr>
                      <w:rFonts w:ascii="Times New Roman" w:hAnsi="Times New Roman" w:cs="Times New Roman"/>
                      <w:szCs w:val="21"/>
                    </w:rPr>
                  </w:pPr>
                  <w:r>
                    <w:rPr>
                      <w:rFonts w:hint="eastAsia" w:ascii="Times New Roman" w:hAnsi="Times New Roman" w:cs="Times New Roman"/>
                      <w:szCs w:val="21"/>
                    </w:rPr>
                    <w:t>250mg/m</w:t>
                  </w:r>
                  <w:r>
                    <w:rPr>
                      <w:rFonts w:hint="eastAsia" w:ascii="Times New Roman" w:hAnsi="Times New Roman" w:cs="Times New Roman"/>
                      <w:szCs w:val="21"/>
                      <w:vertAlign w:val="superscript"/>
                    </w:rPr>
                    <w:t>3</w:t>
                  </w:r>
                </w:p>
              </w:tc>
              <w:tc>
                <w:tcPr>
                  <w:tcW w:w="1137" w:type="pct"/>
                  <w:tcBorders>
                    <w:tl2br w:val="nil"/>
                    <w:tr2bl w:val="nil"/>
                  </w:tcBorders>
                  <w:vAlign w:val="center"/>
                </w:tcPr>
                <w:p w14:paraId="6C5B4A2B">
                  <w:pPr>
                    <w:jc w:val="center"/>
                    <w:rPr>
                      <w:rFonts w:ascii="Times New Roman" w:hAnsi="Times New Roman" w:cs="Times New Roman"/>
                      <w:szCs w:val="21"/>
                    </w:rPr>
                  </w:pPr>
                  <w:r>
                    <w:rPr>
                      <w:rFonts w:hint="eastAsia" w:ascii="Times New Roman" w:hAnsi="Times New Roman" w:cs="Times New Roman"/>
                      <w:szCs w:val="21"/>
                    </w:rPr>
                    <w:t>≤1</w:t>
                  </w:r>
                </w:p>
              </w:tc>
              <w:tc>
                <w:tcPr>
                  <w:tcW w:w="1013" w:type="pct"/>
                  <w:tcBorders>
                    <w:tl2br w:val="nil"/>
                    <w:tr2bl w:val="nil"/>
                  </w:tcBorders>
                  <w:vAlign w:val="center"/>
                </w:tcPr>
                <w:p w14:paraId="0539473D">
                  <w:pPr>
                    <w:jc w:val="center"/>
                    <w:rPr>
                      <w:rFonts w:ascii="Times New Roman" w:hAnsi="Times New Roman" w:cs="Times New Roman"/>
                      <w:szCs w:val="21"/>
                    </w:rPr>
                  </w:pPr>
                  <w:r>
                    <w:rPr>
                      <w:rFonts w:hint="eastAsia" w:ascii="Times New Roman" w:hAnsi="Times New Roman" w:cs="Times New Roman"/>
                      <w:szCs w:val="21"/>
                    </w:rPr>
                    <w:t>GB13271-2014</w:t>
                  </w:r>
                </w:p>
              </w:tc>
            </w:tr>
          </w:tbl>
          <w:p w14:paraId="0DF486C9">
            <w:pPr>
              <w:pStyle w:val="38"/>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（5）食堂油烟</w:t>
            </w:r>
          </w:p>
          <w:p w14:paraId="78E37E8C">
            <w:pPr>
              <w:pStyle w:val="38"/>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食堂油烟执行《饮食业油烟排放标准》（GB18483-2001）中标准限值。详见表3-13。</w:t>
            </w:r>
          </w:p>
          <w:p w14:paraId="4A7AA8AC">
            <w:pPr>
              <w:widowControl/>
              <w:wordWrap w:val="0"/>
              <w:topLinePunct/>
              <w:adjustRightInd w:val="0"/>
              <w:snapToGrid w:val="0"/>
              <w:spacing w:line="360" w:lineRule="auto"/>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 xml:space="preserve">   表3-13 《饮食业油烟排放标准》（GB18483-2001）</w:t>
            </w:r>
          </w:p>
          <w:tbl>
            <w:tblPr>
              <w:tblStyle w:val="76"/>
              <w:tblW w:w="4996"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121"/>
              <w:gridCol w:w="1415"/>
              <w:gridCol w:w="1853"/>
              <w:gridCol w:w="1470"/>
            </w:tblGrid>
            <w:tr w14:paraId="34F2C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1985" w:type="pct"/>
                  <w:tcBorders>
                    <w:tl2br w:val="nil"/>
                    <w:tr2bl w:val="nil"/>
                  </w:tcBorders>
                  <w:vAlign w:val="center"/>
                </w:tcPr>
                <w:p w14:paraId="5EA5AE9E">
                  <w:pPr>
                    <w:jc w:val="center"/>
                    <w:rPr>
                      <w:rFonts w:ascii="Times New Roman" w:hAnsi="Times New Roman" w:cs="Times New Roman"/>
                      <w:b/>
                      <w:bCs/>
                      <w:szCs w:val="21"/>
                      <w:lang w:eastAsia="en-US"/>
                    </w:rPr>
                  </w:pPr>
                  <w:r>
                    <w:rPr>
                      <w:rFonts w:ascii="Times New Roman" w:hAnsi="Times New Roman" w:cs="Times New Roman"/>
                      <w:b/>
                      <w:bCs/>
                      <w:szCs w:val="21"/>
                      <w:lang w:eastAsia="en-US"/>
                    </w:rPr>
                    <w:t>规模</w:t>
                  </w:r>
                </w:p>
              </w:tc>
              <w:tc>
                <w:tcPr>
                  <w:tcW w:w="900" w:type="pct"/>
                  <w:tcBorders>
                    <w:tl2br w:val="nil"/>
                    <w:tr2bl w:val="nil"/>
                  </w:tcBorders>
                  <w:vAlign w:val="center"/>
                </w:tcPr>
                <w:p w14:paraId="1528BEF7">
                  <w:pPr>
                    <w:jc w:val="center"/>
                    <w:rPr>
                      <w:rFonts w:ascii="Times New Roman" w:hAnsi="Times New Roman" w:cs="Times New Roman"/>
                      <w:b/>
                      <w:bCs/>
                      <w:szCs w:val="21"/>
                      <w:lang w:eastAsia="en-US"/>
                    </w:rPr>
                  </w:pPr>
                  <w:r>
                    <w:rPr>
                      <w:rFonts w:ascii="Times New Roman" w:hAnsi="Times New Roman" w:cs="Times New Roman"/>
                      <w:b/>
                      <w:bCs/>
                      <w:szCs w:val="21"/>
                      <w:lang w:eastAsia="en-US"/>
                    </w:rPr>
                    <w:t>小型</w:t>
                  </w:r>
                </w:p>
              </w:tc>
              <w:tc>
                <w:tcPr>
                  <w:tcW w:w="1179" w:type="pct"/>
                  <w:tcBorders>
                    <w:tl2br w:val="nil"/>
                    <w:tr2bl w:val="nil"/>
                  </w:tcBorders>
                  <w:vAlign w:val="center"/>
                </w:tcPr>
                <w:p w14:paraId="5732BBDB">
                  <w:pPr>
                    <w:jc w:val="center"/>
                    <w:rPr>
                      <w:rFonts w:ascii="Times New Roman" w:hAnsi="Times New Roman" w:cs="Times New Roman"/>
                      <w:b/>
                      <w:bCs/>
                      <w:szCs w:val="21"/>
                      <w:lang w:eastAsia="en-US"/>
                    </w:rPr>
                  </w:pPr>
                  <w:r>
                    <w:rPr>
                      <w:rFonts w:ascii="Times New Roman" w:hAnsi="Times New Roman" w:cs="Times New Roman"/>
                      <w:b/>
                      <w:bCs/>
                      <w:szCs w:val="21"/>
                      <w:lang w:eastAsia="en-US"/>
                    </w:rPr>
                    <w:t>中型</w:t>
                  </w:r>
                </w:p>
              </w:tc>
              <w:tc>
                <w:tcPr>
                  <w:tcW w:w="934" w:type="pct"/>
                  <w:tcBorders>
                    <w:tl2br w:val="nil"/>
                    <w:tr2bl w:val="nil"/>
                  </w:tcBorders>
                  <w:vAlign w:val="center"/>
                </w:tcPr>
                <w:p w14:paraId="505DAE41">
                  <w:pPr>
                    <w:jc w:val="center"/>
                    <w:rPr>
                      <w:rFonts w:ascii="Times New Roman" w:hAnsi="Times New Roman" w:cs="Times New Roman"/>
                      <w:b/>
                      <w:bCs/>
                      <w:szCs w:val="21"/>
                      <w:lang w:eastAsia="en-US"/>
                    </w:rPr>
                  </w:pPr>
                  <w:r>
                    <w:rPr>
                      <w:rFonts w:ascii="Times New Roman" w:hAnsi="Times New Roman" w:cs="Times New Roman"/>
                      <w:b/>
                      <w:bCs/>
                      <w:szCs w:val="21"/>
                      <w:lang w:eastAsia="en-US"/>
                    </w:rPr>
                    <w:t>大型</w:t>
                  </w:r>
                </w:p>
              </w:tc>
            </w:tr>
            <w:tr w14:paraId="79E2E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1985" w:type="pct"/>
                  <w:tcBorders>
                    <w:tl2br w:val="nil"/>
                    <w:tr2bl w:val="nil"/>
                  </w:tcBorders>
                  <w:vAlign w:val="center"/>
                </w:tcPr>
                <w:p w14:paraId="614DB1FC">
                  <w:pPr>
                    <w:jc w:val="center"/>
                    <w:rPr>
                      <w:rFonts w:ascii="Times New Roman" w:hAnsi="Times New Roman" w:cs="Times New Roman"/>
                      <w:szCs w:val="21"/>
                      <w:lang w:eastAsia="en-US"/>
                    </w:rPr>
                  </w:pPr>
                  <w:r>
                    <w:rPr>
                      <w:rFonts w:ascii="Times New Roman" w:hAnsi="Times New Roman" w:cs="Times New Roman"/>
                      <w:szCs w:val="21"/>
                      <w:lang w:eastAsia="en-US"/>
                    </w:rPr>
                    <w:t>基准灶头数</w:t>
                  </w:r>
                </w:p>
              </w:tc>
              <w:tc>
                <w:tcPr>
                  <w:tcW w:w="900" w:type="pct"/>
                  <w:tcBorders>
                    <w:tl2br w:val="nil"/>
                    <w:tr2bl w:val="nil"/>
                  </w:tcBorders>
                  <w:vAlign w:val="center"/>
                </w:tcPr>
                <w:p w14:paraId="7CB1F552">
                  <w:pPr>
                    <w:jc w:val="center"/>
                    <w:rPr>
                      <w:rFonts w:ascii="Times New Roman" w:hAnsi="Times New Roman" w:cs="Times New Roman"/>
                      <w:szCs w:val="21"/>
                      <w:lang w:eastAsia="en-US"/>
                    </w:rPr>
                  </w:pPr>
                  <w:r>
                    <w:rPr>
                      <w:rFonts w:ascii="Times New Roman" w:hAnsi="Times New Roman" w:cs="Times New Roman"/>
                      <w:szCs w:val="21"/>
                      <w:lang w:eastAsia="en-US"/>
                    </w:rPr>
                    <w:t xml:space="preserve">1≥ </w:t>
                  </w:r>
                  <w:r>
                    <w:rPr>
                      <w:rFonts w:hint="eastAsia" w:ascii="Times New Roman" w:hAnsi="Times New Roman" w:cs="Times New Roman"/>
                      <w:szCs w:val="21"/>
                    </w:rPr>
                    <w:t>,</w:t>
                  </w:r>
                  <w:r>
                    <w:rPr>
                      <w:rFonts w:ascii="Times New Roman" w:hAnsi="Times New Roman" w:cs="Times New Roman"/>
                      <w:szCs w:val="21"/>
                      <w:lang w:eastAsia="en-US"/>
                    </w:rPr>
                    <w:t xml:space="preserve"> ＜3</w:t>
                  </w:r>
                </w:p>
              </w:tc>
              <w:tc>
                <w:tcPr>
                  <w:tcW w:w="1179" w:type="pct"/>
                  <w:tcBorders>
                    <w:tl2br w:val="nil"/>
                    <w:tr2bl w:val="nil"/>
                  </w:tcBorders>
                  <w:vAlign w:val="center"/>
                </w:tcPr>
                <w:p w14:paraId="521D56C1">
                  <w:pPr>
                    <w:jc w:val="center"/>
                    <w:rPr>
                      <w:rFonts w:ascii="Times New Roman" w:hAnsi="Times New Roman" w:cs="Times New Roman"/>
                      <w:szCs w:val="21"/>
                      <w:lang w:eastAsia="en-US"/>
                    </w:rPr>
                  </w:pPr>
                  <w:r>
                    <w:rPr>
                      <w:rFonts w:ascii="Times New Roman" w:hAnsi="Times New Roman" w:cs="Times New Roman"/>
                      <w:szCs w:val="21"/>
                      <w:lang w:eastAsia="en-US"/>
                    </w:rPr>
                    <w:t xml:space="preserve">3≥ </w:t>
                  </w:r>
                  <w:r>
                    <w:rPr>
                      <w:rFonts w:hint="eastAsia" w:ascii="Times New Roman" w:hAnsi="Times New Roman" w:cs="Times New Roman"/>
                      <w:szCs w:val="21"/>
                    </w:rPr>
                    <w:t>,</w:t>
                  </w:r>
                  <w:r>
                    <w:rPr>
                      <w:rFonts w:ascii="Times New Roman" w:hAnsi="Times New Roman" w:cs="Times New Roman"/>
                      <w:szCs w:val="21"/>
                      <w:lang w:eastAsia="en-US"/>
                    </w:rPr>
                    <w:t xml:space="preserve"> ＜6</w:t>
                  </w:r>
                </w:p>
              </w:tc>
              <w:tc>
                <w:tcPr>
                  <w:tcW w:w="934" w:type="pct"/>
                  <w:tcBorders>
                    <w:tl2br w:val="nil"/>
                    <w:tr2bl w:val="nil"/>
                  </w:tcBorders>
                  <w:vAlign w:val="center"/>
                </w:tcPr>
                <w:p w14:paraId="4A960FA4">
                  <w:pPr>
                    <w:jc w:val="center"/>
                    <w:rPr>
                      <w:rFonts w:ascii="Times New Roman" w:hAnsi="Times New Roman" w:cs="Times New Roman"/>
                      <w:szCs w:val="21"/>
                      <w:lang w:eastAsia="en-US"/>
                    </w:rPr>
                  </w:pPr>
                  <w:r>
                    <w:rPr>
                      <w:rFonts w:ascii="Times New Roman" w:hAnsi="Times New Roman" w:cs="Times New Roman"/>
                      <w:szCs w:val="21"/>
                      <w:lang w:eastAsia="en-US"/>
                    </w:rPr>
                    <w:t>6≥</w:t>
                  </w:r>
                </w:p>
              </w:tc>
            </w:tr>
            <w:tr w14:paraId="59651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4" w:hRule="atLeast"/>
              </w:trPr>
              <w:tc>
                <w:tcPr>
                  <w:tcW w:w="1985" w:type="pct"/>
                  <w:tcBorders>
                    <w:tl2br w:val="nil"/>
                    <w:tr2bl w:val="nil"/>
                  </w:tcBorders>
                  <w:vAlign w:val="center"/>
                </w:tcPr>
                <w:p w14:paraId="107D5266">
                  <w:pPr>
                    <w:jc w:val="center"/>
                    <w:rPr>
                      <w:rFonts w:ascii="Times New Roman" w:hAnsi="Times New Roman" w:cs="Times New Roman"/>
                      <w:szCs w:val="21"/>
                    </w:rPr>
                  </w:pPr>
                  <w:r>
                    <w:rPr>
                      <w:rFonts w:ascii="Times New Roman" w:hAnsi="Times New Roman" w:cs="Times New Roman"/>
                      <w:szCs w:val="21"/>
                    </w:rPr>
                    <w:t>对应灶头总功率（108J/h）</w:t>
                  </w:r>
                </w:p>
              </w:tc>
              <w:tc>
                <w:tcPr>
                  <w:tcW w:w="900" w:type="pct"/>
                  <w:tcBorders>
                    <w:tl2br w:val="nil"/>
                    <w:tr2bl w:val="nil"/>
                  </w:tcBorders>
                  <w:vAlign w:val="center"/>
                </w:tcPr>
                <w:p w14:paraId="32CECF13">
                  <w:pPr>
                    <w:jc w:val="center"/>
                    <w:rPr>
                      <w:rFonts w:ascii="Times New Roman" w:hAnsi="Times New Roman" w:cs="Times New Roman"/>
                      <w:szCs w:val="21"/>
                      <w:lang w:eastAsia="en-US"/>
                    </w:rPr>
                  </w:pPr>
                  <w:r>
                    <w:rPr>
                      <w:rFonts w:ascii="Times New Roman" w:hAnsi="Times New Roman" w:cs="Times New Roman"/>
                      <w:szCs w:val="21"/>
                      <w:lang w:eastAsia="en-US"/>
                    </w:rPr>
                    <w:t>1.67，＜5.00</w:t>
                  </w:r>
                </w:p>
              </w:tc>
              <w:tc>
                <w:tcPr>
                  <w:tcW w:w="1179" w:type="pct"/>
                  <w:tcBorders>
                    <w:tl2br w:val="nil"/>
                    <w:tr2bl w:val="nil"/>
                  </w:tcBorders>
                  <w:vAlign w:val="center"/>
                </w:tcPr>
                <w:p w14:paraId="42EAD256">
                  <w:pPr>
                    <w:jc w:val="center"/>
                    <w:rPr>
                      <w:rFonts w:ascii="Times New Roman" w:hAnsi="Times New Roman" w:cs="Times New Roman"/>
                      <w:szCs w:val="21"/>
                      <w:lang w:eastAsia="en-US"/>
                    </w:rPr>
                  </w:pPr>
                  <w:r>
                    <w:rPr>
                      <w:rFonts w:ascii="Times New Roman" w:hAnsi="Times New Roman" w:cs="Times New Roman"/>
                      <w:szCs w:val="21"/>
                      <w:lang w:eastAsia="en-US"/>
                    </w:rPr>
                    <w:t>≥5</w:t>
                  </w:r>
                  <w:r>
                    <w:rPr>
                      <w:rFonts w:hint="eastAsia" w:ascii="Times New Roman" w:hAnsi="Times New Roman" w:cs="Times New Roman"/>
                      <w:szCs w:val="21"/>
                    </w:rPr>
                    <w:t>.</w:t>
                  </w:r>
                  <w:r>
                    <w:rPr>
                      <w:rFonts w:ascii="Times New Roman" w:hAnsi="Times New Roman" w:cs="Times New Roman"/>
                      <w:szCs w:val="21"/>
                      <w:lang w:eastAsia="en-US"/>
                    </w:rPr>
                    <w:t>00，＜6</w:t>
                  </w:r>
                </w:p>
              </w:tc>
              <w:tc>
                <w:tcPr>
                  <w:tcW w:w="934" w:type="pct"/>
                  <w:tcBorders>
                    <w:tl2br w:val="nil"/>
                    <w:tr2bl w:val="nil"/>
                  </w:tcBorders>
                  <w:vAlign w:val="center"/>
                </w:tcPr>
                <w:p w14:paraId="4593FD31">
                  <w:pPr>
                    <w:jc w:val="center"/>
                    <w:rPr>
                      <w:rFonts w:ascii="Times New Roman" w:hAnsi="Times New Roman" w:cs="Times New Roman"/>
                      <w:szCs w:val="21"/>
                      <w:lang w:eastAsia="en-US"/>
                    </w:rPr>
                  </w:pPr>
                  <w:r>
                    <w:rPr>
                      <w:rFonts w:ascii="Times New Roman" w:hAnsi="Times New Roman" w:cs="Times New Roman"/>
                      <w:szCs w:val="21"/>
                      <w:lang w:eastAsia="en-US"/>
                    </w:rPr>
                    <w:t>≥10.00</w:t>
                  </w:r>
                </w:p>
              </w:tc>
            </w:tr>
            <w:tr w14:paraId="30419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1985" w:type="pct"/>
                  <w:tcBorders>
                    <w:tl2br w:val="nil"/>
                    <w:tr2bl w:val="nil"/>
                  </w:tcBorders>
                  <w:vAlign w:val="center"/>
                </w:tcPr>
                <w:p w14:paraId="15A503CC">
                  <w:pPr>
                    <w:jc w:val="center"/>
                    <w:rPr>
                      <w:rFonts w:ascii="Times New Roman" w:hAnsi="Times New Roman" w:cs="Times New Roman"/>
                      <w:szCs w:val="21"/>
                    </w:rPr>
                  </w:pPr>
                  <w:r>
                    <w:rPr>
                      <w:rFonts w:ascii="Times New Roman" w:hAnsi="Times New Roman" w:cs="Times New Roman"/>
                      <w:szCs w:val="21"/>
                    </w:rPr>
                    <w:t>对应排气罩灶面总投影面积（m</w:t>
                  </w:r>
                  <w:r>
                    <w:rPr>
                      <w:rFonts w:ascii="Times New Roman" w:hAnsi="Times New Roman" w:cs="Times New Roman"/>
                      <w:szCs w:val="21"/>
                      <w:vertAlign w:val="superscript"/>
                    </w:rPr>
                    <w:t xml:space="preserve">2 </w:t>
                  </w:r>
                  <w:r>
                    <w:rPr>
                      <w:rFonts w:ascii="Times New Roman" w:hAnsi="Times New Roman" w:cs="Times New Roman"/>
                      <w:szCs w:val="21"/>
                    </w:rPr>
                    <w:t>）</w:t>
                  </w:r>
                </w:p>
              </w:tc>
              <w:tc>
                <w:tcPr>
                  <w:tcW w:w="900" w:type="pct"/>
                  <w:tcBorders>
                    <w:tl2br w:val="nil"/>
                    <w:tr2bl w:val="nil"/>
                  </w:tcBorders>
                  <w:vAlign w:val="center"/>
                </w:tcPr>
                <w:p w14:paraId="768F6C3E">
                  <w:pPr>
                    <w:jc w:val="center"/>
                    <w:rPr>
                      <w:rFonts w:ascii="Times New Roman" w:hAnsi="Times New Roman" w:cs="Times New Roman"/>
                      <w:szCs w:val="21"/>
                      <w:lang w:eastAsia="en-US"/>
                    </w:rPr>
                  </w:pPr>
                  <w:r>
                    <w:rPr>
                      <w:rFonts w:ascii="Times New Roman" w:hAnsi="Times New Roman" w:cs="Times New Roman"/>
                      <w:szCs w:val="21"/>
                      <w:lang w:eastAsia="en-US"/>
                    </w:rPr>
                    <w:t>≥1. 1，＜3.3</w:t>
                  </w:r>
                </w:p>
              </w:tc>
              <w:tc>
                <w:tcPr>
                  <w:tcW w:w="1179" w:type="pct"/>
                  <w:tcBorders>
                    <w:tl2br w:val="nil"/>
                    <w:tr2bl w:val="nil"/>
                  </w:tcBorders>
                  <w:vAlign w:val="center"/>
                </w:tcPr>
                <w:p w14:paraId="77387D22">
                  <w:pPr>
                    <w:jc w:val="center"/>
                    <w:rPr>
                      <w:rFonts w:ascii="Times New Roman" w:hAnsi="Times New Roman" w:cs="Times New Roman"/>
                      <w:szCs w:val="21"/>
                      <w:lang w:eastAsia="en-US"/>
                    </w:rPr>
                  </w:pPr>
                  <w:r>
                    <w:rPr>
                      <w:rFonts w:ascii="Times New Roman" w:hAnsi="Times New Roman" w:cs="Times New Roman"/>
                      <w:szCs w:val="21"/>
                      <w:lang w:eastAsia="en-US"/>
                    </w:rPr>
                    <w:t>≥3.3，＜6.6</w:t>
                  </w:r>
                </w:p>
              </w:tc>
              <w:tc>
                <w:tcPr>
                  <w:tcW w:w="934" w:type="pct"/>
                  <w:tcBorders>
                    <w:tl2br w:val="nil"/>
                    <w:tr2bl w:val="nil"/>
                  </w:tcBorders>
                  <w:vAlign w:val="center"/>
                </w:tcPr>
                <w:p w14:paraId="4D256FDF">
                  <w:pPr>
                    <w:jc w:val="center"/>
                    <w:rPr>
                      <w:rFonts w:ascii="Times New Roman" w:hAnsi="Times New Roman" w:cs="Times New Roman"/>
                      <w:szCs w:val="21"/>
                      <w:lang w:eastAsia="en-US"/>
                    </w:rPr>
                  </w:pPr>
                  <w:r>
                    <w:rPr>
                      <w:rFonts w:ascii="Times New Roman" w:hAnsi="Times New Roman" w:cs="Times New Roman"/>
                      <w:szCs w:val="21"/>
                      <w:lang w:eastAsia="en-US"/>
                    </w:rPr>
                    <w:t>≥6.6</w:t>
                  </w:r>
                </w:p>
              </w:tc>
            </w:tr>
            <w:tr w14:paraId="62D8F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1985" w:type="pct"/>
                  <w:tcBorders>
                    <w:tl2br w:val="nil"/>
                    <w:tr2bl w:val="nil"/>
                  </w:tcBorders>
                  <w:vAlign w:val="center"/>
                </w:tcPr>
                <w:p w14:paraId="5EF85D0A">
                  <w:pPr>
                    <w:jc w:val="center"/>
                    <w:rPr>
                      <w:rFonts w:ascii="Times New Roman" w:hAnsi="Times New Roman" w:cs="Times New Roman"/>
                      <w:szCs w:val="21"/>
                    </w:rPr>
                  </w:pPr>
                  <w:r>
                    <w:rPr>
                      <w:rFonts w:ascii="Times New Roman" w:hAnsi="Times New Roman" w:cs="Times New Roman"/>
                      <w:szCs w:val="21"/>
                    </w:rPr>
                    <w:t>最高运行浓度（mg/m³ )</w:t>
                  </w:r>
                </w:p>
              </w:tc>
              <w:tc>
                <w:tcPr>
                  <w:tcW w:w="3014" w:type="pct"/>
                  <w:gridSpan w:val="3"/>
                  <w:tcBorders>
                    <w:tl2br w:val="nil"/>
                    <w:tr2bl w:val="nil"/>
                  </w:tcBorders>
                  <w:vAlign w:val="center"/>
                </w:tcPr>
                <w:p w14:paraId="79162D69">
                  <w:pPr>
                    <w:jc w:val="center"/>
                    <w:rPr>
                      <w:rFonts w:ascii="Times New Roman" w:hAnsi="Times New Roman" w:cs="Times New Roman"/>
                      <w:szCs w:val="21"/>
                      <w:lang w:eastAsia="en-US"/>
                    </w:rPr>
                  </w:pPr>
                  <w:r>
                    <w:rPr>
                      <w:rFonts w:ascii="Times New Roman" w:hAnsi="Times New Roman" w:cs="Times New Roman"/>
                      <w:szCs w:val="21"/>
                      <w:lang w:eastAsia="en-US"/>
                    </w:rPr>
                    <w:t>2.0</w:t>
                  </w:r>
                </w:p>
              </w:tc>
            </w:tr>
            <w:tr w14:paraId="01B42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7" w:hRule="atLeast"/>
              </w:trPr>
              <w:tc>
                <w:tcPr>
                  <w:tcW w:w="1985" w:type="pct"/>
                  <w:tcBorders>
                    <w:tl2br w:val="nil"/>
                    <w:tr2bl w:val="nil"/>
                  </w:tcBorders>
                  <w:vAlign w:val="center"/>
                </w:tcPr>
                <w:p w14:paraId="391856EA">
                  <w:pPr>
                    <w:jc w:val="center"/>
                    <w:rPr>
                      <w:rFonts w:ascii="Times New Roman" w:hAnsi="Times New Roman" w:cs="Times New Roman"/>
                      <w:szCs w:val="21"/>
                    </w:rPr>
                  </w:pPr>
                  <w:r>
                    <w:rPr>
                      <w:rFonts w:ascii="Times New Roman" w:hAnsi="Times New Roman" w:cs="Times New Roman"/>
                      <w:szCs w:val="21"/>
                    </w:rPr>
                    <w:t>净化设施最低去除率（%）</w:t>
                  </w:r>
                </w:p>
              </w:tc>
              <w:tc>
                <w:tcPr>
                  <w:tcW w:w="900" w:type="pct"/>
                  <w:tcBorders>
                    <w:tl2br w:val="nil"/>
                    <w:tr2bl w:val="nil"/>
                  </w:tcBorders>
                  <w:vAlign w:val="center"/>
                </w:tcPr>
                <w:p w14:paraId="75CB2D90">
                  <w:pPr>
                    <w:jc w:val="center"/>
                    <w:rPr>
                      <w:rFonts w:ascii="Times New Roman" w:hAnsi="Times New Roman" w:cs="Times New Roman"/>
                      <w:szCs w:val="21"/>
                    </w:rPr>
                  </w:pPr>
                  <w:r>
                    <w:rPr>
                      <w:rFonts w:ascii="Times New Roman" w:hAnsi="Times New Roman" w:cs="Times New Roman"/>
                      <w:szCs w:val="21"/>
                    </w:rPr>
                    <w:t>60</w:t>
                  </w:r>
                </w:p>
              </w:tc>
              <w:tc>
                <w:tcPr>
                  <w:tcW w:w="1179" w:type="pct"/>
                  <w:tcBorders>
                    <w:tl2br w:val="nil"/>
                    <w:tr2bl w:val="nil"/>
                  </w:tcBorders>
                  <w:vAlign w:val="center"/>
                </w:tcPr>
                <w:p w14:paraId="0E9FF65C">
                  <w:pPr>
                    <w:jc w:val="center"/>
                    <w:rPr>
                      <w:rFonts w:ascii="Times New Roman" w:hAnsi="Times New Roman" w:cs="Times New Roman"/>
                      <w:szCs w:val="21"/>
                    </w:rPr>
                  </w:pPr>
                  <w:r>
                    <w:rPr>
                      <w:rFonts w:ascii="Times New Roman" w:hAnsi="Times New Roman" w:cs="Times New Roman"/>
                      <w:szCs w:val="21"/>
                    </w:rPr>
                    <w:t>75</w:t>
                  </w:r>
                </w:p>
              </w:tc>
              <w:tc>
                <w:tcPr>
                  <w:tcW w:w="934" w:type="pct"/>
                  <w:tcBorders>
                    <w:tl2br w:val="nil"/>
                    <w:tr2bl w:val="nil"/>
                  </w:tcBorders>
                  <w:vAlign w:val="center"/>
                </w:tcPr>
                <w:p w14:paraId="29BAE371">
                  <w:pPr>
                    <w:jc w:val="center"/>
                    <w:rPr>
                      <w:rFonts w:ascii="Times New Roman" w:hAnsi="Times New Roman" w:cs="Times New Roman"/>
                      <w:szCs w:val="21"/>
                    </w:rPr>
                  </w:pPr>
                  <w:r>
                    <w:rPr>
                      <w:rFonts w:ascii="Times New Roman" w:hAnsi="Times New Roman" w:cs="Times New Roman"/>
                      <w:szCs w:val="21"/>
                    </w:rPr>
                    <w:t>85</w:t>
                  </w:r>
                </w:p>
              </w:tc>
            </w:tr>
          </w:tbl>
          <w:p w14:paraId="781B60FE">
            <w:pPr>
              <w:pStyle w:val="38"/>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（6）矿粉立仓粉尘</w:t>
            </w:r>
          </w:p>
          <w:p w14:paraId="4D64E936">
            <w:pPr>
              <w:pStyle w:val="38"/>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矿粉立仓颗粒物执行《大气污染物综合排放标准》(GB16297-1996)中表2新污染源大气污染物排放限值。</w:t>
            </w:r>
          </w:p>
          <w:p w14:paraId="33538D9E">
            <w:pPr>
              <w:widowControl/>
              <w:jc w:val="center"/>
              <w:rPr>
                <w:rFonts w:ascii="Times New Roman" w:hAnsi="Times New Roman" w:eastAsia="宋体" w:cs="宋体-PUA"/>
                <w:b/>
                <w:sz w:val="24"/>
                <w:shd w:val="clear" w:color="auto" w:fill="FFFFFF"/>
              </w:rPr>
            </w:pPr>
            <w:r>
              <w:rPr>
                <w:rFonts w:hint="eastAsia" w:ascii="Times New Roman" w:hAnsi="Times New Roman" w:eastAsia="宋体" w:cs="宋体-PUA"/>
                <w:b/>
                <w:color w:val="FF0000"/>
                <w:sz w:val="24"/>
                <w:shd w:val="clear" w:color="auto" w:fill="FFFFFF"/>
              </w:rPr>
              <w:t xml:space="preserve"> </w:t>
            </w:r>
            <w:r>
              <w:rPr>
                <w:rFonts w:hint="eastAsia" w:ascii="Times New Roman" w:hAnsi="Times New Roman" w:eastAsia="宋体" w:cs="宋体-PUA"/>
                <w:b/>
                <w:sz w:val="24"/>
                <w:shd w:val="clear" w:color="auto" w:fill="FFFFFF"/>
              </w:rPr>
              <w:t xml:space="preserve">  </w:t>
            </w:r>
            <w:r>
              <w:rPr>
                <w:rFonts w:hint="eastAsia" w:ascii="Times New Roman" w:hAnsi="Times New Roman" w:eastAsia="宋体" w:cs="宋体-PUA"/>
                <w:b/>
                <w:sz w:val="24"/>
                <w:shd w:val="clear" w:color="auto" w:fill="FFFFFF"/>
                <w:lang w:val="en-US" w:eastAsia="zh-CN"/>
              </w:rPr>
              <w:t xml:space="preserve"> </w:t>
            </w:r>
            <w:r>
              <w:rPr>
                <w:rFonts w:hint="eastAsia" w:ascii="Times New Roman" w:hAnsi="Times New Roman" w:eastAsia="宋体" w:cs="宋体-PUA"/>
                <w:b/>
                <w:sz w:val="24"/>
                <w:shd w:val="clear" w:color="auto" w:fill="FFFFFF"/>
              </w:rPr>
              <w:t>表3-14</w:t>
            </w:r>
            <w:r>
              <w:rPr>
                <w:rFonts w:hint="eastAsia" w:ascii="Times New Roman" w:hAnsi="Times New Roman" w:eastAsia="宋体" w:cs="宋体-PUA"/>
                <w:b/>
                <w:sz w:val="24"/>
                <w:shd w:val="clear" w:color="auto" w:fill="FFFFFF"/>
                <w:lang w:val="en-US" w:eastAsia="zh-CN"/>
              </w:rPr>
              <w:t xml:space="preserve">  </w:t>
            </w:r>
            <w:r>
              <w:rPr>
                <w:rFonts w:hint="eastAsia" w:ascii="Times New Roman" w:hAnsi="Times New Roman" w:eastAsia="宋体" w:cs="宋体-PUA"/>
                <w:b/>
                <w:sz w:val="24"/>
                <w:shd w:val="clear" w:color="auto" w:fill="FFFFFF"/>
              </w:rPr>
              <w:t>《大气污染物综合排放标准》（GB16297- 1996）</w:t>
            </w:r>
          </w:p>
          <w:tbl>
            <w:tblPr>
              <w:tblStyle w:val="28"/>
              <w:tblW w:w="49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9"/>
              <w:gridCol w:w="1836"/>
              <w:gridCol w:w="2018"/>
              <w:gridCol w:w="2428"/>
            </w:tblGrid>
            <w:tr w14:paraId="1C17F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999" w:type="pct"/>
                  <w:vMerge w:val="restart"/>
                  <w:tcBorders>
                    <w:tl2br w:val="nil"/>
                    <w:tr2bl w:val="nil"/>
                  </w:tcBorders>
                  <w:vAlign w:val="center"/>
                </w:tcPr>
                <w:p w14:paraId="276CA770">
                  <w:pPr>
                    <w:jc w:val="center"/>
                    <w:rPr>
                      <w:rFonts w:ascii="Times New Roman" w:hAnsi="Times New Roman" w:cs="Times New Roman"/>
                      <w:b/>
                      <w:bCs/>
                      <w:szCs w:val="21"/>
                    </w:rPr>
                  </w:pPr>
                  <w:r>
                    <w:rPr>
                      <w:rFonts w:hint="eastAsia" w:ascii="Times New Roman" w:hAnsi="Times New Roman" w:cs="Times New Roman"/>
                      <w:b/>
                      <w:bCs/>
                      <w:szCs w:val="21"/>
                    </w:rPr>
                    <w:t>污染物</w:t>
                  </w:r>
                </w:p>
              </w:tc>
              <w:tc>
                <w:tcPr>
                  <w:tcW w:w="1169" w:type="pct"/>
                  <w:vMerge w:val="restart"/>
                  <w:tcBorders>
                    <w:tl2br w:val="nil"/>
                    <w:tr2bl w:val="nil"/>
                  </w:tcBorders>
                  <w:vAlign w:val="center"/>
                </w:tcPr>
                <w:p w14:paraId="0E6040A4">
                  <w:pPr>
                    <w:jc w:val="center"/>
                    <w:rPr>
                      <w:rFonts w:ascii="Times New Roman" w:hAnsi="Times New Roman" w:cs="Times New Roman"/>
                      <w:b/>
                      <w:bCs/>
                      <w:szCs w:val="21"/>
                    </w:rPr>
                  </w:pPr>
                  <w:r>
                    <w:rPr>
                      <w:rFonts w:hint="eastAsia" w:ascii="Times New Roman" w:hAnsi="Times New Roman" w:cs="Times New Roman"/>
                      <w:b/>
                      <w:bCs/>
                      <w:szCs w:val="21"/>
                    </w:rPr>
                    <w:t>最高允许排放浓度mg/m</w:t>
                  </w:r>
                  <w:r>
                    <w:rPr>
                      <w:rFonts w:ascii="Times New Roman" w:hAnsi="Times New Roman" w:cs="Times New Roman"/>
                      <w:b/>
                      <w:bCs/>
                      <w:szCs w:val="21"/>
                      <w:vertAlign w:val="superscript"/>
                    </w:rPr>
                    <w:t>3</w:t>
                  </w:r>
                </w:p>
              </w:tc>
              <w:tc>
                <w:tcPr>
                  <w:tcW w:w="2831" w:type="pct"/>
                  <w:gridSpan w:val="2"/>
                  <w:tcBorders>
                    <w:tl2br w:val="nil"/>
                    <w:tr2bl w:val="nil"/>
                  </w:tcBorders>
                  <w:vAlign w:val="center"/>
                </w:tcPr>
                <w:p w14:paraId="1D9C9BF6">
                  <w:pPr>
                    <w:jc w:val="center"/>
                    <w:rPr>
                      <w:rFonts w:ascii="Times New Roman" w:hAnsi="Times New Roman" w:cs="Times New Roman"/>
                      <w:b/>
                      <w:bCs/>
                      <w:szCs w:val="21"/>
                    </w:rPr>
                  </w:pPr>
                  <w:r>
                    <w:rPr>
                      <w:rFonts w:ascii="Times New Roman" w:hAnsi="Times New Roman" w:cs="Times New Roman"/>
                      <w:b/>
                      <w:bCs/>
                      <w:szCs w:val="21"/>
                    </w:rPr>
                    <w:t>无组织排放监控浓度限值</w:t>
                  </w:r>
                </w:p>
              </w:tc>
            </w:tr>
            <w:tr w14:paraId="33BB0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99" w:type="pct"/>
                  <w:vMerge w:val="continue"/>
                  <w:tcBorders>
                    <w:tl2br w:val="nil"/>
                    <w:tr2bl w:val="nil"/>
                  </w:tcBorders>
                  <w:vAlign w:val="center"/>
                </w:tcPr>
                <w:p w14:paraId="5D9F545C">
                  <w:pPr>
                    <w:jc w:val="center"/>
                    <w:rPr>
                      <w:rFonts w:ascii="Times New Roman" w:hAnsi="Times New Roman" w:cs="Times New Roman"/>
                      <w:b/>
                      <w:bCs/>
                      <w:color w:val="FF0000"/>
                      <w:szCs w:val="21"/>
                    </w:rPr>
                  </w:pPr>
                </w:p>
              </w:tc>
              <w:tc>
                <w:tcPr>
                  <w:tcW w:w="1169" w:type="pct"/>
                  <w:vMerge w:val="continue"/>
                  <w:tcBorders>
                    <w:tl2br w:val="nil"/>
                    <w:tr2bl w:val="nil"/>
                  </w:tcBorders>
                  <w:vAlign w:val="center"/>
                </w:tcPr>
                <w:p w14:paraId="44743772">
                  <w:pPr>
                    <w:jc w:val="center"/>
                    <w:rPr>
                      <w:rFonts w:ascii="Times New Roman" w:hAnsi="Times New Roman" w:cs="Times New Roman"/>
                      <w:b/>
                      <w:bCs/>
                      <w:color w:val="FF0000"/>
                      <w:szCs w:val="21"/>
                    </w:rPr>
                  </w:pPr>
                </w:p>
              </w:tc>
              <w:tc>
                <w:tcPr>
                  <w:tcW w:w="1285" w:type="pct"/>
                  <w:tcBorders>
                    <w:top w:val="single" w:color="000000" w:sz="4" w:space="0"/>
                    <w:right w:val="single" w:color="000000" w:sz="4" w:space="0"/>
                    <w:tl2br w:val="nil"/>
                    <w:tr2bl w:val="nil"/>
                  </w:tcBorders>
                  <w:vAlign w:val="center"/>
                </w:tcPr>
                <w:p w14:paraId="397FEB14">
                  <w:pPr>
                    <w:jc w:val="center"/>
                    <w:rPr>
                      <w:rFonts w:ascii="Times New Roman" w:hAnsi="Times New Roman" w:cs="Times New Roman"/>
                      <w:b/>
                      <w:bCs/>
                      <w:szCs w:val="21"/>
                    </w:rPr>
                  </w:pPr>
                  <w:r>
                    <w:rPr>
                      <w:rFonts w:hint="eastAsia" w:ascii="Times New Roman" w:hAnsi="Times New Roman" w:cs="Times New Roman"/>
                      <w:b/>
                      <w:bCs/>
                      <w:szCs w:val="21"/>
                    </w:rPr>
                    <w:t>监控点</w:t>
                  </w:r>
                </w:p>
              </w:tc>
              <w:tc>
                <w:tcPr>
                  <w:tcW w:w="1546" w:type="pct"/>
                  <w:tcBorders>
                    <w:top w:val="single" w:color="000000" w:sz="4" w:space="0"/>
                    <w:left w:val="single" w:color="000000" w:sz="4" w:space="0"/>
                    <w:tl2br w:val="nil"/>
                    <w:tr2bl w:val="nil"/>
                  </w:tcBorders>
                  <w:vAlign w:val="center"/>
                </w:tcPr>
                <w:p w14:paraId="7B6A2FDC">
                  <w:pPr>
                    <w:jc w:val="center"/>
                    <w:rPr>
                      <w:rFonts w:ascii="Times New Roman" w:hAnsi="Times New Roman" w:cs="Times New Roman"/>
                      <w:b/>
                      <w:bCs/>
                      <w:szCs w:val="21"/>
                    </w:rPr>
                  </w:pPr>
                  <w:r>
                    <w:rPr>
                      <w:rFonts w:hint="eastAsia" w:ascii="Times New Roman" w:hAnsi="Times New Roman" w:cs="Times New Roman"/>
                      <w:b/>
                      <w:bCs/>
                      <w:szCs w:val="21"/>
                    </w:rPr>
                    <w:t>浓度mg/m</w:t>
                  </w:r>
                  <w:r>
                    <w:rPr>
                      <w:rFonts w:ascii="Times New Roman" w:hAnsi="Times New Roman" w:cs="Times New Roman"/>
                      <w:b/>
                      <w:bCs/>
                      <w:szCs w:val="21"/>
                      <w:vertAlign w:val="superscript"/>
                    </w:rPr>
                    <w:t>3</w:t>
                  </w:r>
                </w:p>
              </w:tc>
            </w:tr>
            <w:tr w14:paraId="4DE4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99" w:type="pct"/>
                  <w:tcBorders>
                    <w:tl2br w:val="nil"/>
                    <w:tr2bl w:val="nil"/>
                  </w:tcBorders>
                  <w:vAlign w:val="center"/>
                </w:tcPr>
                <w:p w14:paraId="288A091A">
                  <w:pPr>
                    <w:jc w:val="center"/>
                    <w:rPr>
                      <w:rFonts w:ascii="Times New Roman" w:hAnsi="Times New Roman" w:cs="Times New Roman"/>
                      <w:szCs w:val="21"/>
                    </w:rPr>
                  </w:pPr>
                  <w:r>
                    <w:rPr>
                      <w:rFonts w:hint="eastAsia" w:ascii="Times New Roman" w:hAnsi="Times New Roman" w:eastAsia="宋体" w:cs="Times New Roman"/>
                      <w:szCs w:val="21"/>
                    </w:rPr>
                    <w:t>颗粒物</w:t>
                  </w:r>
                </w:p>
              </w:tc>
              <w:tc>
                <w:tcPr>
                  <w:tcW w:w="1169" w:type="pct"/>
                  <w:tcBorders>
                    <w:tl2br w:val="nil"/>
                    <w:tr2bl w:val="nil"/>
                  </w:tcBorders>
                  <w:vAlign w:val="center"/>
                </w:tcPr>
                <w:p w14:paraId="528BF5D3">
                  <w:pPr>
                    <w:jc w:val="center"/>
                    <w:rPr>
                      <w:rFonts w:ascii="Times New Roman" w:hAnsi="Times New Roman" w:cs="Times New Roman"/>
                      <w:szCs w:val="21"/>
                    </w:rPr>
                  </w:pPr>
                  <w:r>
                    <w:rPr>
                      <w:rFonts w:hint="eastAsia" w:ascii="Times New Roman" w:hAnsi="Times New Roman" w:cs="Times New Roman"/>
                      <w:szCs w:val="21"/>
                    </w:rPr>
                    <w:t>120</w:t>
                  </w:r>
                </w:p>
              </w:tc>
              <w:tc>
                <w:tcPr>
                  <w:tcW w:w="1285" w:type="pct"/>
                  <w:tcBorders>
                    <w:right w:val="single" w:color="000000" w:sz="4" w:space="0"/>
                    <w:tl2br w:val="nil"/>
                    <w:tr2bl w:val="nil"/>
                  </w:tcBorders>
                  <w:vAlign w:val="center"/>
                </w:tcPr>
                <w:p w14:paraId="5E626F26">
                  <w:pPr>
                    <w:jc w:val="center"/>
                    <w:rPr>
                      <w:rFonts w:ascii="Times New Roman" w:hAnsi="Times New Roman" w:cs="Times New Roman"/>
                      <w:szCs w:val="21"/>
                    </w:rPr>
                  </w:pPr>
                  <w:r>
                    <w:rPr>
                      <w:rFonts w:hint="eastAsia" w:ascii="Times New Roman" w:hAnsi="Times New Roman" w:cs="Times New Roman"/>
                      <w:szCs w:val="21"/>
                    </w:rPr>
                    <w:t>周界外浓度最高点</w:t>
                  </w:r>
                </w:p>
              </w:tc>
              <w:tc>
                <w:tcPr>
                  <w:tcW w:w="1546" w:type="pct"/>
                  <w:tcBorders>
                    <w:left w:val="single" w:color="000000" w:sz="4" w:space="0"/>
                    <w:tl2br w:val="nil"/>
                    <w:tr2bl w:val="nil"/>
                  </w:tcBorders>
                  <w:vAlign w:val="center"/>
                </w:tcPr>
                <w:p w14:paraId="014EFA4C">
                  <w:pPr>
                    <w:jc w:val="center"/>
                    <w:rPr>
                      <w:rFonts w:ascii="Times New Roman" w:hAnsi="Times New Roman" w:cs="Times New Roman"/>
                      <w:szCs w:val="21"/>
                    </w:rPr>
                  </w:pPr>
                  <w:r>
                    <w:rPr>
                      <w:rFonts w:hint="eastAsia" w:ascii="Times New Roman" w:hAnsi="Times New Roman" w:cs="Times New Roman"/>
                      <w:szCs w:val="21"/>
                    </w:rPr>
                    <w:t>1.0</w:t>
                  </w:r>
                </w:p>
              </w:tc>
            </w:tr>
          </w:tbl>
          <w:p w14:paraId="60BACF14">
            <w:pPr>
              <w:widowControl/>
              <w:wordWrap w:val="0"/>
              <w:topLinePunct/>
              <w:adjustRightInd w:val="0"/>
              <w:snapToGrid w:val="0"/>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无组织废气：</w:t>
            </w:r>
          </w:p>
          <w:p w14:paraId="79A7231B">
            <w:pPr>
              <w:pStyle w:val="38"/>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（1）无组织废气颗粒物、沥青烟、苯并[a]芘、非甲烷总烃执行</w:t>
            </w:r>
            <w:r>
              <w:rPr>
                <w:rFonts w:ascii="Times New Roman" w:hAnsi="Times New Roman" w:eastAsia="宋体" w:cs="Times New Roman"/>
                <w:sz w:val="24"/>
              </w:rPr>
              <w:t>《大气污染物综合排放标准》(GB16297-1996)中表2新污染源大气污染物排放限值-无组织排放监控浓度限值</w:t>
            </w:r>
            <w:r>
              <w:rPr>
                <w:rFonts w:hint="eastAsia" w:ascii="Times New Roman" w:hAnsi="Times New Roman" w:eastAsia="宋体" w:cs="Times New Roman"/>
                <w:sz w:val="24"/>
              </w:rPr>
              <w:t>，详</w:t>
            </w:r>
            <w:r>
              <w:rPr>
                <w:rFonts w:ascii="Times New Roman" w:hAnsi="Times New Roman" w:eastAsia="宋体" w:cs="Times New Roman"/>
                <w:sz w:val="24"/>
              </w:rPr>
              <w:t>见下表</w:t>
            </w:r>
            <w:r>
              <w:rPr>
                <w:rFonts w:hint="eastAsia" w:ascii="Times New Roman" w:hAnsi="Times New Roman" w:eastAsia="宋体" w:cs="Times New Roman"/>
                <w:sz w:val="24"/>
              </w:rPr>
              <w:t>。</w:t>
            </w:r>
          </w:p>
          <w:p w14:paraId="1BFAB1C8">
            <w:pPr>
              <w:spacing w:line="360" w:lineRule="auto"/>
              <w:ind w:firstLine="482" w:firstLineChars="200"/>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表3-15 《大气污染物综合排放标准》（GB16297- 1996）</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6"/>
              <w:gridCol w:w="1848"/>
              <w:gridCol w:w="2331"/>
              <w:gridCol w:w="1913"/>
            </w:tblGrid>
            <w:tr w14:paraId="3583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8" w:type="pct"/>
                  <w:tcBorders>
                    <w:tl2br w:val="nil"/>
                    <w:tr2bl w:val="nil"/>
                  </w:tcBorders>
                  <w:vAlign w:val="center"/>
                </w:tcPr>
                <w:p w14:paraId="7B82F994">
                  <w:pPr>
                    <w:jc w:val="center"/>
                    <w:rPr>
                      <w:rFonts w:ascii="Times New Roman" w:hAnsi="Times New Roman" w:cs="Times New Roman"/>
                      <w:b/>
                      <w:bCs/>
                      <w:szCs w:val="21"/>
                    </w:rPr>
                  </w:pPr>
                  <w:r>
                    <w:rPr>
                      <w:rFonts w:hint="eastAsia" w:ascii="Times New Roman" w:hAnsi="Times New Roman" w:cs="Times New Roman"/>
                      <w:b/>
                      <w:bCs/>
                      <w:szCs w:val="21"/>
                    </w:rPr>
                    <w:t>污染物</w:t>
                  </w:r>
                </w:p>
              </w:tc>
              <w:tc>
                <w:tcPr>
                  <w:tcW w:w="1174" w:type="pct"/>
                  <w:tcBorders>
                    <w:tl2br w:val="nil"/>
                    <w:tr2bl w:val="nil"/>
                  </w:tcBorders>
                  <w:vAlign w:val="center"/>
                </w:tcPr>
                <w:p w14:paraId="6AAD9E3F">
                  <w:pPr>
                    <w:jc w:val="center"/>
                    <w:rPr>
                      <w:rFonts w:ascii="Times New Roman" w:hAnsi="Times New Roman" w:cs="Times New Roman"/>
                      <w:b/>
                      <w:bCs/>
                      <w:szCs w:val="21"/>
                    </w:rPr>
                  </w:pPr>
                  <w:r>
                    <w:rPr>
                      <w:rFonts w:hint="eastAsia" w:ascii="Times New Roman" w:hAnsi="Times New Roman" w:cs="Times New Roman"/>
                      <w:b/>
                      <w:bCs/>
                      <w:szCs w:val="21"/>
                    </w:rPr>
                    <w:t>污染物排放形式</w:t>
                  </w:r>
                </w:p>
              </w:tc>
              <w:tc>
                <w:tcPr>
                  <w:tcW w:w="1481" w:type="pct"/>
                  <w:tcBorders>
                    <w:tl2br w:val="nil"/>
                    <w:tr2bl w:val="nil"/>
                  </w:tcBorders>
                  <w:vAlign w:val="center"/>
                </w:tcPr>
                <w:p w14:paraId="219CBDEA">
                  <w:pPr>
                    <w:jc w:val="center"/>
                    <w:rPr>
                      <w:rFonts w:ascii="Times New Roman" w:hAnsi="Times New Roman" w:cs="Times New Roman"/>
                      <w:b/>
                      <w:bCs/>
                      <w:szCs w:val="21"/>
                    </w:rPr>
                  </w:pPr>
                  <w:r>
                    <w:rPr>
                      <w:rFonts w:hint="eastAsia" w:ascii="Times New Roman" w:hAnsi="Times New Roman" w:cs="Times New Roman"/>
                      <w:b/>
                      <w:bCs/>
                      <w:szCs w:val="21"/>
                    </w:rPr>
                    <w:t>监控点</w:t>
                  </w:r>
                </w:p>
              </w:tc>
              <w:tc>
                <w:tcPr>
                  <w:tcW w:w="1215" w:type="pct"/>
                  <w:tcBorders>
                    <w:tl2br w:val="nil"/>
                    <w:tr2bl w:val="nil"/>
                  </w:tcBorders>
                  <w:vAlign w:val="center"/>
                </w:tcPr>
                <w:p w14:paraId="152E8A7C">
                  <w:pPr>
                    <w:jc w:val="center"/>
                    <w:rPr>
                      <w:rFonts w:ascii="Times New Roman" w:hAnsi="Times New Roman" w:cs="Times New Roman"/>
                      <w:b/>
                      <w:bCs/>
                      <w:szCs w:val="21"/>
                    </w:rPr>
                  </w:pPr>
                  <w:r>
                    <w:rPr>
                      <w:rFonts w:hint="eastAsia" w:ascii="Times New Roman" w:hAnsi="Times New Roman" w:cs="Times New Roman"/>
                      <w:b/>
                      <w:bCs/>
                      <w:szCs w:val="21"/>
                    </w:rPr>
                    <w:t>浓度限值(mg/m</w:t>
                  </w:r>
                  <w:r>
                    <w:rPr>
                      <w:rFonts w:hint="eastAsia" w:ascii="Times New Roman" w:hAnsi="Times New Roman" w:cs="Times New Roman"/>
                      <w:b/>
                      <w:bCs/>
                      <w:szCs w:val="21"/>
                      <w:vertAlign w:val="superscript"/>
                    </w:rPr>
                    <w:t>3</w:t>
                  </w:r>
                  <w:r>
                    <w:rPr>
                      <w:rFonts w:hint="eastAsia" w:ascii="Times New Roman" w:hAnsi="Times New Roman" w:cs="Times New Roman"/>
                      <w:b/>
                      <w:bCs/>
                      <w:szCs w:val="21"/>
                    </w:rPr>
                    <w:t>)</w:t>
                  </w:r>
                </w:p>
              </w:tc>
            </w:tr>
            <w:tr w14:paraId="381AF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8" w:type="pct"/>
                  <w:tcBorders>
                    <w:tl2br w:val="nil"/>
                    <w:tr2bl w:val="nil"/>
                  </w:tcBorders>
                  <w:vAlign w:val="center"/>
                </w:tcPr>
                <w:p w14:paraId="0E1322EC">
                  <w:pPr>
                    <w:jc w:val="center"/>
                    <w:rPr>
                      <w:rFonts w:ascii="Times New Roman" w:hAnsi="Times New Roman" w:cs="Times New Roman"/>
                      <w:szCs w:val="21"/>
                    </w:rPr>
                  </w:pPr>
                  <w:r>
                    <w:rPr>
                      <w:rFonts w:hint="eastAsia" w:ascii="Times New Roman" w:hAnsi="Times New Roman" w:cs="Times New Roman"/>
                      <w:szCs w:val="21"/>
                    </w:rPr>
                    <w:t>颗粒物</w:t>
                  </w:r>
                </w:p>
              </w:tc>
              <w:tc>
                <w:tcPr>
                  <w:tcW w:w="1174" w:type="pct"/>
                  <w:tcBorders>
                    <w:tl2br w:val="nil"/>
                    <w:tr2bl w:val="nil"/>
                  </w:tcBorders>
                  <w:vAlign w:val="center"/>
                </w:tcPr>
                <w:p w14:paraId="0F2F7D7F">
                  <w:pPr>
                    <w:jc w:val="center"/>
                    <w:rPr>
                      <w:rFonts w:ascii="Times New Roman" w:hAnsi="Times New Roman" w:cs="Times New Roman"/>
                      <w:szCs w:val="21"/>
                    </w:rPr>
                  </w:pPr>
                  <w:r>
                    <w:rPr>
                      <w:rFonts w:hint="eastAsia" w:ascii="Times New Roman" w:hAnsi="Times New Roman" w:cs="Times New Roman"/>
                      <w:szCs w:val="21"/>
                    </w:rPr>
                    <w:t>无组织排放</w:t>
                  </w:r>
                </w:p>
              </w:tc>
              <w:tc>
                <w:tcPr>
                  <w:tcW w:w="1481" w:type="pct"/>
                  <w:tcBorders>
                    <w:tl2br w:val="nil"/>
                    <w:tr2bl w:val="nil"/>
                  </w:tcBorders>
                  <w:vAlign w:val="center"/>
                </w:tcPr>
                <w:p w14:paraId="2BEE28BC">
                  <w:pPr>
                    <w:jc w:val="center"/>
                    <w:rPr>
                      <w:rFonts w:ascii="Times New Roman" w:hAnsi="Times New Roman" w:cs="Times New Roman"/>
                      <w:szCs w:val="21"/>
                    </w:rPr>
                  </w:pPr>
                  <w:r>
                    <w:rPr>
                      <w:rFonts w:hint="eastAsia" w:ascii="Times New Roman" w:hAnsi="Times New Roman" w:cs="Times New Roman"/>
                      <w:szCs w:val="21"/>
                    </w:rPr>
                    <w:t>周界外浓度最高点</w:t>
                  </w:r>
                </w:p>
              </w:tc>
              <w:tc>
                <w:tcPr>
                  <w:tcW w:w="1215" w:type="pct"/>
                  <w:tcBorders>
                    <w:tl2br w:val="nil"/>
                    <w:tr2bl w:val="nil"/>
                  </w:tcBorders>
                  <w:vAlign w:val="center"/>
                </w:tcPr>
                <w:p w14:paraId="6A9D8598">
                  <w:pPr>
                    <w:jc w:val="center"/>
                    <w:rPr>
                      <w:rFonts w:ascii="Times New Roman" w:hAnsi="Times New Roman" w:cs="Times New Roman"/>
                      <w:szCs w:val="21"/>
                    </w:rPr>
                  </w:pPr>
                  <w:r>
                    <w:rPr>
                      <w:rFonts w:hint="eastAsia" w:ascii="Times New Roman" w:hAnsi="Times New Roman" w:cs="Times New Roman"/>
                      <w:szCs w:val="21"/>
                    </w:rPr>
                    <w:t>1.0</w:t>
                  </w:r>
                </w:p>
              </w:tc>
            </w:tr>
            <w:tr w14:paraId="06E0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8" w:type="pct"/>
                  <w:tcBorders>
                    <w:tl2br w:val="nil"/>
                    <w:tr2bl w:val="nil"/>
                  </w:tcBorders>
                  <w:vAlign w:val="center"/>
                </w:tcPr>
                <w:p w14:paraId="7D3AD5D1">
                  <w:pPr>
                    <w:jc w:val="center"/>
                    <w:rPr>
                      <w:rFonts w:ascii="Times New Roman" w:hAnsi="Times New Roman" w:cs="Times New Roman"/>
                      <w:szCs w:val="21"/>
                    </w:rPr>
                  </w:pPr>
                  <w:r>
                    <w:rPr>
                      <w:rFonts w:hint="eastAsia" w:ascii="Times New Roman" w:hAnsi="Times New Roman" w:eastAsia="宋体" w:cs="Times New Roman"/>
                      <w:szCs w:val="21"/>
                    </w:rPr>
                    <w:t>沥青烟</w:t>
                  </w:r>
                </w:p>
              </w:tc>
              <w:tc>
                <w:tcPr>
                  <w:tcW w:w="1174" w:type="pct"/>
                  <w:tcBorders>
                    <w:tl2br w:val="nil"/>
                    <w:tr2bl w:val="nil"/>
                  </w:tcBorders>
                  <w:vAlign w:val="center"/>
                </w:tcPr>
                <w:p w14:paraId="5529A32B">
                  <w:pPr>
                    <w:jc w:val="center"/>
                    <w:rPr>
                      <w:rFonts w:ascii="Times New Roman" w:hAnsi="Times New Roman" w:cs="Times New Roman"/>
                      <w:szCs w:val="21"/>
                    </w:rPr>
                  </w:pPr>
                  <w:r>
                    <w:rPr>
                      <w:rFonts w:hint="eastAsia" w:ascii="Times New Roman" w:hAnsi="Times New Roman" w:cs="Times New Roman"/>
                      <w:szCs w:val="21"/>
                    </w:rPr>
                    <w:t>无组织排放</w:t>
                  </w:r>
                </w:p>
              </w:tc>
              <w:tc>
                <w:tcPr>
                  <w:tcW w:w="2697" w:type="pct"/>
                  <w:gridSpan w:val="2"/>
                  <w:tcBorders>
                    <w:tl2br w:val="nil"/>
                    <w:tr2bl w:val="nil"/>
                  </w:tcBorders>
                  <w:vAlign w:val="center"/>
                </w:tcPr>
                <w:p w14:paraId="3965865B">
                  <w:pPr>
                    <w:jc w:val="center"/>
                    <w:rPr>
                      <w:rFonts w:ascii="Times New Roman" w:hAnsi="Times New Roman" w:cs="Times New Roman"/>
                      <w:szCs w:val="21"/>
                    </w:rPr>
                  </w:pPr>
                  <w:r>
                    <w:rPr>
                      <w:rFonts w:hint="eastAsia" w:ascii="Times New Roman" w:hAnsi="Times New Roman" w:cs="Times New Roman"/>
                      <w:szCs w:val="21"/>
                    </w:rPr>
                    <w:t>生产设备不得有明显的无组织排放存在</w:t>
                  </w:r>
                </w:p>
              </w:tc>
            </w:tr>
            <w:tr w14:paraId="1044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8" w:type="pct"/>
                  <w:tcBorders>
                    <w:tl2br w:val="nil"/>
                    <w:tr2bl w:val="nil"/>
                  </w:tcBorders>
                  <w:vAlign w:val="center"/>
                </w:tcPr>
                <w:p w14:paraId="62309BD6">
                  <w:pPr>
                    <w:jc w:val="center"/>
                    <w:rPr>
                      <w:rFonts w:ascii="Times New Roman" w:hAnsi="Times New Roman" w:cs="Times New Roman"/>
                      <w:szCs w:val="21"/>
                    </w:rPr>
                  </w:pPr>
                  <w:r>
                    <w:rPr>
                      <w:rFonts w:hint="eastAsia" w:ascii="Times New Roman" w:hAnsi="Times New Roman" w:cs="Times New Roman"/>
                      <w:szCs w:val="21"/>
                    </w:rPr>
                    <w:t>苯并[a]芘</w:t>
                  </w:r>
                </w:p>
              </w:tc>
              <w:tc>
                <w:tcPr>
                  <w:tcW w:w="1174" w:type="pct"/>
                  <w:tcBorders>
                    <w:tl2br w:val="nil"/>
                    <w:tr2bl w:val="nil"/>
                  </w:tcBorders>
                  <w:vAlign w:val="center"/>
                </w:tcPr>
                <w:p w14:paraId="7DD74272">
                  <w:pPr>
                    <w:jc w:val="center"/>
                    <w:rPr>
                      <w:rFonts w:ascii="Times New Roman" w:hAnsi="Times New Roman" w:cs="Times New Roman"/>
                      <w:szCs w:val="21"/>
                    </w:rPr>
                  </w:pPr>
                  <w:r>
                    <w:rPr>
                      <w:rFonts w:hint="eastAsia" w:ascii="Times New Roman" w:hAnsi="Times New Roman" w:cs="Times New Roman"/>
                      <w:szCs w:val="21"/>
                    </w:rPr>
                    <w:t>无组织排放</w:t>
                  </w:r>
                </w:p>
              </w:tc>
              <w:tc>
                <w:tcPr>
                  <w:tcW w:w="1481" w:type="pct"/>
                  <w:tcBorders>
                    <w:tl2br w:val="nil"/>
                    <w:tr2bl w:val="nil"/>
                  </w:tcBorders>
                  <w:vAlign w:val="center"/>
                </w:tcPr>
                <w:p w14:paraId="461D0A39">
                  <w:pPr>
                    <w:jc w:val="center"/>
                    <w:rPr>
                      <w:rFonts w:ascii="Times New Roman" w:hAnsi="Times New Roman" w:cs="Times New Roman"/>
                      <w:szCs w:val="21"/>
                    </w:rPr>
                  </w:pPr>
                  <w:r>
                    <w:rPr>
                      <w:rFonts w:hint="eastAsia" w:ascii="Times New Roman" w:hAnsi="Times New Roman" w:cs="Times New Roman"/>
                      <w:szCs w:val="21"/>
                    </w:rPr>
                    <w:t>周界外浓度最高点</w:t>
                  </w:r>
                </w:p>
              </w:tc>
              <w:tc>
                <w:tcPr>
                  <w:tcW w:w="1215" w:type="pct"/>
                  <w:tcBorders>
                    <w:tl2br w:val="nil"/>
                    <w:tr2bl w:val="nil"/>
                  </w:tcBorders>
                  <w:vAlign w:val="center"/>
                </w:tcPr>
                <w:p w14:paraId="631DFB74">
                  <w:pPr>
                    <w:jc w:val="center"/>
                    <w:rPr>
                      <w:rFonts w:ascii="Times New Roman" w:hAnsi="Times New Roman" w:cs="Times New Roman"/>
                      <w:szCs w:val="21"/>
                    </w:rPr>
                  </w:pPr>
                  <w:r>
                    <w:rPr>
                      <w:rFonts w:hint="eastAsia" w:ascii="Times New Roman" w:hAnsi="Times New Roman" w:cs="Times New Roman"/>
                      <w:szCs w:val="21"/>
                    </w:rPr>
                    <w:t>0.008μg/m</w:t>
                  </w:r>
                  <w:r>
                    <w:rPr>
                      <w:rFonts w:hint="eastAsia" w:ascii="Times New Roman" w:hAnsi="Times New Roman" w:cs="Times New Roman"/>
                      <w:szCs w:val="21"/>
                      <w:vertAlign w:val="superscript"/>
                    </w:rPr>
                    <w:t>3</w:t>
                  </w:r>
                </w:p>
              </w:tc>
            </w:tr>
            <w:tr w14:paraId="0DD0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128" w:type="pct"/>
                  <w:tcBorders>
                    <w:tl2br w:val="nil"/>
                    <w:tr2bl w:val="nil"/>
                  </w:tcBorders>
                  <w:vAlign w:val="center"/>
                </w:tcPr>
                <w:p w14:paraId="30FBD4FB">
                  <w:pPr>
                    <w:jc w:val="center"/>
                    <w:rPr>
                      <w:rFonts w:ascii="Times New Roman" w:hAnsi="Times New Roman" w:cs="Times New Roman"/>
                      <w:szCs w:val="21"/>
                    </w:rPr>
                  </w:pPr>
                  <w:r>
                    <w:rPr>
                      <w:rFonts w:hint="eastAsia" w:ascii="Times New Roman" w:hAnsi="Times New Roman" w:cs="Times New Roman"/>
                      <w:szCs w:val="21"/>
                    </w:rPr>
                    <w:t>非甲烷总烃</w:t>
                  </w:r>
                </w:p>
              </w:tc>
              <w:tc>
                <w:tcPr>
                  <w:tcW w:w="1174" w:type="pct"/>
                  <w:tcBorders>
                    <w:tl2br w:val="nil"/>
                    <w:tr2bl w:val="nil"/>
                  </w:tcBorders>
                  <w:vAlign w:val="center"/>
                </w:tcPr>
                <w:p w14:paraId="48265E53">
                  <w:pPr>
                    <w:jc w:val="center"/>
                    <w:rPr>
                      <w:rFonts w:ascii="Times New Roman" w:hAnsi="Times New Roman" w:cs="Times New Roman"/>
                      <w:szCs w:val="21"/>
                    </w:rPr>
                  </w:pPr>
                  <w:r>
                    <w:rPr>
                      <w:rFonts w:hint="eastAsia" w:ascii="Times New Roman" w:hAnsi="Times New Roman" w:cs="Times New Roman"/>
                      <w:szCs w:val="21"/>
                    </w:rPr>
                    <w:t>无组织排放</w:t>
                  </w:r>
                </w:p>
              </w:tc>
              <w:tc>
                <w:tcPr>
                  <w:tcW w:w="1481" w:type="pct"/>
                  <w:tcBorders>
                    <w:tl2br w:val="nil"/>
                    <w:tr2bl w:val="nil"/>
                  </w:tcBorders>
                  <w:vAlign w:val="center"/>
                </w:tcPr>
                <w:p w14:paraId="02FD7863">
                  <w:pPr>
                    <w:jc w:val="center"/>
                    <w:rPr>
                      <w:rFonts w:ascii="Times New Roman" w:hAnsi="Times New Roman" w:cs="Times New Roman"/>
                      <w:szCs w:val="21"/>
                    </w:rPr>
                  </w:pPr>
                  <w:r>
                    <w:rPr>
                      <w:rFonts w:hint="eastAsia" w:ascii="Times New Roman" w:hAnsi="Times New Roman" w:cs="Times New Roman"/>
                      <w:szCs w:val="21"/>
                    </w:rPr>
                    <w:t>周界外浓度最高点</w:t>
                  </w:r>
                </w:p>
              </w:tc>
              <w:tc>
                <w:tcPr>
                  <w:tcW w:w="1215" w:type="pct"/>
                  <w:tcBorders>
                    <w:tl2br w:val="nil"/>
                    <w:tr2bl w:val="nil"/>
                  </w:tcBorders>
                  <w:vAlign w:val="center"/>
                </w:tcPr>
                <w:p w14:paraId="51002676">
                  <w:pPr>
                    <w:jc w:val="center"/>
                    <w:rPr>
                      <w:rFonts w:ascii="Times New Roman" w:hAnsi="Times New Roman" w:cs="Times New Roman"/>
                      <w:szCs w:val="21"/>
                    </w:rPr>
                  </w:pPr>
                  <w:r>
                    <w:rPr>
                      <w:rFonts w:hint="eastAsia" w:ascii="Times New Roman" w:hAnsi="Times New Roman" w:cs="Times New Roman"/>
                      <w:szCs w:val="21"/>
                    </w:rPr>
                    <w:t>4.0</w:t>
                  </w:r>
                </w:p>
              </w:tc>
            </w:tr>
          </w:tbl>
          <w:p w14:paraId="0C5C0947">
            <w:pPr>
              <w:pStyle w:val="38"/>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（2）厂区内无组织非甲烷总烃执行《挥发性有机物无组织排放控制标准》（GB37822-2019）附录A中的排放限值要求。</w:t>
            </w:r>
          </w:p>
          <w:p w14:paraId="41DCA0B1">
            <w:pPr>
              <w:widowControl/>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lang w:val="en-US" w:eastAsia="zh-CN"/>
              </w:rPr>
              <w:t xml:space="preserve">   </w:t>
            </w:r>
            <w:r>
              <w:rPr>
                <w:rFonts w:hint="eastAsia" w:ascii="Times New Roman" w:hAnsi="Times New Roman" w:eastAsia="宋体" w:cs="宋体-PUA"/>
                <w:b/>
                <w:sz w:val="24"/>
                <w:shd w:val="clear" w:color="auto" w:fill="FFFFFF"/>
              </w:rPr>
              <w:t>表3-16 《挥发性有机物无组织排放控制标准》（GB37822-2019）</w:t>
            </w:r>
          </w:p>
          <w:tbl>
            <w:tblPr>
              <w:tblStyle w:val="28"/>
              <w:tblW w:w="49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8"/>
              <w:gridCol w:w="1497"/>
              <w:gridCol w:w="2588"/>
              <w:gridCol w:w="2412"/>
            </w:tblGrid>
            <w:tr w14:paraId="44D2B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38" w:type="pct"/>
                  <w:tcBorders>
                    <w:tl2br w:val="nil"/>
                    <w:tr2bl w:val="nil"/>
                  </w:tcBorders>
                  <w:vAlign w:val="center"/>
                </w:tcPr>
                <w:p w14:paraId="480D6D1C">
                  <w:pPr>
                    <w:autoSpaceDE w:val="0"/>
                    <w:autoSpaceDN w:val="0"/>
                    <w:jc w:val="center"/>
                    <w:rPr>
                      <w:rFonts w:ascii="Times New Roman" w:hAnsi="Times New Roman" w:eastAsia="宋体" w:cs="Times New Roman"/>
                      <w:b/>
                      <w:bCs/>
                      <w:szCs w:val="21"/>
                    </w:rPr>
                  </w:pPr>
                  <w:r>
                    <w:rPr>
                      <w:rFonts w:hint="eastAsia" w:ascii="Times New Roman" w:hAnsi="Times New Roman" w:eastAsia="宋体" w:cs="Times New Roman"/>
                      <w:b/>
                      <w:bCs/>
                      <w:szCs w:val="21"/>
                    </w:rPr>
                    <w:t>污染物项目</w:t>
                  </w:r>
                </w:p>
              </w:tc>
              <w:tc>
                <w:tcPr>
                  <w:tcW w:w="959" w:type="pct"/>
                  <w:tcBorders>
                    <w:tl2br w:val="nil"/>
                    <w:tr2bl w:val="nil"/>
                  </w:tcBorders>
                  <w:vAlign w:val="center"/>
                </w:tcPr>
                <w:p w14:paraId="461F9799">
                  <w:pPr>
                    <w:autoSpaceDE w:val="0"/>
                    <w:autoSpaceDN w:val="0"/>
                    <w:jc w:val="center"/>
                    <w:rPr>
                      <w:rFonts w:ascii="Times New Roman" w:hAnsi="Times New Roman" w:eastAsia="宋体" w:cs="Times New Roman"/>
                      <w:b/>
                      <w:bCs/>
                      <w:szCs w:val="21"/>
                    </w:rPr>
                  </w:pPr>
                  <w:r>
                    <w:rPr>
                      <w:rFonts w:hint="eastAsia" w:ascii="Times New Roman" w:hAnsi="Times New Roman" w:eastAsia="宋体" w:cs="Times New Roman"/>
                      <w:b/>
                      <w:bCs/>
                      <w:szCs w:val="21"/>
                    </w:rPr>
                    <w:t>排放限值</w:t>
                  </w:r>
                </w:p>
              </w:tc>
              <w:tc>
                <w:tcPr>
                  <w:tcW w:w="1657" w:type="pct"/>
                  <w:tcBorders>
                    <w:tl2br w:val="nil"/>
                    <w:tr2bl w:val="nil"/>
                  </w:tcBorders>
                  <w:vAlign w:val="center"/>
                </w:tcPr>
                <w:p w14:paraId="4507ACE9">
                  <w:pPr>
                    <w:autoSpaceDE w:val="0"/>
                    <w:autoSpaceDN w:val="0"/>
                    <w:jc w:val="center"/>
                    <w:rPr>
                      <w:rFonts w:ascii="Times New Roman" w:hAnsi="Times New Roman" w:eastAsia="宋体" w:cs="Times New Roman"/>
                      <w:b/>
                      <w:bCs/>
                      <w:szCs w:val="21"/>
                    </w:rPr>
                  </w:pPr>
                  <w:r>
                    <w:rPr>
                      <w:rFonts w:hint="eastAsia" w:ascii="Times New Roman" w:hAnsi="Times New Roman" w:eastAsia="宋体" w:cs="Times New Roman"/>
                      <w:b/>
                      <w:bCs/>
                      <w:szCs w:val="21"/>
                    </w:rPr>
                    <w:t>限值含义</w:t>
                  </w:r>
                </w:p>
              </w:tc>
              <w:tc>
                <w:tcPr>
                  <w:tcW w:w="1544" w:type="pct"/>
                  <w:tcBorders>
                    <w:tl2br w:val="nil"/>
                    <w:tr2bl w:val="nil"/>
                  </w:tcBorders>
                  <w:vAlign w:val="center"/>
                </w:tcPr>
                <w:p w14:paraId="528148CD">
                  <w:pPr>
                    <w:autoSpaceDE w:val="0"/>
                    <w:autoSpaceDN w:val="0"/>
                    <w:jc w:val="center"/>
                    <w:rPr>
                      <w:rFonts w:ascii="Times New Roman" w:hAnsi="Times New Roman" w:eastAsia="宋体" w:cs="Times New Roman"/>
                      <w:b/>
                      <w:bCs/>
                      <w:szCs w:val="21"/>
                    </w:rPr>
                  </w:pPr>
                  <w:r>
                    <w:rPr>
                      <w:rFonts w:hint="eastAsia" w:ascii="Times New Roman" w:hAnsi="Times New Roman" w:eastAsia="宋体" w:cs="Times New Roman"/>
                      <w:b/>
                      <w:bCs/>
                      <w:szCs w:val="21"/>
                    </w:rPr>
                    <w:t>无组织排放监控位置</w:t>
                  </w:r>
                </w:p>
              </w:tc>
            </w:tr>
            <w:tr w14:paraId="6D426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838" w:type="pct"/>
                  <w:vMerge w:val="restart"/>
                  <w:tcBorders>
                    <w:tl2br w:val="nil"/>
                    <w:tr2bl w:val="nil"/>
                  </w:tcBorders>
                  <w:vAlign w:val="center"/>
                </w:tcPr>
                <w:p w14:paraId="62F7A418">
                  <w:pPr>
                    <w:autoSpaceDE w:val="0"/>
                    <w:autoSpaceDN w:val="0"/>
                    <w:jc w:val="center"/>
                    <w:rPr>
                      <w:rFonts w:ascii="Times New Roman" w:hAnsi="Times New Roman" w:eastAsia="宋体" w:cs="Times New Roman"/>
                      <w:szCs w:val="21"/>
                    </w:rPr>
                  </w:pPr>
                  <w:r>
                    <w:rPr>
                      <w:rFonts w:hint="eastAsia" w:ascii="Times New Roman" w:hAnsi="Times New Roman" w:eastAsia="宋体" w:cs="Times New Roman"/>
                      <w:szCs w:val="21"/>
                    </w:rPr>
                    <w:t>NMHC</w:t>
                  </w:r>
                </w:p>
              </w:tc>
              <w:tc>
                <w:tcPr>
                  <w:tcW w:w="959" w:type="pct"/>
                  <w:tcBorders>
                    <w:tl2br w:val="nil"/>
                    <w:tr2bl w:val="nil"/>
                  </w:tcBorders>
                  <w:vAlign w:val="center"/>
                </w:tcPr>
                <w:p w14:paraId="515F2487">
                  <w:pPr>
                    <w:autoSpaceDE w:val="0"/>
                    <w:autoSpaceDN w:val="0"/>
                    <w:jc w:val="center"/>
                    <w:rPr>
                      <w:rFonts w:ascii="Times New Roman" w:hAnsi="Times New Roman" w:eastAsia="宋体" w:cs="Times New Roman"/>
                      <w:szCs w:val="21"/>
                    </w:rPr>
                  </w:pPr>
                  <w:r>
                    <w:rPr>
                      <w:rFonts w:hint="eastAsia" w:ascii="Times New Roman" w:hAnsi="Times New Roman" w:eastAsia="宋体" w:cs="Times New Roman"/>
                      <w:szCs w:val="21"/>
                    </w:rPr>
                    <w:t>10mg/m</w:t>
                  </w:r>
                  <w:r>
                    <w:rPr>
                      <w:rFonts w:hint="eastAsia" w:ascii="Times New Roman" w:hAnsi="Times New Roman" w:eastAsia="宋体" w:cs="Times New Roman"/>
                      <w:szCs w:val="21"/>
                      <w:vertAlign w:val="superscript"/>
                    </w:rPr>
                    <w:t>3</w:t>
                  </w:r>
                </w:p>
              </w:tc>
              <w:tc>
                <w:tcPr>
                  <w:tcW w:w="1657" w:type="pct"/>
                  <w:tcBorders>
                    <w:tl2br w:val="nil"/>
                    <w:tr2bl w:val="nil"/>
                  </w:tcBorders>
                  <w:vAlign w:val="center"/>
                </w:tcPr>
                <w:p w14:paraId="4A0939E4">
                  <w:pPr>
                    <w:autoSpaceDE w:val="0"/>
                    <w:autoSpaceDN w:val="0"/>
                    <w:jc w:val="center"/>
                    <w:rPr>
                      <w:rFonts w:ascii="Times New Roman" w:hAnsi="Times New Roman" w:eastAsia="宋体" w:cs="Times New Roman"/>
                      <w:szCs w:val="21"/>
                    </w:rPr>
                  </w:pPr>
                  <w:r>
                    <w:rPr>
                      <w:rFonts w:hint="eastAsia" w:ascii="Times New Roman" w:hAnsi="Times New Roman" w:eastAsia="宋体" w:cs="Times New Roman"/>
                      <w:szCs w:val="21"/>
                    </w:rPr>
                    <w:t>监控点处1h平均浓度值</w:t>
                  </w:r>
                </w:p>
              </w:tc>
              <w:tc>
                <w:tcPr>
                  <w:tcW w:w="1544" w:type="pct"/>
                  <w:vMerge w:val="restart"/>
                  <w:tcBorders>
                    <w:tl2br w:val="nil"/>
                    <w:tr2bl w:val="nil"/>
                  </w:tcBorders>
                  <w:vAlign w:val="center"/>
                </w:tcPr>
                <w:p w14:paraId="5EFEBA6A">
                  <w:pPr>
                    <w:autoSpaceDE w:val="0"/>
                    <w:autoSpaceDN w:val="0"/>
                    <w:jc w:val="center"/>
                    <w:rPr>
                      <w:rFonts w:ascii="Times New Roman" w:hAnsi="Times New Roman" w:eastAsia="宋体" w:cs="Times New Roman"/>
                      <w:szCs w:val="21"/>
                    </w:rPr>
                  </w:pPr>
                  <w:r>
                    <w:rPr>
                      <w:rFonts w:hint="eastAsia" w:ascii="Times New Roman" w:hAnsi="Times New Roman" w:eastAsia="宋体" w:cs="Times New Roman"/>
                      <w:szCs w:val="21"/>
                    </w:rPr>
                    <w:t>在厂房外设置监控点</w:t>
                  </w:r>
                </w:p>
              </w:tc>
            </w:tr>
            <w:tr w14:paraId="7580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838" w:type="pct"/>
                  <w:vMerge w:val="continue"/>
                  <w:tcBorders>
                    <w:tl2br w:val="nil"/>
                    <w:tr2bl w:val="nil"/>
                  </w:tcBorders>
                  <w:vAlign w:val="center"/>
                </w:tcPr>
                <w:p w14:paraId="273CB60B">
                  <w:pPr>
                    <w:autoSpaceDE w:val="0"/>
                    <w:autoSpaceDN w:val="0"/>
                    <w:jc w:val="center"/>
                    <w:rPr>
                      <w:rFonts w:ascii="Times New Roman" w:hAnsi="Times New Roman" w:eastAsia="宋体" w:cs="Times New Roman"/>
                      <w:szCs w:val="21"/>
                    </w:rPr>
                  </w:pPr>
                </w:p>
              </w:tc>
              <w:tc>
                <w:tcPr>
                  <w:tcW w:w="959" w:type="pct"/>
                  <w:tcBorders>
                    <w:tl2br w:val="nil"/>
                    <w:tr2bl w:val="nil"/>
                  </w:tcBorders>
                  <w:vAlign w:val="center"/>
                </w:tcPr>
                <w:p w14:paraId="5F20960A">
                  <w:pPr>
                    <w:autoSpaceDE w:val="0"/>
                    <w:autoSpaceDN w:val="0"/>
                    <w:jc w:val="center"/>
                    <w:rPr>
                      <w:rFonts w:ascii="Times New Roman" w:hAnsi="Times New Roman" w:eastAsia="宋体" w:cs="Times New Roman"/>
                      <w:szCs w:val="21"/>
                    </w:rPr>
                  </w:pPr>
                  <w:r>
                    <w:rPr>
                      <w:rFonts w:hint="eastAsia" w:ascii="Times New Roman" w:hAnsi="Times New Roman" w:eastAsia="宋体" w:cs="Times New Roman"/>
                      <w:szCs w:val="21"/>
                    </w:rPr>
                    <w:t>30mg/m</w:t>
                  </w:r>
                  <w:r>
                    <w:rPr>
                      <w:rFonts w:hint="eastAsia" w:ascii="Times New Roman" w:hAnsi="Times New Roman" w:eastAsia="宋体" w:cs="Times New Roman"/>
                      <w:szCs w:val="21"/>
                      <w:vertAlign w:val="superscript"/>
                    </w:rPr>
                    <w:t>3</w:t>
                  </w:r>
                </w:p>
              </w:tc>
              <w:tc>
                <w:tcPr>
                  <w:tcW w:w="1657" w:type="pct"/>
                  <w:tcBorders>
                    <w:tl2br w:val="nil"/>
                    <w:tr2bl w:val="nil"/>
                  </w:tcBorders>
                  <w:vAlign w:val="center"/>
                </w:tcPr>
                <w:p w14:paraId="0028F9DE">
                  <w:pPr>
                    <w:autoSpaceDE w:val="0"/>
                    <w:autoSpaceDN w:val="0"/>
                    <w:jc w:val="center"/>
                    <w:rPr>
                      <w:rFonts w:ascii="Times New Roman" w:hAnsi="Times New Roman" w:eastAsia="宋体" w:cs="Times New Roman"/>
                      <w:szCs w:val="21"/>
                    </w:rPr>
                  </w:pPr>
                  <w:r>
                    <w:rPr>
                      <w:rFonts w:hint="eastAsia" w:ascii="Times New Roman" w:hAnsi="Times New Roman" w:eastAsia="宋体" w:cs="Times New Roman"/>
                      <w:szCs w:val="21"/>
                    </w:rPr>
                    <w:t>监控点处任意一次浓度值</w:t>
                  </w:r>
                </w:p>
              </w:tc>
              <w:tc>
                <w:tcPr>
                  <w:tcW w:w="1544" w:type="pct"/>
                  <w:vMerge w:val="continue"/>
                  <w:tcBorders>
                    <w:tl2br w:val="nil"/>
                    <w:tr2bl w:val="nil"/>
                  </w:tcBorders>
                  <w:vAlign w:val="center"/>
                </w:tcPr>
                <w:p w14:paraId="3F067345">
                  <w:pPr>
                    <w:autoSpaceDE w:val="0"/>
                    <w:autoSpaceDN w:val="0"/>
                    <w:jc w:val="center"/>
                    <w:rPr>
                      <w:rFonts w:ascii="Times New Roman" w:hAnsi="Times New Roman" w:eastAsia="宋体" w:cs="Times New Roman"/>
                      <w:szCs w:val="21"/>
                    </w:rPr>
                  </w:pPr>
                </w:p>
              </w:tc>
            </w:tr>
          </w:tbl>
          <w:p w14:paraId="6DDED46B">
            <w:pPr>
              <w:widowControl/>
              <w:wordWrap w:val="0"/>
              <w:topLinePunct/>
              <w:adjustRightInd w:val="0"/>
              <w:snapToGrid w:val="0"/>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7.2噪声</w:t>
            </w:r>
          </w:p>
          <w:p w14:paraId="1887F519">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本项目施工期场界环境噪声执行《建筑施工噪声排放标准》（GB12523-2025），详见表3-17。</w:t>
            </w:r>
            <w:bookmarkStart w:id="9" w:name="_Ref170113298"/>
          </w:p>
          <w:p w14:paraId="32D28D09">
            <w:pPr>
              <w:widowControl/>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 xml:space="preserve"> 表</w:t>
            </w:r>
            <w:bookmarkEnd w:id="9"/>
            <w:r>
              <w:rPr>
                <w:rFonts w:hint="eastAsia" w:ascii="Times New Roman" w:hAnsi="Times New Roman" w:eastAsia="宋体" w:cs="宋体-PUA"/>
                <w:b/>
                <w:sz w:val="24"/>
                <w:shd w:val="clear" w:color="auto" w:fill="FFFFFF"/>
              </w:rPr>
              <w:t>3-17  《建筑施工噪声排放标准》（GB12523-2025）单位：dB</w:t>
            </w:r>
          </w:p>
          <w:tbl>
            <w:tblPr>
              <w:tblStyle w:val="28"/>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3929"/>
              <w:gridCol w:w="3934"/>
            </w:tblGrid>
            <w:tr w14:paraId="12C8B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12" w:hRule="atLeast"/>
                <w:tblHeader/>
                <w:jc w:val="center"/>
              </w:trPr>
              <w:tc>
                <w:tcPr>
                  <w:tcW w:w="4288" w:type="dxa"/>
                  <w:tcBorders>
                    <w:tl2br w:val="nil"/>
                    <w:tr2bl w:val="nil"/>
                  </w:tcBorders>
                  <w:vAlign w:val="center"/>
                </w:tcPr>
                <w:p w14:paraId="52795AA6">
                  <w:pPr>
                    <w:jc w:val="center"/>
                    <w:rPr>
                      <w:rFonts w:ascii="Times New Roman" w:hAnsi="Times New Roman" w:cs="Times New Roman"/>
                      <w:b/>
                      <w:bCs/>
                      <w:szCs w:val="21"/>
                    </w:rPr>
                  </w:pPr>
                  <w:r>
                    <w:rPr>
                      <w:rFonts w:hint="eastAsia" w:ascii="Times New Roman" w:hAnsi="Times New Roman" w:cs="Times New Roman"/>
                      <w:b/>
                      <w:bCs/>
                      <w:szCs w:val="21"/>
                    </w:rPr>
                    <w:t>昼间</w:t>
                  </w:r>
                </w:p>
              </w:tc>
              <w:tc>
                <w:tcPr>
                  <w:tcW w:w="4293" w:type="dxa"/>
                  <w:tcBorders>
                    <w:tl2br w:val="nil"/>
                    <w:tr2bl w:val="nil"/>
                  </w:tcBorders>
                  <w:vAlign w:val="center"/>
                </w:tcPr>
                <w:p w14:paraId="14977DFB">
                  <w:pPr>
                    <w:jc w:val="center"/>
                    <w:rPr>
                      <w:rFonts w:ascii="Times New Roman" w:hAnsi="Times New Roman" w:cs="Times New Roman"/>
                      <w:b/>
                      <w:bCs/>
                      <w:szCs w:val="21"/>
                    </w:rPr>
                  </w:pPr>
                  <w:r>
                    <w:rPr>
                      <w:rFonts w:hint="eastAsia" w:ascii="Times New Roman" w:hAnsi="Times New Roman" w:cs="Times New Roman"/>
                      <w:b/>
                      <w:bCs/>
                      <w:szCs w:val="21"/>
                    </w:rPr>
                    <w:t>夜间</w:t>
                  </w:r>
                </w:p>
              </w:tc>
            </w:tr>
            <w:tr w14:paraId="151EB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 w:hRule="atLeast"/>
                <w:tblHeader/>
                <w:jc w:val="center"/>
              </w:trPr>
              <w:tc>
                <w:tcPr>
                  <w:tcW w:w="4288" w:type="dxa"/>
                  <w:tcBorders>
                    <w:tl2br w:val="nil"/>
                    <w:tr2bl w:val="nil"/>
                  </w:tcBorders>
                  <w:vAlign w:val="center"/>
                </w:tcPr>
                <w:p w14:paraId="39A138E7">
                  <w:pPr>
                    <w:jc w:val="center"/>
                    <w:rPr>
                      <w:rFonts w:ascii="Times New Roman" w:hAnsi="Times New Roman" w:cs="Times New Roman"/>
                      <w:szCs w:val="21"/>
                    </w:rPr>
                  </w:pPr>
                  <w:r>
                    <w:rPr>
                      <w:rFonts w:hint="eastAsia" w:ascii="Times New Roman" w:hAnsi="Times New Roman" w:cs="Times New Roman"/>
                      <w:szCs w:val="21"/>
                    </w:rPr>
                    <w:t>70</w:t>
                  </w:r>
                </w:p>
              </w:tc>
              <w:tc>
                <w:tcPr>
                  <w:tcW w:w="4293" w:type="dxa"/>
                  <w:tcBorders>
                    <w:tl2br w:val="nil"/>
                    <w:tr2bl w:val="nil"/>
                  </w:tcBorders>
                  <w:vAlign w:val="center"/>
                </w:tcPr>
                <w:p w14:paraId="7910D094">
                  <w:pPr>
                    <w:jc w:val="center"/>
                    <w:rPr>
                      <w:rFonts w:ascii="Times New Roman" w:hAnsi="Times New Roman" w:cs="Times New Roman"/>
                      <w:szCs w:val="21"/>
                    </w:rPr>
                  </w:pPr>
                  <w:r>
                    <w:rPr>
                      <w:rFonts w:hint="eastAsia" w:ascii="Times New Roman" w:hAnsi="Times New Roman" w:cs="Times New Roman"/>
                      <w:szCs w:val="21"/>
                    </w:rPr>
                    <w:t>55</w:t>
                  </w:r>
                </w:p>
              </w:tc>
            </w:tr>
          </w:tbl>
          <w:p w14:paraId="562E7311">
            <w:pPr>
              <w:spacing w:line="360" w:lineRule="auto"/>
              <w:ind w:firstLine="480" w:firstLineChars="200"/>
              <w:rPr>
                <w:rFonts w:hint="eastAsia" w:asciiTheme="minorEastAsia" w:hAnsiTheme="minorEastAsia" w:cstheme="minorEastAsia"/>
                <w:sz w:val="24"/>
              </w:rPr>
            </w:pPr>
            <w:r>
              <w:rPr>
                <w:rFonts w:hint="eastAsia" w:ascii="Times New Roman" w:hAnsi="Times New Roman" w:eastAsia="宋体" w:cs="Times New Roman"/>
                <w:sz w:val="24"/>
              </w:rPr>
              <w:t>本项目运营期厂界环境噪声执行《工业企业厂界环境噪声排放标准》（GB12348-2008）3类声环境功能区标准限值，具体见表3-18。</w:t>
            </w:r>
          </w:p>
          <w:p w14:paraId="4F012C7D">
            <w:pPr>
              <w:spacing w:line="360" w:lineRule="auto"/>
              <w:jc w:val="center"/>
              <w:rPr>
                <w:rFonts w:ascii="Times New Roman" w:hAnsi="Times New Roman" w:eastAsia="宋体" w:cs="宋体-PUA"/>
                <w:b/>
                <w:color w:val="FF0000"/>
                <w:sz w:val="24"/>
                <w:shd w:val="clear" w:color="auto" w:fill="FFFFFF"/>
              </w:rPr>
            </w:pPr>
          </w:p>
          <w:p w14:paraId="7B14A507">
            <w:pPr>
              <w:spacing w:line="360" w:lineRule="auto"/>
              <w:jc w:val="center"/>
              <w:rPr>
                <w:rFonts w:ascii="Times New Roman" w:hAnsi="Times New Roman" w:eastAsia="宋体" w:cs="Times New Roman"/>
                <w:b/>
                <w:bCs/>
                <w:szCs w:val="21"/>
              </w:rPr>
            </w:pPr>
            <w:r>
              <w:rPr>
                <w:rFonts w:hint="eastAsia" w:ascii="Times New Roman" w:hAnsi="Times New Roman" w:eastAsia="宋体" w:cs="宋体-PUA"/>
                <w:b/>
                <w:sz w:val="24"/>
                <w:shd w:val="clear" w:color="auto" w:fill="FFFFFF"/>
              </w:rPr>
              <w:t>表3-18 《工业企业厂界环境噪声排放标准》（GB12348-2008）单位：dB（A）</w:t>
            </w:r>
          </w:p>
          <w:tbl>
            <w:tblPr>
              <w:tblStyle w:val="2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7"/>
              <w:gridCol w:w="2357"/>
              <w:gridCol w:w="2233"/>
              <w:gridCol w:w="1382"/>
            </w:tblGrid>
            <w:tr w14:paraId="5CFA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 w:hRule="atLeast"/>
                <w:jc w:val="center"/>
              </w:trPr>
              <w:tc>
                <w:tcPr>
                  <w:tcW w:w="1205" w:type="pct"/>
                  <w:vMerge w:val="restart"/>
                  <w:tcBorders>
                    <w:tl2br w:val="nil"/>
                    <w:tr2bl w:val="nil"/>
                  </w:tcBorders>
                  <w:vAlign w:val="center"/>
                </w:tcPr>
                <w:p w14:paraId="620BF3C7">
                  <w:pPr>
                    <w:jc w:val="center"/>
                    <w:rPr>
                      <w:rFonts w:ascii="Times New Roman" w:hAnsi="Times New Roman" w:cs="Times New Roman"/>
                      <w:b/>
                      <w:bCs/>
                      <w:szCs w:val="21"/>
                    </w:rPr>
                  </w:pPr>
                  <w:r>
                    <w:rPr>
                      <w:rFonts w:hint="eastAsia" w:ascii="Times New Roman" w:hAnsi="Times New Roman" w:cs="Times New Roman"/>
                      <w:b/>
                      <w:bCs/>
                      <w:szCs w:val="21"/>
                    </w:rPr>
                    <w:t>厂界外声环境功能区类别</w:t>
                  </w:r>
                </w:p>
              </w:tc>
              <w:tc>
                <w:tcPr>
                  <w:tcW w:w="2916" w:type="pct"/>
                  <w:gridSpan w:val="2"/>
                  <w:tcBorders>
                    <w:tl2br w:val="nil"/>
                    <w:tr2bl w:val="nil"/>
                  </w:tcBorders>
                  <w:vAlign w:val="center"/>
                </w:tcPr>
                <w:p w14:paraId="7F940B68">
                  <w:pPr>
                    <w:jc w:val="center"/>
                    <w:rPr>
                      <w:rFonts w:ascii="Times New Roman" w:hAnsi="Times New Roman" w:cs="Times New Roman"/>
                      <w:b/>
                      <w:bCs/>
                      <w:szCs w:val="21"/>
                    </w:rPr>
                  </w:pPr>
                  <w:r>
                    <w:rPr>
                      <w:rFonts w:hint="eastAsia" w:ascii="Times New Roman" w:hAnsi="Times New Roman" w:cs="Times New Roman"/>
                      <w:b/>
                      <w:bCs/>
                      <w:szCs w:val="21"/>
                    </w:rPr>
                    <w:t>标准限值</w:t>
                  </w:r>
                </w:p>
              </w:tc>
              <w:tc>
                <w:tcPr>
                  <w:tcW w:w="878" w:type="pct"/>
                  <w:vMerge w:val="restart"/>
                  <w:tcBorders>
                    <w:tl2br w:val="nil"/>
                    <w:tr2bl w:val="nil"/>
                  </w:tcBorders>
                  <w:vAlign w:val="center"/>
                </w:tcPr>
                <w:p w14:paraId="6D86871F">
                  <w:pPr>
                    <w:jc w:val="center"/>
                    <w:rPr>
                      <w:rFonts w:ascii="Times New Roman" w:hAnsi="Times New Roman" w:cs="Times New Roman"/>
                      <w:b/>
                      <w:bCs/>
                      <w:szCs w:val="21"/>
                    </w:rPr>
                  </w:pPr>
                  <w:r>
                    <w:rPr>
                      <w:rFonts w:hint="eastAsia" w:ascii="Times New Roman" w:hAnsi="Times New Roman" w:cs="Times New Roman"/>
                      <w:b/>
                      <w:bCs/>
                      <w:szCs w:val="21"/>
                    </w:rPr>
                    <w:t>备注</w:t>
                  </w:r>
                </w:p>
              </w:tc>
            </w:tr>
            <w:tr w14:paraId="135ED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 w:hRule="atLeast"/>
                <w:jc w:val="center"/>
              </w:trPr>
              <w:tc>
                <w:tcPr>
                  <w:tcW w:w="1205" w:type="pct"/>
                  <w:vMerge w:val="continue"/>
                  <w:tcBorders>
                    <w:tl2br w:val="nil"/>
                    <w:tr2bl w:val="nil"/>
                  </w:tcBorders>
                  <w:vAlign w:val="center"/>
                </w:tcPr>
                <w:p w14:paraId="13A4CCC8">
                  <w:pPr>
                    <w:jc w:val="center"/>
                    <w:rPr>
                      <w:rFonts w:ascii="Times New Roman" w:hAnsi="Times New Roman" w:cs="Times New Roman"/>
                      <w:b/>
                      <w:bCs/>
                      <w:szCs w:val="21"/>
                    </w:rPr>
                  </w:pPr>
                </w:p>
              </w:tc>
              <w:tc>
                <w:tcPr>
                  <w:tcW w:w="1497" w:type="pct"/>
                  <w:tcBorders>
                    <w:tl2br w:val="nil"/>
                    <w:tr2bl w:val="nil"/>
                  </w:tcBorders>
                  <w:vAlign w:val="center"/>
                </w:tcPr>
                <w:p w14:paraId="3450C2AA">
                  <w:pPr>
                    <w:jc w:val="center"/>
                    <w:rPr>
                      <w:rFonts w:ascii="Times New Roman" w:hAnsi="Times New Roman" w:cs="Times New Roman"/>
                      <w:b/>
                      <w:bCs/>
                      <w:szCs w:val="21"/>
                    </w:rPr>
                  </w:pPr>
                  <w:r>
                    <w:rPr>
                      <w:rFonts w:hint="eastAsia" w:ascii="Times New Roman" w:hAnsi="Times New Roman" w:cs="Times New Roman"/>
                      <w:b/>
                      <w:bCs/>
                      <w:szCs w:val="21"/>
                    </w:rPr>
                    <w:t>昼间</w:t>
                  </w:r>
                </w:p>
              </w:tc>
              <w:tc>
                <w:tcPr>
                  <w:tcW w:w="1418" w:type="pct"/>
                  <w:tcBorders>
                    <w:tl2br w:val="nil"/>
                    <w:tr2bl w:val="nil"/>
                  </w:tcBorders>
                  <w:vAlign w:val="center"/>
                </w:tcPr>
                <w:p w14:paraId="1948BB78">
                  <w:pPr>
                    <w:jc w:val="center"/>
                    <w:rPr>
                      <w:rFonts w:ascii="Times New Roman" w:hAnsi="Times New Roman" w:cs="Times New Roman"/>
                      <w:b/>
                      <w:bCs/>
                      <w:szCs w:val="21"/>
                    </w:rPr>
                  </w:pPr>
                  <w:r>
                    <w:rPr>
                      <w:rFonts w:hint="eastAsia" w:ascii="Times New Roman" w:hAnsi="Times New Roman" w:cs="Times New Roman"/>
                      <w:b/>
                      <w:bCs/>
                      <w:szCs w:val="21"/>
                    </w:rPr>
                    <w:t>夜间</w:t>
                  </w:r>
                </w:p>
              </w:tc>
              <w:tc>
                <w:tcPr>
                  <w:tcW w:w="878" w:type="pct"/>
                  <w:vMerge w:val="continue"/>
                  <w:tcBorders>
                    <w:tl2br w:val="nil"/>
                    <w:tr2bl w:val="nil"/>
                  </w:tcBorders>
                  <w:vAlign w:val="center"/>
                </w:tcPr>
                <w:p w14:paraId="164C978E">
                  <w:pPr>
                    <w:jc w:val="center"/>
                    <w:rPr>
                      <w:rFonts w:ascii="Times New Roman" w:hAnsi="Times New Roman" w:cs="Times New Roman"/>
                      <w:szCs w:val="21"/>
                    </w:rPr>
                  </w:pPr>
                </w:p>
              </w:tc>
            </w:tr>
            <w:tr w14:paraId="3D09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1" w:hRule="atLeast"/>
                <w:jc w:val="center"/>
              </w:trPr>
              <w:tc>
                <w:tcPr>
                  <w:tcW w:w="1205" w:type="pct"/>
                  <w:tcBorders>
                    <w:tl2br w:val="nil"/>
                    <w:tr2bl w:val="nil"/>
                  </w:tcBorders>
                  <w:vAlign w:val="center"/>
                </w:tcPr>
                <w:p w14:paraId="382FF685">
                  <w:pPr>
                    <w:jc w:val="center"/>
                    <w:rPr>
                      <w:rFonts w:ascii="Times New Roman" w:hAnsi="Times New Roman" w:cs="Times New Roman"/>
                      <w:b/>
                      <w:bCs/>
                      <w:szCs w:val="21"/>
                    </w:rPr>
                  </w:pPr>
                  <w:r>
                    <w:rPr>
                      <w:rFonts w:hint="eastAsia" w:ascii="Times New Roman" w:hAnsi="Times New Roman" w:cs="Times New Roman"/>
                      <w:szCs w:val="21"/>
                    </w:rPr>
                    <w:t>3类</w:t>
                  </w:r>
                </w:p>
              </w:tc>
              <w:tc>
                <w:tcPr>
                  <w:tcW w:w="1497" w:type="pct"/>
                  <w:tcBorders>
                    <w:tl2br w:val="nil"/>
                    <w:tr2bl w:val="nil"/>
                  </w:tcBorders>
                  <w:vAlign w:val="center"/>
                </w:tcPr>
                <w:p w14:paraId="23112050">
                  <w:pPr>
                    <w:jc w:val="center"/>
                    <w:rPr>
                      <w:rFonts w:ascii="Times New Roman" w:hAnsi="Times New Roman" w:cs="Times New Roman"/>
                      <w:szCs w:val="21"/>
                    </w:rPr>
                  </w:pPr>
                  <w:r>
                    <w:rPr>
                      <w:rFonts w:hint="eastAsia" w:ascii="Times New Roman" w:hAnsi="Times New Roman" w:cs="Times New Roman"/>
                      <w:szCs w:val="21"/>
                    </w:rPr>
                    <w:t>65</w:t>
                  </w:r>
                </w:p>
              </w:tc>
              <w:tc>
                <w:tcPr>
                  <w:tcW w:w="1418" w:type="pct"/>
                  <w:tcBorders>
                    <w:tl2br w:val="nil"/>
                    <w:tr2bl w:val="nil"/>
                  </w:tcBorders>
                  <w:vAlign w:val="center"/>
                </w:tcPr>
                <w:p w14:paraId="6311684A">
                  <w:pPr>
                    <w:jc w:val="center"/>
                    <w:rPr>
                      <w:rFonts w:ascii="Times New Roman" w:hAnsi="Times New Roman" w:cs="Times New Roman"/>
                      <w:szCs w:val="21"/>
                    </w:rPr>
                  </w:pPr>
                  <w:r>
                    <w:rPr>
                      <w:rFonts w:hint="eastAsia" w:ascii="Times New Roman" w:hAnsi="Times New Roman" w:cs="Times New Roman"/>
                      <w:szCs w:val="21"/>
                    </w:rPr>
                    <w:t>55</w:t>
                  </w:r>
                </w:p>
              </w:tc>
              <w:tc>
                <w:tcPr>
                  <w:tcW w:w="878" w:type="pct"/>
                  <w:tcBorders>
                    <w:tl2br w:val="nil"/>
                    <w:tr2bl w:val="nil"/>
                  </w:tcBorders>
                  <w:vAlign w:val="center"/>
                </w:tcPr>
                <w:p w14:paraId="2DDAC6CF">
                  <w:pPr>
                    <w:jc w:val="center"/>
                    <w:rPr>
                      <w:rFonts w:ascii="Times New Roman" w:hAnsi="Times New Roman" w:cs="Times New Roman"/>
                      <w:szCs w:val="21"/>
                    </w:rPr>
                  </w:pPr>
                  <w:r>
                    <w:rPr>
                      <w:rFonts w:hint="eastAsia" w:ascii="Times New Roman" w:hAnsi="Times New Roman" w:cs="Times New Roman"/>
                      <w:szCs w:val="21"/>
                    </w:rPr>
                    <w:t>/</w:t>
                  </w:r>
                </w:p>
              </w:tc>
            </w:tr>
          </w:tbl>
          <w:p w14:paraId="3BACEE93">
            <w:pPr>
              <w:widowControl/>
              <w:wordWrap w:val="0"/>
              <w:topLinePunct/>
              <w:adjustRightInd w:val="0"/>
              <w:snapToGrid w:val="0"/>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7.3废水</w:t>
            </w:r>
          </w:p>
          <w:p w14:paraId="4A8FDA89">
            <w:pPr>
              <w:wordWrap w:val="0"/>
              <w:topLinePunct/>
              <w:spacing w:line="360" w:lineRule="auto"/>
              <w:ind w:firstLine="480" w:firstLineChars="200"/>
              <w:rPr>
                <w:rFonts w:hint="eastAsia" w:ascii="Times New Roman" w:hAnsi="Times New Roman" w:eastAsia="宋体" w:cs="Times New Roman"/>
                <w:color w:val="0000FF"/>
                <w:sz w:val="24"/>
                <w:lang w:eastAsia="zh-CN"/>
              </w:rPr>
            </w:pPr>
            <w:r>
              <w:rPr>
                <w:rFonts w:hint="eastAsia" w:ascii="Times New Roman" w:hAnsi="Times New Roman" w:eastAsia="宋体" w:cs="Times New Roman"/>
                <w:color w:val="0000FF"/>
                <w:sz w:val="24"/>
                <w:lang w:val="en-US" w:eastAsia="zh-CN"/>
              </w:rPr>
              <w:t>本项目</w:t>
            </w:r>
            <w:r>
              <w:rPr>
                <w:rFonts w:hint="eastAsia" w:ascii="Times New Roman" w:hAnsi="Times New Roman" w:eastAsia="宋体" w:cs="Times New Roman"/>
                <w:color w:val="0000FF"/>
                <w:sz w:val="24"/>
              </w:rPr>
              <w:t>生活污水（含食堂废水）经隔油池</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化粪池预处理后，</w:t>
            </w:r>
            <w:r>
              <w:rPr>
                <w:rFonts w:hint="eastAsia" w:ascii="Times New Roman" w:hAnsi="Times New Roman" w:eastAsia="宋体" w:cs="Times New Roman"/>
                <w:color w:val="0000FF"/>
                <w:sz w:val="24"/>
                <w:lang w:val="en-US" w:eastAsia="zh-CN"/>
              </w:rPr>
              <w:t>暂</w:t>
            </w:r>
            <w:r>
              <w:rPr>
                <w:rFonts w:hint="eastAsia" w:ascii="Times New Roman" w:hAnsi="Times New Roman" w:eastAsia="宋体" w:cs="Times New Roman"/>
                <w:color w:val="0000FF"/>
                <w:sz w:val="24"/>
              </w:rPr>
              <w:t>定期委托专业吸污车进行抽吸清运，</w:t>
            </w:r>
            <w:r>
              <w:rPr>
                <w:rFonts w:hint="eastAsia" w:ascii="Times New Roman" w:hAnsi="Times New Roman" w:eastAsia="宋体" w:cs="Times New Roman"/>
                <w:color w:val="0000FF"/>
                <w:sz w:val="24"/>
                <w:lang w:val="en-US" w:eastAsia="zh-CN"/>
              </w:rPr>
              <w:t>并跟踪去向</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待凹凸棒石初级加工园区污水处理厂投入</w:t>
            </w:r>
            <w:r>
              <w:rPr>
                <w:rFonts w:hint="eastAsia" w:ascii="Times New Roman" w:hAnsi="Times New Roman" w:eastAsia="宋体" w:cs="Times New Roman"/>
                <w:color w:val="0000FF"/>
                <w:sz w:val="24"/>
                <w:lang w:val="en-US" w:eastAsia="zh-CN"/>
              </w:rPr>
              <w:t>稳定</w:t>
            </w:r>
            <w:r>
              <w:rPr>
                <w:rFonts w:hint="eastAsia" w:ascii="Times New Roman" w:hAnsi="Times New Roman" w:eastAsia="宋体" w:cs="Times New Roman"/>
                <w:color w:val="0000FF"/>
                <w:sz w:val="24"/>
              </w:rPr>
              <w:t>运行后，排入该污水处理厂进行处理</w:t>
            </w:r>
            <w:r>
              <w:rPr>
                <w:rFonts w:hint="eastAsia" w:ascii="Times New Roman" w:hAnsi="Times New Roman" w:eastAsia="宋体" w:cs="Times New Roman"/>
                <w:color w:val="0000FF"/>
                <w:sz w:val="24"/>
                <w:lang w:eastAsia="zh-CN"/>
              </w:rPr>
              <w:t>。</w:t>
            </w:r>
          </w:p>
          <w:p w14:paraId="74494555">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color w:val="0000FF"/>
                <w:sz w:val="24"/>
              </w:rPr>
              <w:t>本项目生活污水（含食堂废水）</w:t>
            </w:r>
            <w:r>
              <w:rPr>
                <w:rFonts w:hint="eastAsia" w:ascii="Times New Roman" w:hAnsi="Times New Roman" w:eastAsia="宋体" w:cs="Times New Roman"/>
                <w:color w:val="0000FF"/>
                <w:sz w:val="24"/>
                <w:lang w:val="en-US" w:eastAsia="zh-CN"/>
              </w:rPr>
              <w:t>后期进入凹凸棒石初级加工园区污水处理厂处理时，需</w:t>
            </w:r>
            <w:r>
              <w:rPr>
                <w:rFonts w:hint="eastAsia" w:ascii="Times New Roman" w:hAnsi="Times New Roman" w:eastAsia="宋体" w:cs="Times New Roman"/>
                <w:color w:val="0000FF"/>
                <w:sz w:val="24"/>
              </w:rPr>
              <w:t>经隔油池、化粪池进行预处理，</w:t>
            </w:r>
            <w:r>
              <w:rPr>
                <w:rFonts w:hint="eastAsia" w:ascii="Times New Roman" w:hAnsi="Times New Roman" w:eastAsia="宋体" w:cs="Times New Roman"/>
                <w:sz w:val="24"/>
              </w:rPr>
              <w:t>达到《污水综合排放标准》（GB8978-1996）中三级标准限值且同时满足凹凸棒石初级加工园区污水处理厂接管标准后，进入园区污水管网，最终由凹凸棒石初级加工园区污水处理厂处理。</w:t>
            </w:r>
          </w:p>
          <w:p w14:paraId="39F5B61B">
            <w:pPr>
              <w:widowControl/>
              <w:wordWrap w:val="0"/>
              <w:topLinePunct/>
              <w:adjustRightInd w:val="0"/>
              <w:snapToGrid w:val="0"/>
              <w:spacing w:line="360" w:lineRule="auto"/>
              <w:ind w:firstLine="482" w:firstLineChars="200"/>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表3-19 《污水综合排放标准》（GB8978-1996） 单位：mg/l（摘录）</w:t>
            </w:r>
          </w:p>
          <w:tbl>
            <w:tblPr>
              <w:tblStyle w:val="29"/>
              <w:tblW w:w="7955"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592"/>
              <w:gridCol w:w="815"/>
              <w:gridCol w:w="797"/>
              <w:gridCol w:w="676"/>
              <w:gridCol w:w="678"/>
              <w:gridCol w:w="694"/>
              <w:gridCol w:w="678"/>
              <w:gridCol w:w="1120"/>
              <w:gridCol w:w="767"/>
            </w:tblGrid>
            <w:tr w14:paraId="5799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714" w:type="pct"/>
                  <w:tcBorders>
                    <w:tl2br w:val="nil"/>
                    <w:tr2bl w:val="nil"/>
                  </w:tcBorders>
                  <w:vAlign w:val="center"/>
                </w:tcPr>
                <w:p w14:paraId="2257F6C3">
                  <w:pPr>
                    <w:jc w:val="center"/>
                    <w:rPr>
                      <w:rFonts w:ascii="Times New Roman" w:hAnsi="Times New Roman" w:cs="Times New Roman"/>
                      <w:b/>
                      <w:bCs/>
                      <w:szCs w:val="21"/>
                    </w:rPr>
                  </w:pPr>
                  <w:r>
                    <w:rPr>
                      <w:rFonts w:hint="eastAsia" w:ascii="Times New Roman" w:hAnsi="Times New Roman" w:cs="Times New Roman"/>
                      <w:b/>
                      <w:bCs/>
                      <w:szCs w:val="21"/>
                    </w:rPr>
                    <w:t>污染物</w:t>
                  </w:r>
                </w:p>
                <w:p w14:paraId="23A25F39">
                  <w:pPr>
                    <w:jc w:val="center"/>
                    <w:rPr>
                      <w:rFonts w:ascii="Times New Roman" w:hAnsi="Times New Roman" w:cs="Times New Roman"/>
                      <w:szCs w:val="21"/>
                    </w:rPr>
                  </w:pPr>
                  <w:r>
                    <w:rPr>
                      <w:rFonts w:hint="eastAsia" w:ascii="Times New Roman" w:hAnsi="Times New Roman" w:cs="Times New Roman"/>
                      <w:b/>
                      <w:bCs/>
                      <w:szCs w:val="21"/>
                    </w:rPr>
                    <w:t>类别</w:t>
                  </w:r>
                </w:p>
              </w:tc>
              <w:tc>
                <w:tcPr>
                  <w:tcW w:w="372" w:type="pct"/>
                  <w:tcBorders>
                    <w:tl2br w:val="nil"/>
                    <w:tr2bl w:val="nil"/>
                  </w:tcBorders>
                  <w:vAlign w:val="center"/>
                </w:tcPr>
                <w:p w14:paraId="272BD304">
                  <w:pPr>
                    <w:jc w:val="center"/>
                    <w:rPr>
                      <w:rFonts w:ascii="Times New Roman" w:hAnsi="Times New Roman" w:cs="Times New Roman"/>
                      <w:b/>
                      <w:bCs/>
                      <w:szCs w:val="21"/>
                    </w:rPr>
                  </w:pPr>
                  <w:r>
                    <w:rPr>
                      <w:rFonts w:hint="eastAsia" w:ascii="Times New Roman" w:hAnsi="Times New Roman" w:cs="Times New Roman"/>
                      <w:b/>
                      <w:bCs/>
                      <w:szCs w:val="21"/>
                    </w:rPr>
                    <w:t>pH</w:t>
                  </w:r>
                </w:p>
              </w:tc>
              <w:tc>
                <w:tcPr>
                  <w:tcW w:w="511" w:type="pct"/>
                  <w:tcBorders>
                    <w:tl2br w:val="nil"/>
                    <w:tr2bl w:val="nil"/>
                  </w:tcBorders>
                  <w:vAlign w:val="center"/>
                </w:tcPr>
                <w:p w14:paraId="574B1AF7">
                  <w:pPr>
                    <w:jc w:val="center"/>
                    <w:rPr>
                      <w:rFonts w:ascii="Times New Roman" w:hAnsi="Times New Roman" w:cs="Times New Roman"/>
                      <w:b/>
                      <w:bCs/>
                      <w:szCs w:val="21"/>
                    </w:rPr>
                  </w:pPr>
                  <w:r>
                    <w:rPr>
                      <w:rFonts w:hint="eastAsia" w:ascii="Times New Roman" w:hAnsi="Times New Roman" w:cs="Times New Roman"/>
                      <w:b/>
                      <w:bCs/>
                      <w:szCs w:val="21"/>
                    </w:rPr>
                    <w:t>COD</w:t>
                  </w:r>
                  <w:r>
                    <w:rPr>
                      <w:rFonts w:hint="eastAsia" w:ascii="Times New Roman" w:hAnsi="Times New Roman" w:cs="Times New Roman"/>
                      <w:b/>
                      <w:bCs/>
                      <w:szCs w:val="21"/>
                      <w:vertAlign w:val="subscript"/>
                    </w:rPr>
                    <w:t>cr</w:t>
                  </w:r>
                </w:p>
              </w:tc>
              <w:tc>
                <w:tcPr>
                  <w:tcW w:w="500" w:type="pct"/>
                  <w:tcBorders>
                    <w:tl2br w:val="nil"/>
                    <w:tr2bl w:val="nil"/>
                  </w:tcBorders>
                  <w:vAlign w:val="center"/>
                </w:tcPr>
                <w:p w14:paraId="77565FC0">
                  <w:pPr>
                    <w:jc w:val="center"/>
                    <w:rPr>
                      <w:rFonts w:ascii="Times New Roman" w:hAnsi="Times New Roman" w:cs="Times New Roman"/>
                      <w:b/>
                      <w:bCs/>
                      <w:szCs w:val="21"/>
                    </w:rPr>
                  </w:pPr>
                  <w:r>
                    <w:rPr>
                      <w:rFonts w:hint="eastAsia" w:ascii="Times New Roman" w:hAnsi="Times New Roman" w:cs="Times New Roman"/>
                      <w:b/>
                      <w:bCs/>
                      <w:szCs w:val="21"/>
                    </w:rPr>
                    <w:t>BOD</w:t>
                  </w:r>
                  <w:r>
                    <w:rPr>
                      <w:rFonts w:hint="eastAsia" w:ascii="Times New Roman" w:hAnsi="Times New Roman" w:cs="Times New Roman"/>
                      <w:b/>
                      <w:bCs/>
                      <w:szCs w:val="21"/>
                      <w:vertAlign w:val="subscript"/>
                    </w:rPr>
                    <w:t>5</w:t>
                  </w:r>
                </w:p>
              </w:tc>
              <w:tc>
                <w:tcPr>
                  <w:tcW w:w="425" w:type="pct"/>
                  <w:tcBorders>
                    <w:tl2br w:val="nil"/>
                    <w:tr2bl w:val="nil"/>
                  </w:tcBorders>
                  <w:vAlign w:val="center"/>
                </w:tcPr>
                <w:p w14:paraId="47A449C7">
                  <w:pPr>
                    <w:jc w:val="center"/>
                    <w:rPr>
                      <w:rFonts w:ascii="Times New Roman" w:hAnsi="Times New Roman" w:cs="Times New Roman"/>
                      <w:b/>
                      <w:bCs/>
                      <w:szCs w:val="21"/>
                    </w:rPr>
                  </w:pPr>
                  <w:r>
                    <w:rPr>
                      <w:rFonts w:hint="eastAsia" w:ascii="Times New Roman" w:hAnsi="Times New Roman" w:cs="Times New Roman"/>
                      <w:b/>
                      <w:bCs/>
                      <w:szCs w:val="21"/>
                    </w:rPr>
                    <w:t>SS</w:t>
                  </w:r>
                </w:p>
              </w:tc>
              <w:tc>
                <w:tcPr>
                  <w:tcW w:w="426" w:type="pct"/>
                  <w:tcBorders>
                    <w:tl2br w:val="nil"/>
                    <w:tr2bl w:val="nil"/>
                  </w:tcBorders>
                  <w:vAlign w:val="center"/>
                </w:tcPr>
                <w:p w14:paraId="04AF290B">
                  <w:pPr>
                    <w:jc w:val="center"/>
                    <w:rPr>
                      <w:rFonts w:ascii="Times New Roman" w:hAnsi="Times New Roman" w:cs="Times New Roman"/>
                      <w:b/>
                      <w:bCs/>
                      <w:szCs w:val="21"/>
                    </w:rPr>
                  </w:pPr>
                  <w:r>
                    <w:rPr>
                      <w:rFonts w:ascii="Times New Roman" w:hAnsi="Times New Roman" w:cs="Times New Roman"/>
                      <w:b/>
                      <w:bCs/>
                      <w:szCs w:val="21"/>
                    </w:rPr>
                    <w:t>TP</w:t>
                  </w:r>
                </w:p>
              </w:tc>
              <w:tc>
                <w:tcPr>
                  <w:tcW w:w="436" w:type="pct"/>
                  <w:tcBorders>
                    <w:tl2br w:val="nil"/>
                    <w:tr2bl w:val="nil"/>
                  </w:tcBorders>
                  <w:vAlign w:val="center"/>
                </w:tcPr>
                <w:p w14:paraId="4EC644FD">
                  <w:pPr>
                    <w:jc w:val="center"/>
                    <w:rPr>
                      <w:rFonts w:ascii="Times New Roman" w:hAnsi="Times New Roman" w:cs="Times New Roman"/>
                      <w:b/>
                      <w:bCs/>
                      <w:szCs w:val="21"/>
                    </w:rPr>
                  </w:pPr>
                  <w:r>
                    <w:rPr>
                      <w:rFonts w:hint="eastAsia" w:ascii="Times New Roman" w:hAnsi="Times New Roman" w:cs="Times New Roman"/>
                      <w:b/>
                      <w:bCs/>
                      <w:szCs w:val="21"/>
                    </w:rPr>
                    <w:t>氨氮</w:t>
                  </w:r>
                </w:p>
              </w:tc>
              <w:tc>
                <w:tcPr>
                  <w:tcW w:w="426" w:type="pct"/>
                  <w:tcBorders>
                    <w:tl2br w:val="nil"/>
                    <w:tr2bl w:val="nil"/>
                  </w:tcBorders>
                  <w:vAlign w:val="center"/>
                </w:tcPr>
                <w:p w14:paraId="27518E61">
                  <w:pPr>
                    <w:jc w:val="center"/>
                    <w:rPr>
                      <w:rFonts w:ascii="Times New Roman" w:hAnsi="Times New Roman" w:cs="Times New Roman"/>
                      <w:b/>
                      <w:bCs/>
                      <w:szCs w:val="21"/>
                    </w:rPr>
                  </w:pPr>
                  <w:r>
                    <w:rPr>
                      <w:rFonts w:ascii="Times New Roman" w:hAnsi="Times New Roman" w:cs="Times New Roman"/>
                      <w:b/>
                      <w:bCs/>
                      <w:szCs w:val="21"/>
                    </w:rPr>
                    <w:t>TN</w:t>
                  </w:r>
                </w:p>
              </w:tc>
              <w:tc>
                <w:tcPr>
                  <w:tcW w:w="703" w:type="pct"/>
                  <w:tcBorders>
                    <w:tl2br w:val="nil"/>
                    <w:tr2bl w:val="nil"/>
                  </w:tcBorders>
                  <w:vAlign w:val="center"/>
                </w:tcPr>
                <w:p w14:paraId="7ECFEB5D">
                  <w:pPr>
                    <w:jc w:val="center"/>
                    <w:rPr>
                      <w:rFonts w:ascii="Times New Roman" w:hAnsi="Times New Roman" w:cs="Times New Roman"/>
                      <w:b/>
                      <w:bCs/>
                      <w:szCs w:val="21"/>
                    </w:rPr>
                  </w:pPr>
                  <w:r>
                    <w:rPr>
                      <w:rFonts w:hint="eastAsia" w:ascii="Times New Roman" w:hAnsi="Times New Roman" w:cs="Times New Roman"/>
                      <w:b/>
                      <w:bCs/>
                      <w:szCs w:val="21"/>
                    </w:rPr>
                    <w:t>动植物油</w:t>
                  </w:r>
                </w:p>
              </w:tc>
              <w:tc>
                <w:tcPr>
                  <w:tcW w:w="482" w:type="pct"/>
                  <w:tcBorders>
                    <w:tl2br w:val="nil"/>
                    <w:tr2bl w:val="nil"/>
                  </w:tcBorders>
                  <w:vAlign w:val="center"/>
                </w:tcPr>
                <w:p w14:paraId="09853D9C">
                  <w:pPr>
                    <w:jc w:val="center"/>
                    <w:rPr>
                      <w:rFonts w:ascii="Times New Roman" w:hAnsi="Times New Roman" w:cs="Times New Roman"/>
                      <w:b/>
                      <w:bCs/>
                      <w:szCs w:val="21"/>
                    </w:rPr>
                  </w:pPr>
                  <w:r>
                    <w:rPr>
                      <w:rFonts w:ascii="Times New Roman" w:hAnsi="Times New Roman" w:cs="Times New Roman"/>
                      <w:b/>
                      <w:bCs/>
                      <w:szCs w:val="21"/>
                    </w:rPr>
                    <w:t>LAS</w:t>
                  </w:r>
                </w:p>
              </w:tc>
            </w:tr>
            <w:tr w14:paraId="50F9E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14" w:type="pct"/>
                  <w:tcBorders>
                    <w:tl2br w:val="nil"/>
                    <w:tr2bl w:val="nil"/>
                  </w:tcBorders>
                  <w:vAlign w:val="center"/>
                </w:tcPr>
                <w:p w14:paraId="2AC643C2">
                  <w:pPr>
                    <w:jc w:val="center"/>
                    <w:rPr>
                      <w:rFonts w:ascii="Times New Roman" w:hAnsi="Times New Roman" w:cs="Times New Roman"/>
                      <w:szCs w:val="21"/>
                    </w:rPr>
                  </w:pPr>
                  <w:r>
                    <w:rPr>
                      <w:rFonts w:hint="eastAsia" w:ascii="Times New Roman" w:hAnsi="Times New Roman" w:cs="Times New Roman"/>
                      <w:szCs w:val="21"/>
                    </w:rPr>
                    <w:t>限值mg/L</w:t>
                  </w:r>
                </w:p>
              </w:tc>
              <w:tc>
                <w:tcPr>
                  <w:tcW w:w="372" w:type="pct"/>
                  <w:tcBorders>
                    <w:tl2br w:val="nil"/>
                    <w:tr2bl w:val="nil"/>
                  </w:tcBorders>
                  <w:vAlign w:val="center"/>
                </w:tcPr>
                <w:p w14:paraId="13222965">
                  <w:pPr>
                    <w:jc w:val="center"/>
                    <w:rPr>
                      <w:rFonts w:ascii="Times New Roman" w:hAnsi="Times New Roman" w:cs="Times New Roman"/>
                      <w:szCs w:val="21"/>
                    </w:rPr>
                  </w:pPr>
                  <w:r>
                    <w:rPr>
                      <w:rFonts w:hint="eastAsia" w:ascii="Times New Roman" w:hAnsi="Times New Roman" w:cs="Times New Roman"/>
                      <w:szCs w:val="21"/>
                    </w:rPr>
                    <w:t>6-9</w:t>
                  </w:r>
                </w:p>
              </w:tc>
              <w:tc>
                <w:tcPr>
                  <w:tcW w:w="511" w:type="pct"/>
                  <w:tcBorders>
                    <w:tl2br w:val="nil"/>
                    <w:tr2bl w:val="nil"/>
                  </w:tcBorders>
                  <w:vAlign w:val="center"/>
                </w:tcPr>
                <w:p w14:paraId="209AB8D9">
                  <w:pPr>
                    <w:jc w:val="center"/>
                    <w:rPr>
                      <w:rFonts w:ascii="Times New Roman" w:hAnsi="Times New Roman" w:cs="Times New Roman"/>
                      <w:szCs w:val="21"/>
                    </w:rPr>
                  </w:pPr>
                  <w:r>
                    <w:rPr>
                      <w:rFonts w:hint="eastAsia" w:ascii="Times New Roman" w:hAnsi="Times New Roman" w:cs="Times New Roman"/>
                      <w:szCs w:val="21"/>
                    </w:rPr>
                    <w:t>500</w:t>
                  </w:r>
                </w:p>
              </w:tc>
              <w:tc>
                <w:tcPr>
                  <w:tcW w:w="500" w:type="pct"/>
                  <w:tcBorders>
                    <w:tl2br w:val="nil"/>
                    <w:tr2bl w:val="nil"/>
                  </w:tcBorders>
                  <w:vAlign w:val="center"/>
                </w:tcPr>
                <w:p w14:paraId="6AB2164D">
                  <w:pPr>
                    <w:jc w:val="center"/>
                    <w:rPr>
                      <w:rFonts w:ascii="Times New Roman" w:hAnsi="Times New Roman" w:cs="Times New Roman"/>
                      <w:szCs w:val="21"/>
                    </w:rPr>
                  </w:pPr>
                  <w:r>
                    <w:rPr>
                      <w:rFonts w:hint="eastAsia" w:ascii="Times New Roman" w:hAnsi="Times New Roman" w:cs="Times New Roman"/>
                      <w:szCs w:val="21"/>
                    </w:rPr>
                    <w:t>300</w:t>
                  </w:r>
                </w:p>
              </w:tc>
              <w:tc>
                <w:tcPr>
                  <w:tcW w:w="425" w:type="pct"/>
                  <w:tcBorders>
                    <w:tl2br w:val="nil"/>
                    <w:tr2bl w:val="nil"/>
                  </w:tcBorders>
                  <w:vAlign w:val="center"/>
                </w:tcPr>
                <w:p w14:paraId="4D0E6E06">
                  <w:pPr>
                    <w:jc w:val="center"/>
                    <w:rPr>
                      <w:rFonts w:ascii="Times New Roman" w:hAnsi="Times New Roman" w:cs="Times New Roman"/>
                      <w:szCs w:val="21"/>
                    </w:rPr>
                  </w:pPr>
                  <w:r>
                    <w:rPr>
                      <w:rFonts w:hint="eastAsia" w:ascii="Times New Roman" w:hAnsi="Times New Roman" w:cs="Times New Roman"/>
                      <w:szCs w:val="21"/>
                    </w:rPr>
                    <w:t>400</w:t>
                  </w:r>
                </w:p>
              </w:tc>
              <w:tc>
                <w:tcPr>
                  <w:tcW w:w="426" w:type="pct"/>
                  <w:tcBorders>
                    <w:tl2br w:val="nil"/>
                    <w:tr2bl w:val="nil"/>
                  </w:tcBorders>
                  <w:vAlign w:val="center"/>
                </w:tcPr>
                <w:p w14:paraId="3D9FC528">
                  <w:pPr>
                    <w:jc w:val="center"/>
                    <w:rPr>
                      <w:rFonts w:ascii="Times New Roman" w:hAnsi="Times New Roman" w:cs="Times New Roman"/>
                      <w:szCs w:val="21"/>
                    </w:rPr>
                  </w:pPr>
                  <w:r>
                    <w:rPr>
                      <w:rFonts w:hint="eastAsia" w:ascii="Times New Roman" w:hAnsi="Times New Roman" w:cs="Times New Roman"/>
                      <w:szCs w:val="21"/>
                    </w:rPr>
                    <w:t>/</w:t>
                  </w:r>
                </w:p>
              </w:tc>
              <w:tc>
                <w:tcPr>
                  <w:tcW w:w="436" w:type="pct"/>
                  <w:tcBorders>
                    <w:tl2br w:val="nil"/>
                    <w:tr2bl w:val="nil"/>
                  </w:tcBorders>
                  <w:vAlign w:val="center"/>
                </w:tcPr>
                <w:p w14:paraId="355B555E">
                  <w:pPr>
                    <w:jc w:val="center"/>
                    <w:rPr>
                      <w:rFonts w:ascii="Times New Roman" w:hAnsi="Times New Roman" w:cs="Times New Roman"/>
                      <w:szCs w:val="21"/>
                    </w:rPr>
                  </w:pPr>
                  <w:r>
                    <w:rPr>
                      <w:rFonts w:hint="eastAsia" w:ascii="Times New Roman" w:hAnsi="Times New Roman" w:cs="Times New Roman"/>
                      <w:szCs w:val="21"/>
                    </w:rPr>
                    <w:t>/</w:t>
                  </w:r>
                </w:p>
              </w:tc>
              <w:tc>
                <w:tcPr>
                  <w:tcW w:w="426" w:type="pct"/>
                  <w:tcBorders>
                    <w:tl2br w:val="nil"/>
                    <w:tr2bl w:val="nil"/>
                  </w:tcBorders>
                  <w:vAlign w:val="center"/>
                </w:tcPr>
                <w:p w14:paraId="0BE6B5B8">
                  <w:pPr>
                    <w:jc w:val="center"/>
                    <w:rPr>
                      <w:rFonts w:ascii="Times New Roman" w:hAnsi="Times New Roman" w:cs="Times New Roman"/>
                      <w:szCs w:val="21"/>
                    </w:rPr>
                  </w:pPr>
                  <w:r>
                    <w:rPr>
                      <w:rFonts w:hint="eastAsia" w:ascii="Times New Roman" w:hAnsi="Times New Roman" w:cs="Times New Roman"/>
                      <w:szCs w:val="21"/>
                    </w:rPr>
                    <w:t>/</w:t>
                  </w:r>
                </w:p>
              </w:tc>
              <w:tc>
                <w:tcPr>
                  <w:tcW w:w="703" w:type="pct"/>
                  <w:tcBorders>
                    <w:tl2br w:val="nil"/>
                    <w:tr2bl w:val="nil"/>
                  </w:tcBorders>
                  <w:vAlign w:val="center"/>
                </w:tcPr>
                <w:p w14:paraId="2CD5FAA8">
                  <w:pPr>
                    <w:jc w:val="center"/>
                    <w:rPr>
                      <w:rFonts w:ascii="Times New Roman" w:hAnsi="Times New Roman" w:cs="Times New Roman"/>
                      <w:szCs w:val="21"/>
                    </w:rPr>
                  </w:pPr>
                  <w:r>
                    <w:rPr>
                      <w:rFonts w:hint="eastAsia" w:ascii="Times New Roman" w:hAnsi="Times New Roman" w:cs="Times New Roman"/>
                      <w:szCs w:val="21"/>
                    </w:rPr>
                    <w:t>100</w:t>
                  </w:r>
                </w:p>
              </w:tc>
              <w:tc>
                <w:tcPr>
                  <w:tcW w:w="482" w:type="pct"/>
                  <w:tcBorders>
                    <w:tl2br w:val="nil"/>
                    <w:tr2bl w:val="nil"/>
                  </w:tcBorders>
                  <w:vAlign w:val="center"/>
                </w:tcPr>
                <w:p w14:paraId="27FDDC52">
                  <w:pPr>
                    <w:jc w:val="center"/>
                    <w:rPr>
                      <w:rFonts w:ascii="Times New Roman" w:hAnsi="Times New Roman" w:cs="Times New Roman"/>
                      <w:szCs w:val="21"/>
                    </w:rPr>
                  </w:pPr>
                  <w:r>
                    <w:rPr>
                      <w:rFonts w:hint="eastAsia" w:ascii="Times New Roman" w:hAnsi="Times New Roman" w:cs="Times New Roman"/>
                      <w:szCs w:val="21"/>
                    </w:rPr>
                    <w:t>20</w:t>
                  </w:r>
                </w:p>
              </w:tc>
            </w:tr>
          </w:tbl>
          <w:p w14:paraId="1F487DF0">
            <w:pPr>
              <w:widowControl/>
              <w:wordWrap w:val="0"/>
              <w:topLinePunct/>
              <w:adjustRightInd w:val="0"/>
              <w:snapToGrid w:val="0"/>
              <w:spacing w:line="360" w:lineRule="auto"/>
              <w:ind w:firstLine="482" w:firstLineChars="200"/>
              <w:rPr>
                <w:rFonts w:ascii="Times New Roman" w:hAnsi="Times New Roman" w:eastAsia="宋体" w:cs="宋体-PUA"/>
                <w:b/>
                <w:color w:val="FF0000"/>
                <w:sz w:val="24"/>
                <w:shd w:val="clear" w:color="auto" w:fill="FFFFFF"/>
                <w:lang w:val="zh-CN"/>
              </w:rPr>
            </w:pPr>
            <w:r>
              <w:rPr>
                <w:rFonts w:hint="eastAsia" w:ascii="Times New Roman" w:hAnsi="Times New Roman" w:eastAsia="宋体" w:cs="宋体-PUA"/>
                <w:b/>
                <w:sz w:val="24"/>
                <w:shd w:val="clear" w:color="auto" w:fill="FFFFFF"/>
              </w:rPr>
              <w:t xml:space="preserve">       </w:t>
            </w:r>
            <w:r>
              <w:rPr>
                <w:rFonts w:hint="eastAsia" w:ascii="Times New Roman" w:hAnsi="Times New Roman" w:eastAsia="宋体" w:cs="宋体-PUA"/>
                <w:b/>
                <w:color w:val="FF0000"/>
                <w:sz w:val="24"/>
                <w:shd w:val="clear" w:color="auto" w:fill="FFFFFF"/>
                <w:lang w:val="zh-CN"/>
              </w:rPr>
              <w:t>表</w:t>
            </w:r>
            <w:r>
              <w:rPr>
                <w:rFonts w:hint="eastAsia" w:ascii="Times New Roman" w:hAnsi="Times New Roman" w:eastAsia="宋体" w:cs="宋体-PUA"/>
                <w:b/>
                <w:color w:val="FF0000"/>
                <w:sz w:val="24"/>
                <w:shd w:val="clear" w:color="auto" w:fill="FFFFFF"/>
              </w:rPr>
              <w:t xml:space="preserve">3-20  </w:t>
            </w:r>
            <w:r>
              <w:rPr>
                <w:rFonts w:hint="eastAsia" w:ascii="Times New Roman" w:hAnsi="Times New Roman" w:eastAsia="宋体" w:cs="宋体-PUA"/>
                <w:b/>
                <w:color w:val="FF0000"/>
                <w:sz w:val="24"/>
                <w:shd w:val="clear" w:color="auto" w:fill="FFFFFF"/>
                <w:lang w:val="zh-CN"/>
              </w:rPr>
              <w:t>凹凸棒石初级加工园区污水处理厂进水水质</w:t>
            </w:r>
          </w:p>
          <w:tbl>
            <w:tblPr>
              <w:tblStyle w:val="28"/>
              <w:tblW w:w="79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3"/>
              <w:gridCol w:w="849"/>
              <w:gridCol w:w="876"/>
              <w:gridCol w:w="810"/>
              <w:gridCol w:w="875"/>
              <w:gridCol w:w="760"/>
              <w:gridCol w:w="687"/>
              <w:gridCol w:w="640"/>
              <w:gridCol w:w="656"/>
            </w:tblGrid>
            <w:tr w14:paraId="65CE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122" w:type="pct"/>
                  <w:tcBorders>
                    <w:tl2br w:val="nil"/>
                    <w:tr2bl w:val="nil"/>
                  </w:tcBorders>
                  <w:vAlign w:val="center"/>
                </w:tcPr>
                <w:p w14:paraId="3B141949">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FF0000"/>
                      <w:szCs w:val="21"/>
                    </w:rPr>
                    <w:t>项目</w:t>
                  </w:r>
                </w:p>
              </w:tc>
              <w:tc>
                <w:tcPr>
                  <w:tcW w:w="534" w:type="pct"/>
                  <w:tcBorders>
                    <w:tl2br w:val="nil"/>
                    <w:tr2bl w:val="nil"/>
                  </w:tcBorders>
                  <w:vAlign w:val="center"/>
                </w:tcPr>
                <w:p w14:paraId="0D1AC8BC">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FF0000"/>
                      <w:szCs w:val="21"/>
                    </w:rPr>
                    <w:t>COD</w:t>
                  </w:r>
                  <w:r>
                    <w:rPr>
                      <w:rFonts w:hint="eastAsia" w:ascii="Times New Roman" w:hAnsi="Times New Roman" w:eastAsia="宋体" w:cs="Times New Roman"/>
                      <w:b/>
                      <w:bCs/>
                      <w:color w:val="FF0000"/>
                      <w:szCs w:val="21"/>
                      <w:vertAlign w:val="subscript"/>
                    </w:rPr>
                    <w:t>cr</w:t>
                  </w:r>
                </w:p>
              </w:tc>
              <w:tc>
                <w:tcPr>
                  <w:tcW w:w="551" w:type="pct"/>
                  <w:tcBorders>
                    <w:tl2br w:val="nil"/>
                    <w:tr2bl w:val="nil"/>
                  </w:tcBorders>
                  <w:vAlign w:val="center"/>
                </w:tcPr>
                <w:p w14:paraId="57938526">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FF0000"/>
                      <w:szCs w:val="21"/>
                    </w:rPr>
                    <w:t>BOD</w:t>
                  </w:r>
                  <w:r>
                    <w:rPr>
                      <w:rFonts w:hint="eastAsia" w:ascii="Times New Roman" w:hAnsi="Times New Roman" w:eastAsia="宋体" w:cs="Times New Roman"/>
                      <w:b/>
                      <w:bCs/>
                      <w:color w:val="FF0000"/>
                      <w:szCs w:val="21"/>
                      <w:vertAlign w:val="subscript"/>
                    </w:rPr>
                    <w:t>5</w:t>
                  </w:r>
                </w:p>
              </w:tc>
              <w:tc>
                <w:tcPr>
                  <w:tcW w:w="510" w:type="pct"/>
                  <w:tcBorders>
                    <w:tl2br w:val="nil"/>
                    <w:tr2bl w:val="nil"/>
                  </w:tcBorders>
                  <w:vAlign w:val="center"/>
                </w:tcPr>
                <w:p w14:paraId="5167ED21">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FF0000"/>
                      <w:szCs w:val="21"/>
                    </w:rPr>
                    <w:t>SS</w:t>
                  </w:r>
                </w:p>
              </w:tc>
              <w:tc>
                <w:tcPr>
                  <w:tcW w:w="551" w:type="pct"/>
                  <w:tcBorders>
                    <w:tl2br w:val="nil"/>
                    <w:tr2bl w:val="nil"/>
                  </w:tcBorders>
                  <w:vAlign w:val="center"/>
                </w:tcPr>
                <w:p w14:paraId="1B00DB2A">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FF0000"/>
                      <w:szCs w:val="21"/>
                    </w:rPr>
                    <w:t>NH</w:t>
                  </w:r>
                  <w:r>
                    <w:rPr>
                      <w:rFonts w:hint="eastAsia" w:ascii="Times New Roman" w:hAnsi="Times New Roman" w:eastAsia="宋体" w:cs="Times New Roman"/>
                      <w:b/>
                      <w:bCs/>
                      <w:color w:val="FF0000"/>
                      <w:szCs w:val="21"/>
                      <w:vertAlign w:val="subscript"/>
                    </w:rPr>
                    <w:t>3</w:t>
                  </w:r>
                  <w:r>
                    <w:rPr>
                      <w:rFonts w:hint="eastAsia" w:ascii="Times New Roman" w:hAnsi="Times New Roman" w:eastAsia="宋体" w:cs="Times New Roman"/>
                      <w:b/>
                      <w:bCs/>
                      <w:color w:val="FF0000"/>
                      <w:szCs w:val="21"/>
                    </w:rPr>
                    <w:t>-N</w:t>
                  </w:r>
                </w:p>
              </w:tc>
              <w:tc>
                <w:tcPr>
                  <w:tcW w:w="479" w:type="pct"/>
                  <w:tcBorders>
                    <w:tl2br w:val="nil"/>
                    <w:tr2bl w:val="nil"/>
                  </w:tcBorders>
                  <w:vAlign w:val="center"/>
                </w:tcPr>
                <w:p w14:paraId="0AE49B60">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FF0000"/>
                      <w:szCs w:val="21"/>
                    </w:rPr>
                    <w:t>TP</w:t>
                  </w:r>
                </w:p>
              </w:tc>
              <w:tc>
                <w:tcPr>
                  <w:tcW w:w="433" w:type="pct"/>
                  <w:tcBorders>
                    <w:tl2br w:val="nil"/>
                    <w:tr2bl w:val="nil"/>
                  </w:tcBorders>
                  <w:vAlign w:val="center"/>
                </w:tcPr>
                <w:p w14:paraId="7F295F6E">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FF0000"/>
                      <w:szCs w:val="21"/>
                    </w:rPr>
                    <w:t>TN</w:t>
                  </w:r>
                </w:p>
              </w:tc>
              <w:tc>
                <w:tcPr>
                  <w:tcW w:w="403" w:type="pct"/>
                  <w:tcBorders>
                    <w:tl2br w:val="nil"/>
                    <w:tr2bl w:val="nil"/>
                  </w:tcBorders>
                  <w:vAlign w:val="center"/>
                </w:tcPr>
                <w:p w14:paraId="713EE995">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FF0000"/>
                      <w:szCs w:val="21"/>
                    </w:rPr>
                    <w:t>LAS</w:t>
                  </w:r>
                </w:p>
              </w:tc>
              <w:tc>
                <w:tcPr>
                  <w:tcW w:w="413" w:type="pct"/>
                  <w:tcBorders>
                    <w:tl2br w:val="nil"/>
                    <w:tr2bl w:val="nil"/>
                  </w:tcBorders>
                  <w:vAlign w:val="center"/>
                </w:tcPr>
                <w:p w14:paraId="1593E541">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FF0000"/>
                      <w:szCs w:val="21"/>
                    </w:rPr>
                    <w:t>动植物油</w:t>
                  </w:r>
                </w:p>
              </w:tc>
            </w:tr>
            <w:tr w14:paraId="43A3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122" w:type="pct"/>
                  <w:tcBorders>
                    <w:tl2br w:val="nil"/>
                    <w:tr2bl w:val="nil"/>
                  </w:tcBorders>
                  <w:vAlign w:val="center"/>
                </w:tcPr>
                <w:p w14:paraId="43CE16C9">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凹凸棒石初级加工园区污水处理厂设计进水水质</w:t>
                  </w:r>
                </w:p>
              </w:tc>
              <w:tc>
                <w:tcPr>
                  <w:tcW w:w="534" w:type="pct"/>
                  <w:tcBorders>
                    <w:tl2br w:val="nil"/>
                    <w:tr2bl w:val="nil"/>
                  </w:tcBorders>
                  <w:vAlign w:val="center"/>
                </w:tcPr>
                <w:p w14:paraId="544CF5CF">
                  <w:pPr>
                    <w:adjustRightInd w:val="0"/>
                    <w:spacing w:line="240" w:lineRule="exact"/>
                    <w:jc w:val="center"/>
                    <w:textAlignment w:val="baseline"/>
                    <w:rPr>
                      <w:rFonts w:ascii="Times New Roman" w:hAnsi="Times New Roman"/>
                      <w:color w:val="FF0000"/>
                      <w:szCs w:val="21"/>
                    </w:rPr>
                  </w:pPr>
                  <w:r>
                    <w:rPr>
                      <w:rFonts w:hint="eastAsia" w:ascii="Times New Roman" w:hAnsi="Times New Roman"/>
                      <w:color w:val="FF0000"/>
                      <w:szCs w:val="21"/>
                    </w:rPr>
                    <w:t>475</w:t>
                  </w:r>
                </w:p>
                <w:p w14:paraId="277EE968">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color w:val="FF0000"/>
                      <w:szCs w:val="21"/>
                    </w:rPr>
                    <w:t>mg/L</w:t>
                  </w:r>
                </w:p>
              </w:tc>
              <w:tc>
                <w:tcPr>
                  <w:tcW w:w="551" w:type="pct"/>
                  <w:tcBorders>
                    <w:tl2br w:val="nil"/>
                    <w:tr2bl w:val="nil"/>
                  </w:tcBorders>
                  <w:vAlign w:val="center"/>
                </w:tcPr>
                <w:p w14:paraId="4ACD0123">
                  <w:pPr>
                    <w:adjustRightInd w:val="0"/>
                    <w:spacing w:line="240" w:lineRule="exact"/>
                    <w:jc w:val="center"/>
                    <w:textAlignment w:val="baseline"/>
                    <w:rPr>
                      <w:rFonts w:ascii="Times New Roman" w:hAnsi="Times New Roman"/>
                      <w:color w:val="FF0000"/>
                      <w:szCs w:val="21"/>
                    </w:rPr>
                  </w:pPr>
                  <w:r>
                    <w:rPr>
                      <w:rFonts w:hint="eastAsia" w:ascii="Times New Roman" w:hAnsi="Times New Roman"/>
                      <w:color w:val="FF0000"/>
                      <w:szCs w:val="21"/>
                    </w:rPr>
                    <w:t>275</w:t>
                  </w:r>
                </w:p>
                <w:p w14:paraId="35B18B0F">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color w:val="FF0000"/>
                      <w:szCs w:val="21"/>
                    </w:rPr>
                    <w:t>mg/L</w:t>
                  </w:r>
                </w:p>
              </w:tc>
              <w:tc>
                <w:tcPr>
                  <w:tcW w:w="510" w:type="pct"/>
                  <w:tcBorders>
                    <w:tl2br w:val="nil"/>
                    <w:tr2bl w:val="nil"/>
                  </w:tcBorders>
                  <w:vAlign w:val="center"/>
                </w:tcPr>
                <w:p w14:paraId="77309523">
                  <w:pPr>
                    <w:adjustRightInd w:val="0"/>
                    <w:spacing w:line="240" w:lineRule="exact"/>
                    <w:jc w:val="center"/>
                    <w:textAlignment w:val="baseline"/>
                    <w:rPr>
                      <w:rFonts w:ascii="Times New Roman" w:hAnsi="Times New Roman"/>
                      <w:color w:val="FF0000"/>
                      <w:szCs w:val="21"/>
                    </w:rPr>
                  </w:pPr>
                  <w:r>
                    <w:rPr>
                      <w:rFonts w:hint="eastAsia" w:ascii="Times New Roman" w:hAnsi="Times New Roman"/>
                      <w:color w:val="FF0000"/>
                      <w:szCs w:val="21"/>
                    </w:rPr>
                    <w:t>350</w:t>
                  </w:r>
                </w:p>
                <w:p w14:paraId="1DD665FD">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color w:val="FF0000"/>
                      <w:szCs w:val="21"/>
                    </w:rPr>
                    <w:t>mg/L</w:t>
                  </w:r>
                </w:p>
              </w:tc>
              <w:tc>
                <w:tcPr>
                  <w:tcW w:w="551" w:type="pct"/>
                  <w:tcBorders>
                    <w:tl2br w:val="nil"/>
                    <w:tr2bl w:val="nil"/>
                  </w:tcBorders>
                  <w:vAlign w:val="center"/>
                </w:tcPr>
                <w:p w14:paraId="45136191">
                  <w:pPr>
                    <w:adjustRightInd w:val="0"/>
                    <w:spacing w:line="240" w:lineRule="exact"/>
                    <w:jc w:val="center"/>
                    <w:textAlignment w:val="baseline"/>
                    <w:rPr>
                      <w:rFonts w:ascii="Times New Roman" w:hAnsi="Times New Roman"/>
                      <w:color w:val="FF0000"/>
                      <w:szCs w:val="21"/>
                    </w:rPr>
                  </w:pPr>
                  <w:r>
                    <w:rPr>
                      <w:rFonts w:hint="eastAsia" w:ascii="Times New Roman" w:hAnsi="Times New Roman"/>
                      <w:color w:val="FF0000"/>
                      <w:szCs w:val="21"/>
                    </w:rPr>
                    <w:t>40</w:t>
                  </w:r>
                </w:p>
                <w:p w14:paraId="1392DC88">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color w:val="FF0000"/>
                      <w:szCs w:val="21"/>
                    </w:rPr>
                    <w:t>mg/L</w:t>
                  </w:r>
                </w:p>
              </w:tc>
              <w:tc>
                <w:tcPr>
                  <w:tcW w:w="479" w:type="pct"/>
                  <w:tcBorders>
                    <w:tl2br w:val="nil"/>
                    <w:tr2bl w:val="nil"/>
                  </w:tcBorders>
                  <w:vAlign w:val="center"/>
                </w:tcPr>
                <w:p w14:paraId="0423139E">
                  <w:pPr>
                    <w:adjustRightInd w:val="0"/>
                    <w:spacing w:line="240" w:lineRule="exact"/>
                    <w:jc w:val="center"/>
                    <w:textAlignment w:val="baseline"/>
                    <w:rPr>
                      <w:rFonts w:ascii="Times New Roman" w:hAnsi="Times New Roman"/>
                      <w:color w:val="FF0000"/>
                      <w:szCs w:val="21"/>
                    </w:rPr>
                  </w:pPr>
                  <w:r>
                    <w:rPr>
                      <w:rFonts w:hint="eastAsia" w:ascii="Times New Roman" w:hAnsi="Times New Roman"/>
                      <w:color w:val="FF0000"/>
                      <w:szCs w:val="21"/>
                    </w:rPr>
                    <w:t>8</w:t>
                  </w:r>
                </w:p>
                <w:p w14:paraId="50B44F71">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color w:val="FF0000"/>
                      <w:szCs w:val="21"/>
                    </w:rPr>
                    <w:t>mg/L</w:t>
                  </w:r>
                </w:p>
              </w:tc>
              <w:tc>
                <w:tcPr>
                  <w:tcW w:w="433" w:type="pct"/>
                  <w:tcBorders>
                    <w:tl2br w:val="nil"/>
                    <w:tr2bl w:val="nil"/>
                  </w:tcBorders>
                  <w:vAlign w:val="center"/>
                </w:tcPr>
                <w:p w14:paraId="305880FC">
                  <w:pPr>
                    <w:adjustRightInd w:val="0"/>
                    <w:spacing w:line="240" w:lineRule="exact"/>
                    <w:jc w:val="center"/>
                    <w:textAlignment w:val="baseline"/>
                    <w:rPr>
                      <w:rFonts w:ascii="Times New Roman" w:hAnsi="Times New Roman"/>
                      <w:color w:val="FF0000"/>
                      <w:szCs w:val="21"/>
                    </w:rPr>
                  </w:pPr>
                  <w:r>
                    <w:rPr>
                      <w:rFonts w:hint="eastAsia" w:ascii="Times New Roman" w:hAnsi="Times New Roman"/>
                      <w:color w:val="FF0000"/>
                      <w:szCs w:val="21"/>
                    </w:rPr>
                    <w:t>65</w:t>
                  </w:r>
                </w:p>
                <w:p w14:paraId="4E5922B5">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color w:val="FF0000"/>
                      <w:szCs w:val="21"/>
                    </w:rPr>
                    <w:t>mg/L</w:t>
                  </w:r>
                </w:p>
              </w:tc>
              <w:tc>
                <w:tcPr>
                  <w:tcW w:w="403" w:type="pct"/>
                  <w:tcBorders>
                    <w:tl2br w:val="nil"/>
                    <w:tr2bl w:val="nil"/>
                  </w:tcBorders>
                  <w:vAlign w:val="center"/>
                </w:tcPr>
                <w:p w14:paraId="4C954774">
                  <w:pPr>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宋体" w:cs="Times New Roman"/>
                      <w:color w:val="FF0000"/>
                      <w:szCs w:val="21"/>
                    </w:rPr>
                    <w:t>/</w:t>
                  </w:r>
                </w:p>
              </w:tc>
              <w:tc>
                <w:tcPr>
                  <w:tcW w:w="413" w:type="pct"/>
                  <w:tcBorders>
                    <w:tl2br w:val="nil"/>
                    <w:tr2bl w:val="nil"/>
                  </w:tcBorders>
                  <w:vAlign w:val="center"/>
                </w:tcPr>
                <w:p w14:paraId="15E314D8">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w:t>
                  </w:r>
                </w:p>
              </w:tc>
            </w:tr>
          </w:tbl>
          <w:p w14:paraId="6E63DCB8">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本项目生活污水（含食堂废水）污染物排放标准限值按国家标准与污水处理厂接管要求从严执行，具体限值见下表。</w:t>
            </w:r>
          </w:p>
          <w:p w14:paraId="08176C05">
            <w:pPr>
              <w:widowControl/>
              <w:jc w:val="center"/>
              <w:rPr>
                <w:rFonts w:ascii="Times New Roman" w:hAnsi="Times New Roman" w:eastAsia="宋体" w:cs="宋体-PUA"/>
                <w:b/>
                <w:sz w:val="24"/>
                <w:shd w:val="clear" w:color="auto" w:fill="FFFFFF"/>
              </w:rPr>
            </w:pPr>
            <w:r>
              <w:rPr>
                <w:rFonts w:ascii="Times New Roman" w:hAnsi="Times New Roman" w:eastAsia="宋体" w:cs="宋体-PUA"/>
                <w:b/>
                <w:sz w:val="24"/>
                <w:shd w:val="clear" w:color="auto" w:fill="FFFFFF"/>
              </w:rPr>
              <w:t xml:space="preserve">   </w:t>
            </w:r>
            <w:r>
              <w:rPr>
                <w:rFonts w:hint="eastAsia" w:ascii="Times New Roman" w:hAnsi="Times New Roman" w:eastAsia="宋体" w:cs="宋体-PUA"/>
                <w:b/>
                <w:sz w:val="24"/>
                <w:shd w:val="clear" w:color="auto" w:fill="FFFFFF"/>
              </w:rPr>
              <w:t xml:space="preserve"> </w:t>
            </w:r>
            <w:r>
              <w:rPr>
                <w:rFonts w:hint="eastAsia" w:ascii="Times New Roman" w:hAnsi="Times New Roman" w:eastAsia="宋体" w:cs="宋体-PUA"/>
                <w:b/>
                <w:sz w:val="24"/>
                <w:shd w:val="clear" w:color="auto" w:fill="FFFFFF"/>
                <w:lang w:val="zh-CN"/>
              </w:rPr>
              <w:t>表</w:t>
            </w:r>
            <w:r>
              <w:rPr>
                <w:rFonts w:hint="eastAsia" w:ascii="Times New Roman" w:hAnsi="Times New Roman" w:eastAsia="宋体" w:cs="宋体-PUA"/>
                <w:b/>
                <w:sz w:val="24"/>
                <w:shd w:val="clear" w:color="auto" w:fill="FFFFFF"/>
              </w:rPr>
              <w:t>3-21  本项目污水排放标准限值</w:t>
            </w:r>
          </w:p>
          <w:tbl>
            <w:tblPr>
              <w:tblStyle w:val="28"/>
              <w:tblW w:w="7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849"/>
              <w:gridCol w:w="796"/>
              <w:gridCol w:w="1001"/>
              <w:gridCol w:w="881"/>
              <w:gridCol w:w="846"/>
              <w:gridCol w:w="948"/>
              <w:gridCol w:w="728"/>
              <w:gridCol w:w="1067"/>
            </w:tblGrid>
            <w:tr w14:paraId="3DE84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0" w:hRule="atLeast"/>
                <w:jc w:val="center"/>
              </w:trPr>
              <w:tc>
                <w:tcPr>
                  <w:tcW w:w="550" w:type="pct"/>
                  <w:tcBorders>
                    <w:tl2br w:val="nil"/>
                    <w:tr2bl w:val="nil"/>
                  </w:tcBorders>
                  <w:vAlign w:val="center"/>
                </w:tcPr>
                <w:p w14:paraId="0597A1F5">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项目</w:t>
                  </w:r>
                </w:p>
              </w:tc>
              <w:tc>
                <w:tcPr>
                  <w:tcW w:w="530" w:type="pct"/>
                  <w:tcBorders>
                    <w:tl2br w:val="nil"/>
                    <w:tr2bl w:val="nil"/>
                  </w:tcBorders>
                  <w:vAlign w:val="center"/>
                </w:tcPr>
                <w:p w14:paraId="252CF8F1">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COD</w:t>
                  </w:r>
                  <w:r>
                    <w:rPr>
                      <w:rFonts w:hint="eastAsia" w:ascii="Times New Roman" w:hAnsi="Times New Roman" w:eastAsia="宋体" w:cs="Times New Roman"/>
                      <w:b/>
                      <w:bCs/>
                      <w:szCs w:val="21"/>
                      <w:vertAlign w:val="subscript"/>
                    </w:rPr>
                    <w:t>cr</w:t>
                  </w:r>
                </w:p>
              </w:tc>
              <w:tc>
                <w:tcPr>
                  <w:tcW w:w="497" w:type="pct"/>
                  <w:tcBorders>
                    <w:tl2br w:val="nil"/>
                    <w:tr2bl w:val="nil"/>
                  </w:tcBorders>
                  <w:vAlign w:val="center"/>
                </w:tcPr>
                <w:p w14:paraId="4956ED39">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BOD</w:t>
                  </w:r>
                  <w:r>
                    <w:rPr>
                      <w:rFonts w:hint="eastAsia" w:ascii="Times New Roman" w:hAnsi="Times New Roman" w:eastAsia="宋体" w:cs="Times New Roman"/>
                      <w:b/>
                      <w:bCs/>
                      <w:szCs w:val="21"/>
                      <w:vertAlign w:val="subscript"/>
                    </w:rPr>
                    <w:t>5</w:t>
                  </w:r>
                </w:p>
              </w:tc>
              <w:tc>
                <w:tcPr>
                  <w:tcW w:w="625" w:type="pct"/>
                  <w:tcBorders>
                    <w:tl2br w:val="nil"/>
                    <w:tr2bl w:val="nil"/>
                  </w:tcBorders>
                  <w:vAlign w:val="center"/>
                </w:tcPr>
                <w:p w14:paraId="26D77BF9">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SS</w:t>
                  </w:r>
                </w:p>
              </w:tc>
              <w:tc>
                <w:tcPr>
                  <w:tcW w:w="551" w:type="pct"/>
                  <w:tcBorders>
                    <w:tl2br w:val="nil"/>
                    <w:tr2bl w:val="nil"/>
                  </w:tcBorders>
                  <w:vAlign w:val="center"/>
                </w:tcPr>
                <w:p w14:paraId="33BBD840">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NH</w:t>
                  </w:r>
                  <w:r>
                    <w:rPr>
                      <w:rFonts w:hint="eastAsia" w:ascii="Times New Roman" w:hAnsi="Times New Roman" w:eastAsia="宋体" w:cs="Times New Roman"/>
                      <w:b/>
                      <w:bCs/>
                      <w:szCs w:val="21"/>
                      <w:vertAlign w:val="subscript"/>
                    </w:rPr>
                    <w:t>3</w:t>
                  </w:r>
                  <w:r>
                    <w:rPr>
                      <w:rFonts w:hint="eastAsia" w:ascii="Times New Roman" w:hAnsi="Times New Roman" w:eastAsia="宋体" w:cs="Times New Roman"/>
                      <w:b/>
                      <w:bCs/>
                      <w:szCs w:val="21"/>
                    </w:rPr>
                    <w:t>-N</w:t>
                  </w:r>
                </w:p>
              </w:tc>
              <w:tc>
                <w:tcPr>
                  <w:tcW w:w="529" w:type="pct"/>
                  <w:tcBorders>
                    <w:tl2br w:val="nil"/>
                    <w:tr2bl w:val="nil"/>
                  </w:tcBorders>
                  <w:vAlign w:val="center"/>
                </w:tcPr>
                <w:p w14:paraId="4863CC17">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TP</w:t>
                  </w:r>
                </w:p>
              </w:tc>
              <w:tc>
                <w:tcPr>
                  <w:tcW w:w="593" w:type="pct"/>
                  <w:tcBorders>
                    <w:tl2br w:val="nil"/>
                    <w:tr2bl w:val="nil"/>
                  </w:tcBorders>
                  <w:vAlign w:val="center"/>
                </w:tcPr>
                <w:p w14:paraId="37997B14">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TN</w:t>
                  </w:r>
                </w:p>
              </w:tc>
              <w:tc>
                <w:tcPr>
                  <w:tcW w:w="455" w:type="pct"/>
                  <w:tcBorders>
                    <w:tl2br w:val="nil"/>
                    <w:tr2bl w:val="nil"/>
                  </w:tcBorders>
                  <w:vAlign w:val="center"/>
                </w:tcPr>
                <w:p w14:paraId="16137740">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LAS</w:t>
                  </w:r>
                </w:p>
              </w:tc>
              <w:tc>
                <w:tcPr>
                  <w:tcW w:w="666" w:type="pct"/>
                  <w:tcBorders>
                    <w:tl2br w:val="nil"/>
                    <w:tr2bl w:val="nil"/>
                  </w:tcBorders>
                  <w:vAlign w:val="center"/>
                </w:tcPr>
                <w:p w14:paraId="03D28295">
                  <w:pPr>
                    <w:adjustRightInd w:val="0"/>
                    <w:spacing w:line="240" w:lineRule="exact"/>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动植物油</w:t>
                  </w:r>
                </w:p>
              </w:tc>
            </w:tr>
            <w:tr w14:paraId="7428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550" w:type="pct"/>
                  <w:tcBorders>
                    <w:tl2br w:val="nil"/>
                    <w:tr2bl w:val="nil"/>
                  </w:tcBorders>
                  <w:vAlign w:val="center"/>
                </w:tcPr>
                <w:p w14:paraId="13127E8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本项目污水排放限值</w:t>
                  </w:r>
                </w:p>
              </w:tc>
              <w:tc>
                <w:tcPr>
                  <w:tcW w:w="530" w:type="pct"/>
                  <w:tcBorders>
                    <w:tl2br w:val="nil"/>
                    <w:tr2bl w:val="nil"/>
                  </w:tcBorders>
                  <w:vAlign w:val="center"/>
                </w:tcPr>
                <w:p w14:paraId="478BFFB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475</w:t>
                  </w:r>
                </w:p>
                <w:p w14:paraId="60DDFC0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mg/L</w:t>
                  </w:r>
                </w:p>
              </w:tc>
              <w:tc>
                <w:tcPr>
                  <w:tcW w:w="497" w:type="pct"/>
                  <w:tcBorders>
                    <w:tl2br w:val="nil"/>
                    <w:tr2bl w:val="nil"/>
                  </w:tcBorders>
                  <w:vAlign w:val="center"/>
                </w:tcPr>
                <w:p w14:paraId="3F1B602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275</w:t>
                  </w:r>
                </w:p>
                <w:p w14:paraId="1843B0E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mg/L</w:t>
                  </w:r>
                </w:p>
              </w:tc>
              <w:tc>
                <w:tcPr>
                  <w:tcW w:w="625" w:type="pct"/>
                  <w:tcBorders>
                    <w:tl2br w:val="nil"/>
                    <w:tr2bl w:val="nil"/>
                  </w:tcBorders>
                  <w:vAlign w:val="center"/>
                </w:tcPr>
                <w:p w14:paraId="77E72CE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350mg/L</w:t>
                  </w:r>
                </w:p>
              </w:tc>
              <w:tc>
                <w:tcPr>
                  <w:tcW w:w="551" w:type="pct"/>
                  <w:tcBorders>
                    <w:tl2br w:val="nil"/>
                    <w:tr2bl w:val="nil"/>
                  </w:tcBorders>
                  <w:vAlign w:val="center"/>
                </w:tcPr>
                <w:p w14:paraId="7AB21AE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40mg/L</w:t>
                  </w:r>
                </w:p>
              </w:tc>
              <w:tc>
                <w:tcPr>
                  <w:tcW w:w="529" w:type="pct"/>
                  <w:tcBorders>
                    <w:tl2br w:val="nil"/>
                    <w:tr2bl w:val="nil"/>
                  </w:tcBorders>
                  <w:vAlign w:val="center"/>
                </w:tcPr>
                <w:p w14:paraId="1DBE849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8mg/L</w:t>
                  </w:r>
                </w:p>
              </w:tc>
              <w:tc>
                <w:tcPr>
                  <w:tcW w:w="593" w:type="pct"/>
                  <w:tcBorders>
                    <w:tl2br w:val="nil"/>
                    <w:tr2bl w:val="nil"/>
                  </w:tcBorders>
                  <w:vAlign w:val="center"/>
                </w:tcPr>
                <w:p w14:paraId="30F1F7D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65mg/L</w:t>
                  </w:r>
                </w:p>
              </w:tc>
              <w:tc>
                <w:tcPr>
                  <w:tcW w:w="455" w:type="pct"/>
                  <w:tcBorders>
                    <w:tl2br w:val="nil"/>
                    <w:tr2bl w:val="nil"/>
                  </w:tcBorders>
                  <w:vAlign w:val="center"/>
                </w:tcPr>
                <w:p w14:paraId="4DBCC7AB">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20</w:t>
                  </w:r>
                </w:p>
                <w:p w14:paraId="5E44D48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mg/L</w:t>
                  </w:r>
                </w:p>
              </w:tc>
              <w:tc>
                <w:tcPr>
                  <w:tcW w:w="666" w:type="pct"/>
                  <w:tcBorders>
                    <w:tl2br w:val="nil"/>
                    <w:tr2bl w:val="nil"/>
                  </w:tcBorders>
                  <w:vAlign w:val="center"/>
                </w:tcPr>
                <w:p w14:paraId="119AC824">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100</w:t>
                  </w:r>
                </w:p>
                <w:p w14:paraId="79FCD94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mg/L</w:t>
                  </w:r>
                </w:p>
              </w:tc>
            </w:tr>
          </w:tbl>
          <w:p w14:paraId="4E271249">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7.4固体废物</w:t>
            </w:r>
          </w:p>
          <w:p w14:paraId="4BF5515C">
            <w:pPr>
              <w:numPr>
                <w:ilvl w:val="0"/>
                <w:numId w:val="3"/>
              </w:numPr>
              <w:wordWrap w:val="0"/>
              <w:topLinePunct/>
              <w:spacing w:line="360" w:lineRule="auto"/>
              <w:ind w:firstLine="480" w:firstLineChars="200"/>
              <w:rPr>
                <w:rFonts w:ascii="Times New Roman" w:hAnsi="Times New Roman" w:eastAsia="宋体" w:cs="Times New Roman"/>
                <w:sz w:val="24"/>
                <w:lang w:val="zh-CN"/>
              </w:rPr>
            </w:pPr>
            <w:r>
              <w:rPr>
                <w:rFonts w:hint="eastAsia" w:ascii="Times New Roman" w:hAnsi="Times New Roman" w:eastAsia="宋体" w:cs="Times New Roman"/>
                <w:sz w:val="24"/>
                <w:lang w:val="zh-CN"/>
              </w:rPr>
              <w:t>一般工业固废执行《一般工业固体废物贮存和填埋污染控制标准》（GB18599-2020）的相关要求。</w:t>
            </w:r>
          </w:p>
          <w:p w14:paraId="1D3F2445">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w:t>
            </w:r>
            <w:r>
              <w:rPr>
                <w:rFonts w:hint="eastAsia" w:ascii="Times New Roman" w:hAnsi="Times New Roman" w:eastAsia="宋体" w:cs="Times New Roman"/>
                <w:sz w:val="24"/>
                <w:lang w:val="zh-CN"/>
              </w:rPr>
              <w:t>危险废物严格执行《危险废物贮存污染控制标准》（GB18597-2023）中的有关规定。</w:t>
            </w:r>
          </w:p>
          <w:p w14:paraId="28ED8B0D">
            <w:pPr>
              <w:widowControl/>
              <w:wordWrap w:val="0"/>
              <w:topLinePunct/>
              <w:spacing w:line="360" w:lineRule="auto"/>
              <w:ind w:firstLine="480" w:firstLineChars="200"/>
            </w:pPr>
            <w:r>
              <w:rPr>
                <w:rFonts w:hint="eastAsia" w:ascii="Times New Roman" w:hAnsi="Times New Roman" w:eastAsia="宋体" w:cs="Times New Roman"/>
                <w:sz w:val="24"/>
              </w:rPr>
              <w:t>(3)满足</w:t>
            </w:r>
            <w:r>
              <w:rPr>
                <w:rFonts w:ascii="Times New Roman" w:hAnsi="Times New Roman" w:eastAsia="宋体" w:cs="Times New Roman"/>
                <w:sz w:val="24"/>
              </w:rPr>
              <w:t>《固体废物分类与代码目录》（2024</w:t>
            </w:r>
            <w:r>
              <w:rPr>
                <w:rFonts w:hint="eastAsia" w:ascii="Times New Roman" w:hAnsi="Times New Roman" w:eastAsia="宋体" w:cs="Times New Roman"/>
                <w:sz w:val="24"/>
              </w:rPr>
              <w:t>年版</w:t>
            </w:r>
            <w:r>
              <w:rPr>
                <w:rFonts w:ascii="Times New Roman" w:hAnsi="Times New Roman" w:eastAsia="宋体" w:cs="Times New Roman"/>
                <w:sz w:val="24"/>
              </w:rPr>
              <w:t>）</w:t>
            </w:r>
            <w:r>
              <w:rPr>
                <w:rFonts w:hint="eastAsia" w:ascii="Times New Roman" w:hAnsi="Times New Roman" w:eastAsia="宋体" w:cs="Times New Roman"/>
                <w:sz w:val="24"/>
              </w:rPr>
              <w:t>、</w:t>
            </w:r>
            <w:r>
              <w:rPr>
                <w:rFonts w:ascii="Times New Roman" w:hAnsi="Times New Roman" w:eastAsia="宋体" w:cs="Times New Roman"/>
                <w:sz w:val="24"/>
              </w:rPr>
              <w:t>《排污许可证申请与核发技术规范 工业固体废物（试行）》（HJ1200-2021）</w:t>
            </w:r>
            <w:r>
              <w:rPr>
                <w:rFonts w:hint="eastAsia" w:ascii="Times New Roman" w:hAnsi="Times New Roman" w:eastAsia="宋体" w:cs="Times New Roman"/>
                <w:sz w:val="24"/>
              </w:rPr>
              <w:t>的相关要求。</w:t>
            </w:r>
          </w:p>
        </w:tc>
      </w:tr>
      <w:tr w14:paraId="6A697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50" w:type="pct"/>
            <w:tcBorders>
              <w:tl2br w:val="nil"/>
              <w:tr2bl w:val="nil"/>
            </w:tcBorders>
            <w:vAlign w:val="center"/>
          </w:tcPr>
          <w:p w14:paraId="53E0FF0D">
            <w:pPr>
              <w:adjustRightInd w:val="0"/>
              <w:snapToGrid w:val="0"/>
              <w:jc w:val="center"/>
              <w:rPr>
                <w:rFonts w:hint="eastAsia" w:ascii="宋体" w:hAnsi="宋体" w:eastAsia="宋体" w:cs="宋体"/>
                <w:b/>
                <w:bCs/>
                <w:kern w:val="0"/>
                <w:sz w:val="24"/>
              </w:rPr>
            </w:pPr>
            <w:r>
              <w:rPr>
                <w:rFonts w:hint="eastAsia" w:ascii="宋体" w:hAnsi="宋体" w:eastAsia="宋体" w:cs="宋体"/>
                <w:b/>
                <w:bCs/>
                <w:kern w:val="0"/>
                <w:sz w:val="24"/>
                <w:lang w:bidi="ar"/>
              </w:rPr>
              <w:t>总量</w:t>
            </w:r>
          </w:p>
          <w:p w14:paraId="79A57806">
            <w:pPr>
              <w:adjustRightInd w:val="0"/>
              <w:snapToGrid w:val="0"/>
              <w:jc w:val="center"/>
              <w:rPr>
                <w:rFonts w:hint="eastAsia" w:ascii="宋体" w:hAnsi="宋体" w:eastAsia="宋体" w:cs="宋体"/>
                <w:b/>
                <w:bCs/>
                <w:color w:val="FF0000"/>
                <w:kern w:val="0"/>
                <w:sz w:val="24"/>
              </w:rPr>
            </w:pPr>
            <w:r>
              <w:rPr>
                <w:rFonts w:hint="eastAsia" w:ascii="宋体" w:hAnsi="宋体" w:eastAsia="宋体" w:cs="宋体"/>
                <w:b/>
                <w:bCs/>
                <w:kern w:val="0"/>
                <w:sz w:val="24"/>
                <w:lang w:bidi="ar"/>
              </w:rPr>
              <w:t>控制指标</w:t>
            </w:r>
          </w:p>
        </w:tc>
        <w:tc>
          <w:tcPr>
            <w:tcW w:w="4749" w:type="pct"/>
            <w:tcBorders>
              <w:tl2br w:val="nil"/>
              <w:tr2bl w:val="nil"/>
            </w:tcBorders>
            <w:vAlign w:val="center"/>
          </w:tcPr>
          <w:p w14:paraId="5BFA8A5F">
            <w:pPr>
              <w:widowControl/>
              <w:wordWrap w:val="0"/>
              <w:topLinePunct/>
              <w:adjustRightInd w:val="0"/>
              <w:snapToGrid w:val="0"/>
              <w:spacing w:line="360" w:lineRule="auto"/>
              <w:rPr>
                <w:rFonts w:ascii="Times New Roman" w:hAnsi="Times New Roman" w:eastAsia="宋体" w:cs="Times New Roman"/>
                <w:b/>
                <w:bCs/>
                <w:sz w:val="24"/>
              </w:rPr>
            </w:pPr>
            <w:r>
              <w:rPr>
                <w:rFonts w:hint="eastAsia" w:ascii="Times New Roman" w:hAnsi="Times New Roman" w:eastAsia="宋体" w:cs="Times New Roman"/>
                <w:b/>
                <w:bCs/>
                <w:sz w:val="24"/>
              </w:rPr>
              <w:t>8总量控制指标</w:t>
            </w:r>
          </w:p>
          <w:p w14:paraId="359B32A8">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“十五五”期间主要对化学需氧量、总磷、氮氧化物、挥发性有机物四种主要污染物实行排放总量控制计划管理。</w:t>
            </w:r>
          </w:p>
          <w:p w14:paraId="1DF33033">
            <w:pPr>
              <w:widowControl/>
              <w:wordWrap w:val="0"/>
              <w:topLinePunct/>
              <w:adjustRightInd w:val="0"/>
              <w:snapToGrid w:val="0"/>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本评价建议总量控制指标为：非甲烷总烃：0.08t/a；氮氧化物：0.4945</w:t>
            </w:r>
            <w:r>
              <w:rPr>
                <w:rFonts w:ascii="Times New Roman" w:hAnsi="Times New Roman" w:eastAsia="宋体" w:cs="Times New Roman"/>
                <w:sz w:val="24"/>
              </w:rPr>
              <w:t>t</w:t>
            </w:r>
          </w:p>
          <w:p w14:paraId="158CCDDA">
            <w:pPr>
              <w:widowControl/>
              <w:wordWrap w:val="0"/>
              <w:topLinePunct/>
              <w:adjustRightInd w:val="0"/>
              <w:snapToGrid w:val="0"/>
              <w:spacing w:line="360" w:lineRule="auto"/>
              <w:rPr>
                <w:rFonts w:ascii="Times New Roman" w:hAnsi="Times New Roman" w:eastAsia="宋体" w:cs="Times New Roman"/>
                <w:color w:val="FF0000"/>
                <w:sz w:val="24"/>
              </w:rPr>
            </w:pPr>
            <w:r>
              <w:rPr>
                <w:rFonts w:ascii="Times New Roman" w:hAnsi="Times New Roman" w:eastAsia="宋体" w:cs="Times New Roman"/>
                <w:sz w:val="24"/>
              </w:rPr>
              <w:t>/a</w:t>
            </w:r>
            <w:r>
              <w:rPr>
                <w:rFonts w:hint="eastAsia" w:ascii="Times New Roman" w:hAnsi="Times New Roman" w:eastAsia="宋体" w:cs="Times New Roman"/>
                <w:sz w:val="24"/>
              </w:rPr>
              <w:t>；本项目总量控制指标执行后续本项目排污许可证许可的许可排放量。</w:t>
            </w:r>
          </w:p>
          <w:p w14:paraId="55C1D5F2">
            <w:pPr>
              <w:pStyle w:val="38"/>
              <w:ind w:firstLine="0"/>
              <w:rPr>
                <w:color w:val="000000" w:themeColor="text1"/>
                <w14:textFill>
                  <w14:solidFill>
                    <w14:schemeClr w14:val="tx1"/>
                  </w14:solidFill>
                </w14:textFill>
              </w:rPr>
            </w:pPr>
          </w:p>
          <w:p w14:paraId="7A5D9D4B">
            <w:pPr>
              <w:pStyle w:val="38"/>
              <w:ind w:firstLine="0"/>
              <w:rPr>
                <w:color w:val="000000" w:themeColor="text1"/>
                <w14:textFill>
                  <w14:solidFill>
                    <w14:schemeClr w14:val="tx1"/>
                  </w14:solidFill>
                </w14:textFill>
              </w:rPr>
            </w:pPr>
          </w:p>
          <w:p w14:paraId="6ED7DDEB">
            <w:pPr>
              <w:pStyle w:val="38"/>
              <w:ind w:firstLine="0"/>
              <w:rPr>
                <w:rFonts w:hint="default" w:eastAsiaTheme="minorEastAsia"/>
                <w:color w:val="FF0000"/>
                <w:lang w:val="en-US" w:eastAsia="zh-CN"/>
              </w:rPr>
            </w:pPr>
          </w:p>
        </w:tc>
      </w:tr>
    </w:tbl>
    <w:p w14:paraId="6ADE2B83">
      <w:pPr>
        <w:pStyle w:val="25"/>
        <w:spacing w:beforeAutospacing="0" w:afterAutospacing="0"/>
        <w:jc w:val="center"/>
        <w:outlineLvl w:val="0"/>
        <w:rPr>
          <w:rFonts w:hint="default" w:hAnsi="Times New Roman" w:cs="宋体"/>
          <w:b/>
          <w:sz w:val="28"/>
          <w:szCs w:val="28"/>
          <w:lang w:bidi="ar"/>
        </w:rPr>
      </w:pPr>
      <w:r>
        <w:rPr>
          <w:rFonts w:ascii="黑体" w:eastAsia="黑体"/>
          <w:snapToGrid w:val="0"/>
          <w:sz w:val="36"/>
          <w:szCs w:val="36"/>
          <w:lang w:bidi="ar"/>
        </w:rPr>
        <w:br w:type="page"/>
      </w:r>
      <w:r>
        <w:rPr>
          <w:rFonts w:ascii="黑体" w:eastAsia="黑体" w:cs="黑体"/>
          <w:snapToGrid w:val="0"/>
          <w:sz w:val="30"/>
          <w:szCs w:val="30"/>
        </w:rPr>
        <w:t>四、主要环境影响和保护措施</w:t>
      </w:r>
    </w:p>
    <w:tbl>
      <w:tblPr>
        <w:tblStyle w:val="28"/>
        <w:tblW w:w="8554"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62"/>
        <w:gridCol w:w="8092"/>
      </w:tblGrid>
      <w:tr w14:paraId="49317B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373" w:hRule="atLeast"/>
        </w:trPr>
        <w:tc>
          <w:tcPr>
            <w:tcW w:w="462" w:type="dxa"/>
            <w:tcBorders>
              <w:tl2br w:val="nil"/>
              <w:tr2bl w:val="nil"/>
            </w:tcBorders>
            <w:tcMar>
              <w:left w:w="28" w:type="dxa"/>
              <w:right w:w="28" w:type="dxa"/>
            </w:tcMar>
            <w:vAlign w:val="center"/>
          </w:tcPr>
          <w:p w14:paraId="68382AB0">
            <w:pPr>
              <w:pStyle w:val="25"/>
              <w:adjustRightInd w:val="0"/>
              <w:snapToGrid w:val="0"/>
              <w:spacing w:beforeAutospacing="0" w:afterAutospacing="0"/>
              <w:jc w:val="center"/>
              <w:rPr>
                <w:rFonts w:hint="default" w:ascii="Times New Roman" w:hAnsi="Times New Roman" w:eastAsia="仿宋"/>
                <w:b/>
                <w:kern w:val="2"/>
                <w:szCs w:val="24"/>
              </w:rPr>
            </w:pPr>
            <w:r>
              <w:rPr>
                <w:rFonts w:hint="default" w:cs="宋体"/>
                <w:b/>
                <w:bCs/>
                <w:kern w:val="2"/>
                <w:szCs w:val="24"/>
              </w:rPr>
              <w:t>施工期环境影响和保护措施</w:t>
            </w:r>
          </w:p>
        </w:tc>
        <w:tc>
          <w:tcPr>
            <w:tcW w:w="8092" w:type="dxa"/>
            <w:tcBorders>
              <w:tl2br w:val="nil"/>
              <w:tr2bl w:val="nil"/>
            </w:tcBorders>
            <w:vAlign w:val="top"/>
          </w:tcPr>
          <w:p w14:paraId="4DCA8392">
            <w:pPr>
              <w:pStyle w:val="4"/>
              <w:keepNext w:val="0"/>
              <w:keepLines w:val="0"/>
              <w:wordWrap w:val="0"/>
              <w:topLinePunct/>
              <w:ind w:firstLine="0" w:firstLineChars="0"/>
              <w:jc w:val="both"/>
              <w:rPr>
                <w:rFonts w:hint="eastAsia" w:ascii="Times New Roman" w:hAnsi="Times New Roman" w:cs="Times New Roman"/>
                <w:bCs/>
                <w:color w:val="auto"/>
                <w:spacing w:val="0"/>
                <w:w w:val="100"/>
                <w:szCs w:val="24"/>
                <w:highlight w:val="none"/>
              </w:rPr>
            </w:pPr>
            <w:bookmarkStart w:id="10" w:name="_Toc481737702"/>
            <w:bookmarkStart w:id="11" w:name="_Toc470525353"/>
            <w:bookmarkStart w:id="12" w:name="_Toc470575839"/>
            <w:bookmarkStart w:id="13" w:name="_Toc470525051"/>
            <w:bookmarkStart w:id="14" w:name="_Toc482350675"/>
            <w:bookmarkStart w:id="15" w:name="_Toc14681574"/>
            <w:bookmarkStart w:id="16" w:name="_Toc470525578"/>
            <w:bookmarkStart w:id="17" w:name="_Toc471792779"/>
            <w:bookmarkStart w:id="18" w:name="_Toc208413276"/>
            <w:r>
              <w:rPr>
                <w:rFonts w:hint="eastAsia" w:ascii="Times New Roman" w:hAnsi="Times New Roman" w:cs="Times New Roman"/>
                <w:bCs/>
                <w:color w:val="auto"/>
                <w:spacing w:val="0"/>
                <w:w w:val="100"/>
                <w:szCs w:val="24"/>
                <w:highlight w:val="none"/>
              </w:rPr>
              <w:t>1施工期环境影响分析及防治措施</w:t>
            </w:r>
          </w:p>
          <w:p w14:paraId="2DD9FFA9">
            <w:pPr>
              <w:wordWrap w:val="0"/>
              <w:topLinePunct/>
              <w:snapToGrid w:val="0"/>
              <w:spacing w:line="360" w:lineRule="auto"/>
              <w:ind w:firstLine="482" w:firstLineChars="200"/>
              <w:jc w:val="both"/>
              <w:rPr>
                <w:rFonts w:hint="eastAsia" w:ascii="Times New Roman" w:hAnsi="Times New Roman" w:eastAsia="宋体" w:cs="Times New Roman"/>
                <w:b/>
                <w:bCs/>
                <w:color w:val="1331F5"/>
                <w:sz w:val="24"/>
                <w:highlight w:val="none"/>
                <w:lang w:val="zh-CN"/>
              </w:rPr>
            </w:pPr>
            <w:r>
              <w:rPr>
                <w:rFonts w:hint="eastAsia" w:ascii="Times New Roman" w:hAnsi="Times New Roman" w:eastAsia="宋体" w:cs="Times New Roman"/>
                <w:b/>
                <w:bCs/>
                <w:color w:val="1331F5"/>
                <w:sz w:val="24"/>
                <w:highlight w:val="none"/>
                <w:lang w:val="en-US" w:eastAsia="zh-CN"/>
              </w:rPr>
              <w:t>1.1</w:t>
            </w:r>
            <w:r>
              <w:rPr>
                <w:rFonts w:hint="eastAsia" w:ascii="Times New Roman" w:hAnsi="Times New Roman" w:eastAsia="宋体" w:cs="Times New Roman"/>
                <w:b/>
                <w:bCs/>
                <w:color w:val="1331F5"/>
                <w:sz w:val="24"/>
                <w:highlight w:val="none"/>
                <w:lang w:val="zh-CN"/>
              </w:rPr>
              <w:t>已建工程施工情况</w:t>
            </w:r>
            <w:r>
              <w:rPr>
                <w:rFonts w:hint="eastAsia" w:ascii="Times New Roman" w:hAnsi="Times New Roman" w:eastAsia="宋体" w:cs="Times New Roman"/>
                <w:b/>
                <w:bCs/>
                <w:color w:val="1331F5"/>
                <w:sz w:val="24"/>
                <w:highlight w:val="none"/>
                <w:lang w:val="en-US" w:eastAsia="zh-CN"/>
              </w:rPr>
              <w:t>调查</w:t>
            </w:r>
            <w:r>
              <w:rPr>
                <w:rFonts w:hint="eastAsia" w:ascii="Times New Roman" w:hAnsi="Times New Roman" w:eastAsia="宋体" w:cs="Times New Roman"/>
                <w:b/>
                <w:bCs/>
                <w:color w:val="1331F5"/>
                <w:sz w:val="24"/>
                <w:highlight w:val="none"/>
                <w:lang w:val="zh-CN"/>
              </w:rPr>
              <w:t>回顾</w:t>
            </w:r>
          </w:p>
          <w:p w14:paraId="267A1A02">
            <w:pPr>
              <w:wordWrap w:val="0"/>
              <w:topLinePunct/>
              <w:snapToGrid w:val="0"/>
              <w:spacing w:line="360" w:lineRule="auto"/>
              <w:ind w:firstLine="480" w:firstLineChars="200"/>
              <w:rPr>
                <w:rFonts w:hint="eastAsia" w:ascii="Times New Roman" w:hAnsi="Times New Roman" w:eastAsia="宋体" w:cs="Times New Roman"/>
                <w:color w:val="1331F5"/>
                <w:sz w:val="24"/>
                <w:highlight w:val="none"/>
                <w:lang w:val="zh-CN"/>
              </w:rPr>
            </w:pPr>
            <w:r>
              <w:rPr>
                <w:rFonts w:hint="eastAsia" w:ascii="Times New Roman" w:hAnsi="Times New Roman" w:eastAsia="宋体" w:cs="Times New Roman"/>
                <w:color w:val="1331F5"/>
                <w:sz w:val="24"/>
                <w:highlight w:val="none"/>
                <w:lang w:val="zh-CN"/>
              </w:rPr>
              <w:t>本项目主体工程（包括</w:t>
            </w:r>
            <w:r>
              <w:rPr>
                <w:rFonts w:hint="eastAsia" w:ascii="Times New Roman" w:hAnsi="Times New Roman" w:eastAsia="宋体" w:cs="Times New Roman"/>
                <w:color w:val="1331F5"/>
                <w:sz w:val="24"/>
                <w:highlight w:val="none"/>
                <w:lang w:val="en-US" w:eastAsia="zh-CN"/>
              </w:rPr>
              <w:t>1条</w:t>
            </w:r>
            <w:r>
              <w:rPr>
                <w:rFonts w:hint="eastAsia" w:ascii="Times New Roman" w:hAnsi="Times New Roman" w:eastAsia="宋体" w:cs="Times New Roman"/>
                <w:color w:val="1331F5"/>
                <w:sz w:val="24"/>
                <w:highlight w:val="none"/>
                <w:lang w:val="zh-CN"/>
              </w:rPr>
              <w:t>耐候性沥青混凝土生产线（</w:t>
            </w:r>
            <w:r>
              <w:rPr>
                <w:rFonts w:hint="eastAsia" w:ascii="Times New Roman" w:hAnsi="Times New Roman" w:eastAsia="宋体" w:cs="Times New Roman"/>
                <w:color w:val="1331F5"/>
                <w:sz w:val="24"/>
                <w:highlight w:val="none"/>
                <w:lang w:val="en-US" w:eastAsia="zh-CN"/>
              </w:rPr>
              <w:t>沥青拌合楼</w:t>
            </w:r>
            <w:r>
              <w:rPr>
                <w:rFonts w:hint="eastAsia" w:ascii="Times New Roman" w:hAnsi="Times New Roman" w:eastAsia="宋体" w:cs="Times New Roman"/>
                <w:color w:val="1331F5"/>
                <w:sz w:val="24"/>
                <w:highlight w:val="none"/>
                <w:lang w:val="zh-CN"/>
              </w:rPr>
              <w:t>）、</w:t>
            </w:r>
            <w:r>
              <w:rPr>
                <w:rFonts w:hint="eastAsia" w:ascii="Times New Roman" w:hAnsi="Times New Roman" w:eastAsia="宋体" w:cs="Times New Roman"/>
                <w:color w:val="1331F5"/>
                <w:sz w:val="24"/>
                <w:highlight w:val="none"/>
                <w:lang w:val="en-US" w:eastAsia="zh-CN"/>
              </w:rPr>
              <w:t>1条</w:t>
            </w:r>
            <w:r>
              <w:rPr>
                <w:rFonts w:hint="eastAsia" w:ascii="Times New Roman" w:hAnsi="Times New Roman" w:eastAsia="宋体" w:cs="Times New Roman"/>
                <w:color w:val="1331F5"/>
                <w:sz w:val="24"/>
                <w:highlight w:val="none"/>
                <w:lang w:val="zh-CN"/>
              </w:rPr>
              <w:t>乳化沥青生产线及相关配套设施（</w:t>
            </w:r>
            <w:r>
              <w:rPr>
                <w:rFonts w:hint="eastAsia" w:ascii="Times New Roman" w:hAnsi="Times New Roman" w:eastAsia="宋体" w:cs="Times New Roman"/>
                <w:color w:val="1331F5"/>
                <w:sz w:val="24"/>
                <w:highlight w:val="none"/>
                <w:lang w:val="en-US" w:eastAsia="zh-CN"/>
              </w:rPr>
              <w:t>原料堆棚、冷料仓、沥青储罐、柴油储罐、有机热载体炉、废料仓、综合办公区域等</w:t>
            </w:r>
            <w:r>
              <w:rPr>
                <w:rFonts w:hint="eastAsia" w:ascii="Times New Roman" w:hAnsi="Times New Roman" w:eastAsia="宋体" w:cs="Times New Roman"/>
                <w:color w:val="1331F5"/>
                <w:sz w:val="24"/>
                <w:highlight w:val="none"/>
                <w:lang w:val="zh-CN"/>
              </w:rPr>
              <w:t>））已在</w:t>
            </w:r>
            <w:r>
              <w:rPr>
                <w:rFonts w:hint="eastAsia" w:ascii="Times New Roman" w:hAnsi="Times New Roman" w:eastAsia="宋体" w:cs="Times New Roman"/>
                <w:color w:val="1331F5"/>
                <w:sz w:val="24"/>
                <w:highlight w:val="none"/>
                <w:lang w:val="en-US" w:eastAsia="zh-CN"/>
              </w:rPr>
              <w:t>履行本项目环境影响评价手续前建设完成</w:t>
            </w:r>
            <w:r>
              <w:rPr>
                <w:rFonts w:hint="eastAsia" w:ascii="Times New Roman" w:hAnsi="Times New Roman" w:eastAsia="宋体" w:cs="Times New Roman"/>
                <w:color w:val="1331F5"/>
                <w:sz w:val="24"/>
                <w:highlight w:val="none"/>
                <w:lang w:val="zh-CN"/>
              </w:rPr>
              <w:t>；施工期主要施工流程包括施工准备、场地平整、基础工程、主体工程施工建设及设施设备安装等工序，施工人员均为周边居民，施工期</w:t>
            </w:r>
            <w:r>
              <w:rPr>
                <w:rFonts w:hint="eastAsia" w:ascii="Times New Roman" w:hAnsi="Times New Roman" w:eastAsia="宋体" w:cs="Times New Roman"/>
                <w:color w:val="1331F5"/>
                <w:sz w:val="24"/>
                <w:highlight w:val="none"/>
                <w:lang w:val="en-US" w:eastAsia="zh-CN"/>
              </w:rPr>
              <w:t>未</w:t>
            </w:r>
            <w:r>
              <w:rPr>
                <w:rFonts w:hint="eastAsia" w:ascii="Times New Roman" w:hAnsi="Times New Roman" w:eastAsia="宋体" w:cs="Times New Roman"/>
                <w:color w:val="1331F5"/>
                <w:sz w:val="24"/>
                <w:highlight w:val="none"/>
                <w:lang w:val="zh-CN"/>
              </w:rPr>
              <w:t>设置施工营地，</w:t>
            </w:r>
            <w:r>
              <w:rPr>
                <w:rFonts w:hint="eastAsia" w:ascii="Times New Roman" w:hAnsi="Times New Roman" w:eastAsia="宋体" w:cs="Times New Roman"/>
                <w:color w:val="1331F5"/>
                <w:sz w:val="24"/>
                <w:highlight w:val="none"/>
              </w:rPr>
              <w:t>本项目</w:t>
            </w:r>
            <w:r>
              <w:rPr>
                <w:rFonts w:hint="eastAsia" w:ascii="Times New Roman" w:hAnsi="Times New Roman" w:eastAsia="宋体" w:cs="Times New Roman"/>
                <w:color w:val="1331F5"/>
                <w:sz w:val="24"/>
                <w:highlight w:val="none"/>
                <w:lang w:val="en-US" w:eastAsia="zh-CN"/>
              </w:rPr>
              <w:t>建设</w:t>
            </w:r>
            <w:r>
              <w:rPr>
                <w:rFonts w:hint="eastAsia" w:ascii="Times New Roman" w:hAnsi="Times New Roman" w:eastAsia="宋体" w:cs="Times New Roman"/>
                <w:color w:val="1331F5"/>
                <w:sz w:val="24"/>
                <w:highlight w:val="none"/>
              </w:rPr>
              <w:t>场地</w:t>
            </w:r>
            <w:r>
              <w:rPr>
                <w:rFonts w:hint="eastAsia" w:ascii="Times New Roman" w:hAnsi="Times New Roman" w:eastAsia="宋体" w:cs="Times New Roman"/>
                <w:color w:val="1331F5"/>
                <w:sz w:val="24"/>
                <w:highlight w:val="none"/>
                <w:lang w:val="en-US" w:eastAsia="zh-CN"/>
              </w:rPr>
              <w:t>原</w:t>
            </w:r>
            <w:r>
              <w:rPr>
                <w:rFonts w:hint="eastAsia" w:ascii="Times New Roman" w:hAnsi="Times New Roman" w:eastAsia="宋体" w:cs="Times New Roman"/>
                <w:color w:val="1331F5"/>
                <w:sz w:val="24"/>
                <w:highlight w:val="none"/>
              </w:rPr>
              <w:t>为空地，</w:t>
            </w:r>
            <w:r>
              <w:rPr>
                <w:rFonts w:hint="eastAsia" w:ascii="Times New Roman" w:hAnsi="Times New Roman" w:eastAsia="宋体" w:cs="Times New Roman"/>
                <w:color w:val="1331F5"/>
                <w:sz w:val="24"/>
                <w:highlight w:val="none"/>
                <w:lang w:val="zh-CN"/>
              </w:rPr>
              <w:t>无改造、拆除的工程内容。施工过程中产生的污染物主要为：</w:t>
            </w:r>
            <w:r>
              <w:rPr>
                <w:rFonts w:hint="eastAsia" w:ascii="Times New Roman" w:hAnsi="Times New Roman" w:eastAsia="宋体" w:cs="Times New Roman"/>
                <w:color w:val="1331F5"/>
                <w:sz w:val="24"/>
                <w:highlight w:val="none"/>
              </w:rPr>
              <w:t>场地平整、</w:t>
            </w:r>
            <w:r>
              <w:rPr>
                <w:rFonts w:ascii="Times New Roman" w:hAnsi="Times New Roman" w:eastAsia="宋体" w:cs="Times New Roman"/>
                <w:color w:val="1331F5"/>
                <w:sz w:val="24"/>
                <w:highlight w:val="none"/>
              </w:rPr>
              <w:t>基础工程及主体工程施工</w:t>
            </w:r>
            <w:r>
              <w:rPr>
                <w:rFonts w:hint="eastAsia" w:ascii="Times New Roman" w:hAnsi="Times New Roman" w:eastAsia="宋体" w:cs="Times New Roman"/>
                <w:color w:val="1331F5"/>
                <w:sz w:val="24"/>
                <w:highlight w:val="none"/>
                <w:lang w:val="zh-CN"/>
              </w:rPr>
              <w:t>等过程产生的施工扬尘和车辆尾气；施工</w:t>
            </w:r>
            <w:r>
              <w:rPr>
                <w:rFonts w:hint="eastAsia" w:ascii="Times New Roman" w:hAnsi="Times New Roman" w:eastAsia="宋体" w:cs="Times New Roman"/>
                <w:color w:val="1331F5"/>
                <w:sz w:val="24"/>
                <w:highlight w:val="none"/>
              </w:rPr>
              <w:t>噪声、</w:t>
            </w:r>
            <w:r>
              <w:rPr>
                <w:rFonts w:hint="eastAsia" w:ascii="Times New Roman" w:hAnsi="Times New Roman" w:eastAsia="宋体" w:cs="Times New Roman"/>
                <w:color w:val="1331F5"/>
                <w:sz w:val="24"/>
                <w:highlight w:val="none"/>
                <w:lang w:val="zh-CN"/>
              </w:rPr>
              <w:t>机械</w:t>
            </w:r>
            <w:r>
              <w:rPr>
                <w:rFonts w:hint="eastAsia" w:ascii="Times New Roman" w:hAnsi="Times New Roman" w:eastAsia="宋体" w:cs="Times New Roman"/>
                <w:color w:val="1331F5"/>
                <w:sz w:val="24"/>
                <w:highlight w:val="none"/>
              </w:rPr>
              <w:t>设备噪声</w:t>
            </w:r>
            <w:r>
              <w:rPr>
                <w:rFonts w:hint="eastAsia" w:ascii="Times New Roman" w:hAnsi="Times New Roman" w:eastAsia="宋体" w:cs="Times New Roman"/>
                <w:color w:val="1331F5"/>
                <w:sz w:val="24"/>
                <w:highlight w:val="none"/>
                <w:lang w:val="zh-CN"/>
              </w:rPr>
              <w:t>及运输车辆产生的噪声；施工废水；建筑施工垃圾及施工人员生活垃圾等。</w:t>
            </w:r>
          </w:p>
          <w:p w14:paraId="6BF2DDF7">
            <w:pPr>
              <w:wordWrap w:val="0"/>
              <w:topLinePunct/>
              <w:snapToGrid w:val="0"/>
              <w:spacing w:line="360" w:lineRule="auto"/>
              <w:ind w:firstLine="480" w:firstLineChars="200"/>
              <w:rPr>
                <w:rFonts w:hint="default" w:ascii="Times New Roman" w:hAnsi="Times New Roman" w:eastAsia="宋体" w:cs="Times New Roman"/>
                <w:color w:val="1331F5"/>
                <w:sz w:val="24"/>
                <w:highlight w:val="none"/>
                <w:lang w:val="en-US" w:eastAsia="zh-CN"/>
              </w:rPr>
            </w:pPr>
            <w:r>
              <w:rPr>
                <w:rFonts w:hint="eastAsia" w:ascii="Times New Roman" w:hAnsi="Times New Roman" w:eastAsia="宋体" w:cs="Times New Roman"/>
                <w:color w:val="1331F5"/>
                <w:sz w:val="24"/>
                <w:highlight w:val="none"/>
                <w:lang w:val="zh-CN"/>
              </w:rPr>
              <w:t>经现场踏勘</w:t>
            </w:r>
            <w:r>
              <w:rPr>
                <w:rFonts w:hint="eastAsia" w:ascii="Times New Roman" w:hAnsi="Times New Roman" w:eastAsia="宋体" w:cs="Times New Roman"/>
                <w:color w:val="1331F5"/>
                <w:sz w:val="24"/>
                <w:highlight w:val="none"/>
                <w:lang w:val="en-US" w:eastAsia="zh-CN"/>
              </w:rPr>
              <w:t>及调查</w:t>
            </w:r>
            <w:r>
              <w:rPr>
                <w:rFonts w:hint="eastAsia" w:ascii="Times New Roman" w:hAnsi="Times New Roman" w:eastAsia="宋体" w:cs="Times New Roman"/>
                <w:color w:val="1331F5"/>
                <w:sz w:val="24"/>
                <w:highlight w:val="none"/>
                <w:lang w:val="zh-CN"/>
              </w:rPr>
              <w:t>，</w:t>
            </w:r>
            <w:r>
              <w:rPr>
                <w:rFonts w:hint="eastAsia" w:ascii="Times New Roman" w:hAnsi="Times New Roman" w:eastAsia="宋体" w:cs="Times New Roman"/>
                <w:color w:val="1331F5"/>
                <w:sz w:val="24"/>
                <w:highlight w:val="none"/>
                <w:lang w:val="en-US" w:eastAsia="zh-CN"/>
              </w:rPr>
              <w:t>本项目</w:t>
            </w:r>
            <w:r>
              <w:rPr>
                <w:rFonts w:hint="eastAsia" w:ascii="Times New Roman" w:hAnsi="Times New Roman" w:eastAsia="宋体" w:cs="Times New Roman"/>
                <w:color w:val="1331F5"/>
                <w:sz w:val="24"/>
                <w:highlight w:val="none"/>
                <w:lang w:val="zh-CN"/>
              </w:rPr>
              <w:t>施工期较短，施工范围局限于厂区内部，施工期各类污染物均得到合理处置，施工期环境影响随施工结束而</w:t>
            </w:r>
            <w:r>
              <w:rPr>
                <w:rFonts w:hint="eastAsia" w:ascii="Times New Roman" w:hAnsi="Times New Roman" w:eastAsia="宋体" w:cs="Times New Roman"/>
                <w:color w:val="1331F5"/>
                <w:sz w:val="24"/>
                <w:highlight w:val="none"/>
                <w:lang w:val="en-US" w:eastAsia="zh-CN"/>
              </w:rPr>
              <w:t>结束</w:t>
            </w:r>
            <w:r>
              <w:rPr>
                <w:rFonts w:hint="eastAsia" w:ascii="Times New Roman" w:hAnsi="Times New Roman" w:eastAsia="宋体" w:cs="Times New Roman"/>
                <w:color w:val="1331F5"/>
                <w:sz w:val="24"/>
                <w:highlight w:val="none"/>
                <w:lang w:val="zh-CN"/>
              </w:rPr>
              <w:t>。</w:t>
            </w:r>
            <w:r>
              <w:rPr>
                <w:rFonts w:hint="eastAsia" w:ascii="Times New Roman" w:hAnsi="Times New Roman" w:eastAsia="宋体" w:cs="Times New Roman"/>
                <w:color w:val="1331F5"/>
                <w:sz w:val="24"/>
                <w:highlight w:val="none"/>
                <w:lang w:val="en-US" w:eastAsia="zh-CN"/>
              </w:rPr>
              <w:t>本项目现场</w:t>
            </w:r>
            <w:r>
              <w:rPr>
                <w:rFonts w:hint="eastAsia" w:ascii="Times New Roman" w:hAnsi="Times New Roman" w:eastAsia="宋体" w:cs="Times New Roman"/>
                <w:color w:val="1331F5"/>
                <w:sz w:val="24"/>
                <w:highlight w:val="none"/>
                <w:lang w:val="zh-CN"/>
              </w:rPr>
              <w:t>未发现因施工期遗留的环境问题，无环境信访投诉记录；</w:t>
            </w:r>
            <w:r>
              <w:rPr>
                <w:rFonts w:hint="eastAsia" w:ascii="Times New Roman" w:hAnsi="Times New Roman" w:eastAsia="宋体" w:cs="Times New Roman"/>
                <w:color w:val="1331F5"/>
                <w:sz w:val="24"/>
                <w:highlight w:val="none"/>
                <w:lang w:val="en-US" w:eastAsia="zh-CN"/>
              </w:rPr>
              <w:t>根据张掖市生态环境局出具的《张掖市生态环境局不予行政处罚决定书》（张环（临）不罚【2026】4号）载明：“甘肃聚联新型材料有限公司（即本项目主体建设单位）未批先建行为属于违法行为轻微并及时改正，没有造成危害后果”。</w:t>
            </w:r>
          </w:p>
          <w:p w14:paraId="55F58377">
            <w:pPr>
              <w:wordWrap w:val="0"/>
              <w:topLinePunct/>
              <w:snapToGrid w:val="0"/>
              <w:spacing w:line="360" w:lineRule="auto"/>
              <w:ind w:firstLine="482" w:firstLineChars="200"/>
              <w:jc w:val="both"/>
              <w:rPr>
                <w:rFonts w:hint="eastAsia" w:ascii="Times New Roman" w:hAnsi="Times New Roman" w:eastAsia="宋体" w:cs="Times New Roman"/>
                <w:b/>
                <w:bCs/>
                <w:color w:val="1331F5"/>
                <w:sz w:val="24"/>
                <w:lang w:val="zh-CN" w:eastAsia="zh-CN"/>
              </w:rPr>
            </w:pPr>
            <w:r>
              <w:rPr>
                <w:rFonts w:hint="eastAsia" w:ascii="Times New Roman" w:hAnsi="Times New Roman" w:eastAsia="宋体" w:cs="Times New Roman"/>
                <w:b/>
                <w:bCs/>
                <w:color w:val="1331F5"/>
                <w:sz w:val="24"/>
                <w:lang w:val="en-US" w:eastAsia="zh-CN"/>
              </w:rPr>
              <w:t>1.2</w:t>
            </w:r>
            <w:r>
              <w:rPr>
                <w:rFonts w:hint="eastAsia" w:ascii="Times New Roman" w:hAnsi="Times New Roman" w:eastAsia="宋体" w:cs="Times New Roman"/>
                <w:b/>
                <w:bCs/>
                <w:color w:val="1331F5"/>
                <w:sz w:val="24"/>
                <w:lang w:val="zh-CN"/>
              </w:rPr>
              <w:t>待建环保工程</w:t>
            </w:r>
            <w:r>
              <w:rPr>
                <w:rFonts w:hint="eastAsia" w:ascii="Times New Roman" w:hAnsi="Times New Roman" w:eastAsia="宋体" w:cs="Times New Roman"/>
                <w:b/>
                <w:bCs/>
                <w:color w:val="1331F5"/>
                <w:sz w:val="24"/>
                <w:lang w:val="en-US" w:eastAsia="zh-CN"/>
              </w:rPr>
              <w:t>施工期</w:t>
            </w:r>
            <w:r>
              <w:rPr>
                <w:rFonts w:hint="eastAsia" w:ascii="Times New Roman" w:hAnsi="Times New Roman" w:eastAsia="宋体" w:cs="Times New Roman"/>
                <w:b/>
                <w:bCs/>
                <w:color w:val="1331F5"/>
                <w:sz w:val="24"/>
                <w:lang w:val="zh-CN" w:eastAsia="zh-CN"/>
              </w:rPr>
              <w:t>环境影响分析及防治措施</w:t>
            </w:r>
          </w:p>
          <w:p w14:paraId="3CFEE735">
            <w:pPr>
              <w:wordWrap w:val="0"/>
              <w:topLinePunct/>
              <w:snapToGrid w:val="0"/>
              <w:spacing w:line="360" w:lineRule="auto"/>
              <w:ind w:firstLine="480" w:firstLineChars="200"/>
              <w:jc w:val="both"/>
              <w:rPr>
                <w:rFonts w:hint="eastAsia" w:ascii="Times New Roman" w:hAnsi="Times New Roman" w:eastAsia="宋体" w:cs="Times New Roman"/>
                <w:color w:val="1331F5"/>
                <w:sz w:val="24"/>
                <w:lang w:val="zh-CN"/>
              </w:rPr>
            </w:pPr>
            <w:r>
              <w:rPr>
                <w:rFonts w:hint="eastAsia" w:ascii="Times New Roman" w:hAnsi="Times New Roman" w:eastAsia="宋体" w:cs="Times New Roman"/>
                <w:color w:val="1331F5"/>
                <w:sz w:val="24"/>
                <w:lang w:val="zh-CN"/>
              </w:rPr>
              <w:t>目前，本项目主体工程均已建成，尚未建设的</w:t>
            </w:r>
            <w:r>
              <w:rPr>
                <w:rFonts w:hint="eastAsia" w:ascii="Times New Roman" w:hAnsi="Times New Roman" w:eastAsia="宋体" w:cs="Times New Roman"/>
                <w:color w:val="1331F5"/>
                <w:sz w:val="24"/>
                <w:lang w:val="en-US" w:eastAsia="zh-CN"/>
              </w:rPr>
              <w:t>工程内容主要为环保工程，</w:t>
            </w:r>
            <w:r>
              <w:rPr>
                <w:rFonts w:hint="eastAsia" w:ascii="Times New Roman" w:hAnsi="Times New Roman" w:eastAsia="宋体" w:cs="Times New Roman"/>
                <w:color w:val="1331F5"/>
                <w:sz w:val="24"/>
                <w:lang w:val="zh-CN"/>
              </w:rPr>
              <w:t>包括：地埋式化粪池，隔油池，</w:t>
            </w:r>
            <w:r>
              <w:rPr>
                <w:rFonts w:hint="eastAsia" w:ascii="Times New Roman" w:hAnsi="Times New Roman" w:eastAsia="宋体" w:cs="Times New Roman"/>
                <w:color w:val="1331F5"/>
                <w:sz w:val="24"/>
                <w:lang w:val="en-US" w:eastAsia="zh-CN"/>
              </w:rPr>
              <w:t>危废贮存点</w:t>
            </w:r>
            <w:r>
              <w:rPr>
                <w:rFonts w:hint="eastAsia" w:ascii="Times New Roman" w:hAnsi="Times New Roman" w:eastAsia="宋体" w:cs="Times New Roman"/>
                <w:color w:val="1331F5"/>
                <w:sz w:val="24"/>
                <w:lang w:val="zh-CN"/>
              </w:rPr>
              <w:t>，一般</w:t>
            </w:r>
            <w:r>
              <w:rPr>
                <w:rFonts w:hint="eastAsia" w:ascii="Times New Roman" w:hAnsi="Times New Roman" w:eastAsia="宋体" w:cs="Times New Roman"/>
                <w:color w:val="1331F5"/>
                <w:sz w:val="24"/>
                <w:lang w:val="en-US" w:eastAsia="zh-CN"/>
              </w:rPr>
              <w:t>工业</w:t>
            </w:r>
            <w:r>
              <w:rPr>
                <w:rFonts w:hint="eastAsia" w:ascii="Times New Roman" w:hAnsi="Times New Roman" w:eastAsia="宋体" w:cs="Times New Roman"/>
                <w:color w:val="1331F5"/>
                <w:sz w:val="24"/>
                <w:lang w:val="zh-CN"/>
              </w:rPr>
              <w:t>固体废物暂存间及</w:t>
            </w:r>
            <w:r>
              <w:rPr>
                <w:rFonts w:hint="eastAsia" w:ascii="Times New Roman" w:hAnsi="Times New Roman" w:eastAsia="宋体" w:cs="Times New Roman"/>
                <w:color w:val="1331F5"/>
                <w:sz w:val="24"/>
                <w:lang w:val="en-US" w:eastAsia="zh-CN"/>
              </w:rPr>
              <w:t>各污染治理设施（如除尘系统、</w:t>
            </w:r>
            <w:r>
              <w:rPr>
                <w:rFonts w:hint="eastAsia" w:ascii="Times New Roman" w:hAnsi="Times New Roman" w:eastAsia="宋体" w:cs="Times New Roman"/>
                <w:color w:val="1331F5"/>
                <w:sz w:val="24"/>
                <w:lang w:val="zh-CN"/>
              </w:rPr>
              <w:t>沥青烟气处理设施</w:t>
            </w:r>
            <w:r>
              <w:rPr>
                <w:rFonts w:hint="eastAsia" w:ascii="Times New Roman" w:hAnsi="Times New Roman" w:eastAsia="宋体" w:cs="Times New Roman"/>
                <w:color w:val="1331F5"/>
                <w:sz w:val="24"/>
                <w:lang w:val="en-US" w:eastAsia="zh-CN"/>
              </w:rPr>
              <w:t>及各排气筒等）</w:t>
            </w:r>
            <w:r>
              <w:rPr>
                <w:rFonts w:hint="eastAsia" w:ascii="Times New Roman" w:hAnsi="Times New Roman" w:eastAsia="宋体" w:cs="Times New Roman"/>
                <w:color w:val="1331F5"/>
                <w:sz w:val="24"/>
                <w:lang w:val="zh-CN"/>
              </w:rPr>
              <w:t>。上述待建环保工程的施工内容主要为</w:t>
            </w:r>
            <w:r>
              <w:rPr>
                <w:rFonts w:hint="eastAsia" w:ascii="Times New Roman" w:hAnsi="Times New Roman" w:eastAsia="宋体" w:cs="Times New Roman"/>
                <w:color w:val="1331F5"/>
                <w:sz w:val="24"/>
                <w:lang w:val="en-US" w:eastAsia="zh-CN"/>
              </w:rPr>
              <w:t>少量</w:t>
            </w:r>
            <w:r>
              <w:rPr>
                <w:rFonts w:hint="eastAsia" w:ascii="Times New Roman" w:hAnsi="Times New Roman" w:eastAsia="宋体" w:cs="Times New Roman"/>
                <w:color w:val="1331F5"/>
                <w:sz w:val="24"/>
                <w:lang w:val="zh-CN"/>
              </w:rPr>
              <w:t>土方开挖、基础浇筑、设备安装及管线连接等，施工量较小，施工周期较短。施工过程中</w:t>
            </w:r>
            <w:r>
              <w:rPr>
                <w:rFonts w:hint="eastAsia" w:ascii="Times New Roman" w:hAnsi="Times New Roman" w:eastAsia="宋体" w:cs="Times New Roman"/>
                <w:color w:val="1331F5"/>
                <w:sz w:val="24"/>
                <w:lang w:val="en-US" w:eastAsia="zh-CN"/>
              </w:rPr>
              <w:t>建设单位</w:t>
            </w:r>
            <w:r>
              <w:rPr>
                <w:rFonts w:hint="eastAsia" w:ascii="Times New Roman" w:hAnsi="Times New Roman" w:eastAsia="宋体" w:cs="Times New Roman"/>
                <w:color w:val="1331F5"/>
                <w:sz w:val="24"/>
                <w:lang w:val="zh-CN"/>
              </w:rPr>
              <w:t>将采取洒水抑尘、合理安排作业时间、施工废水沉淀回用、建筑垃圾分类收集处置等</w:t>
            </w:r>
            <w:r>
              <w:rPr>
                <w:rFonts w:hint="eastAsia" w:ascii="Times New Roman" w:hAnsi="Times New Roman" w:eastAsia="宋体" w:cs="Times New Roman"/>
                <w:color w:val="1331F5"/>
                <w:sz w:val="24"/>
                <w:lang w:val="en-US" w:eastAsia="zh-CN"/>
              </w:rPr>
              <w:t>施工期</w:t>
            </w:r>
            <w:r>
              <w:rPr>
                <w:rFonts w:hint="eastAsia" w:ascii="Times New Roman" w:hAnsi="Times New Roman" w:eastAsia="宋体" w:cs="Times New Roman"/>
                <w:color w:val="1331F5"/>
                <w:sz w:val="24"/>
                <w:lang w:val="zh-CN"/>
              </w:rPr>
              <w:t>污染防治措施，确保施工期环境影响可控。</w:t>
            </w:r>
          </w:p>
          <w:p w14:paraId="6355DE72">
            <w:pPr>
              <w:pStyle w:val="2"/>
              <w:jc w:val="both"/>
              <w:rPr>
                <w:rFonts w:hint="default"/>
                <w:lang w:val="en-US" w:eastAsia="zh-CN"/>
              </w:rPr>
            </w:pPr>
          </w:p>
          <w:p w14:paraId="31180BE6">
            <w:pPr>
              <w:jc w:val="both"/>
            </w:pPr>
          </w:p>
          <w:bookmarkEnd w:id="10"/>
          <w:bookmarkEnd w:id="11"/>
          <w:bookmarkEnd w:id="12"/>
          <w:bookmarkEnd w:id="13"/>
          <w:bookmarkEnd w:id="14"/>
          <w:bookmarkEnd w:id="15"/>
          <w:bookmarkEnd w:id="16"/>
          <w:bookmarkEnd w:id="17"/>
          <w:bookmarkEnd w:id="18"/>
          <w:p w14:paraId="11CEE4F0">
            <w:pPr>
              <w:jc w:val="both"/>
            </w:pPr>
          </w:p>
        </w:tc>
      </w:tr>
    </w:tbl>
    <w:p w14:paraId="0A5976FF">
      <w:pPr>
        <w:adjustRightInd w:val="0"/>
        <w:snapToGrid w:val="0"/>
        <w:jc w:val="center"/>
        <w:rPr>
          <w:b/>
        </w:rPr>
        <w:sectPr>
          <w:pgSz w:w="11907" w:h="16840"/>
          <w:pgMar w:top="1440" w:right="1800" w:bottom="1440" w:left="1800" w:header="851" w:footer="992" w:gutter="0"/>
          <w:pgNumType w:fmt="decimal"/>
          <w:cols w:space="720" w:num="1"/>
          <w:docGrid w:linePitch="312" w:charSpace="0"/>
        </w:sectPr>
      </w:pPr>
    </w:p>
    <w:tbl>
      <w:tblPr>
        <w:tblStyle w:val="2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57"/>
        <w:gridCol w:w="13383"/>
      </w:tblGrid>
      <w:tr w14:paraId="3E5DB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780" w:hRule="atLeast"/>
          <w:jc w:val="center"/>
        </w:trPr>
        <w:tc>
          <w:tcPr>
            <w:tcW w:w="557" w:type="dxa"/>
            <w:tcBorders>
              <w:tl2br w:val="nil"/>
              <w:tr2bl w:val="nil"/>
            </w:tcBorders>
            <w:vAlign w:val="center"/>
          </w:tcPr>
          <w:p w14:paraId="2536B90E">
            <w:pPr>
              <w:pStyle w:val="25"/>
              <w:adjustRightInd w:val="0"/>
              <w:snapToGrid w:val="0"/>
              <w:spacing w:beforeAutospacing="0" w:afterAutospacing="0"/>
              <w:jc w:val="center"/>
              <w:rPr>
                <w:rFonts w:hint="default" w:eastAsia="仿宋"/>
                <w:b/>
                <w:bCs/>
              </w:rPr>
            </w:pPr>
            <w:r>
              <w:rPr>
                <w:rFonts w:hint="default" w:cs="宋体"/>
                <w:b/>
                <w:bCs/>
                <w:kern w:val="2"/>
                <w:szCs w:val="24"/>
              </w:rPr>
              <w:t>运营期环境影响和保护措施</w:t>
            </w:r>
          </w:p>
        </w:tc>
        <w:tc>
          <w:tcPr>
            <w:tcW w:w="13383" w:type="dxa"/>
            <w:tcBorders>
              <w:tl2br w:val="nil"/>
              <w:tr2bl w:val="nil"/>
            </w:tcBorders>
          </w:tcPr>
          <w:p w14:paraId="3F660C34">
            <w:pPr>
              <w:pStyle w:val="4"/>
              <w:keepNext w:val="0"/>
              <w:keepLines w:val="0"/>
              <w:wordWrap w:val="0"/>
              <w:topLinePunct/>
              <w:ind w:firstLine="0" w:firstLineChars="0"/>
              <w:rPr>
                <w:rFonts w:ascii="Times New Roman" w:hAnsi="Times New Roman" w:cs="Times New Roman"/>
                <w:bCs/>
                <w:spacing w:val="0"/>
                <w:w w:val="100"/>
                <w:szCs w:val="24"/>
              </w:rPr>
            </w:pPr>
            <w:r>
              <w:rPr>
                <w:rFonts w:hint="eastAsia" w:ascii="Times New Roman" w:hAnsi="Times New Roman" w:cs="Times New Roman"/>
                <w:bCs/>
                <w:spacing w:val="0"/>
                <w:w w:val="100"/>
                <w:szCs w:val="24"/>
              </w:rPr>
              <w:t>2运营期大气环境影响分析及污染防治措施</w:t>
            </w:r>
          </w:p>
          <w:p w14:paraId="48EEF09F">
            <w:pPr>
              <w:pStyle w:val="4"/>
              <w:keepNext w:val="0"/>
              <w:keepLines w:val="0"/>
              <w:wordWrap w:val="0"/>
              <w:topLinePunct/>
              <w:ind w:firstLine="482"/>
              <w:rPr>
                <w:rFonts w:ascii="Times New Roman" w:hAnsi="Times New Roman" w:cs="Times New Roman"/>
                <w:bCs/>
                <w:spacing w:val="0"/>
                <w:w w:val="100"/>
                <w:szCs w:val="24"/>
              </w:rPr>
            </w:pPr>
            <w:r>
              <w:rPr>
                <w:rFonts w:hint="eastAsia" w:ascii="Times New Roman" w:hAnsi="Times New Roman" w:cs="Times New Roman"/>
                <w:bCs/>
                <w:spacing w:val="0"/>
                <w:w w:val="100"/>
                <w:szCs w:val="24"/>
              </w:rPr>
              <w:t>2.1大气污染物排放情况</w:t>
            </w:r>
          </w:p>
          <w:p w14:paraId="1191D36A">
            <w:pPr>
              <w:pStyle w:val="123"/>
              <w:spacing w:line="400" w:lineRule="exact"/>
              <w:ind w:firstLine="482"/>
              <w:rPr>
                <w:rFonts w:ascii="Times New Roman" w:hAnsi="Times New Roman" w:eastAsia="宋体" w:cs="宋体-PUA"/>
                <w:b/>
                <w:sz w:val="24"/>
                <w:szCs w:val="24"/>
                <w:shd w:val="clear" w:color="auto" w:fill="FFFFFF"/>
              </w:rPr>
            </w:pPr>
            <w:r>
              <w:rPr>
                <w:rFonts w:hint="eastAsia" w:ascii="Times New Roman" w:hAnsi="Times New Roman" w:eastAsia="宋体" w:cs="宋体-PUA"/>
                <w:b/>
                <w:sz w:val="24"/>
                <w:szCs w:val="24"/>
                <w:shd w:val="clear" w:color="auto" w:fill="FFFFFF"/>
              </w:rPr>
              <w:t>表4-1 正常工况下废气污染物产生及排放情况汇总表</w:t>
            </w:r>
          </w:p>
          <w:tbl>
            <w:tblPr>
              <w:tblStyle w:val="28"/>
              <w:tblW w:w="50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
              <w:gridCol w:w="281"/>
              <w:gridCol w:w="270"/>
              <w:gridCol w:w="708"/>
              <w:gridCol w:w="476"/>
              <w:gridCol w:w="658"/>
              <w:gridCol w:w="771"/>
              <w:gridCol w:w="800"/>
              <w:gridCol w:w="1940"/>
              <w:gridCol w:w="544"/>
              <w:gridCol w:w="697"/>
              <w:gridCol w:w="734"/>
              <w:gridCol w:w="521"/>
              <w:gridCol w:w="617"/>
              <w:gridCol w:w="594"/>
              <w:gridCol w:w="799"/>
              <w:gridCol w:w="530"/>
              <w:gridCol w:w="646"/>
              <w:gridCol w:w="947"/>
              <w:gridCol w:w="354"/>
            </w:tblGrid>
            <w:tr w14:paraId="0C94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5" w:type="pct"/>
                  <w:vMerge w:val="restart"/>
                  <w:tcBorders>
                    <w:tl2br w:val="nil"/>
                    <w:tr2bl w:val="nil"/>
                  </w:tcBorders>
                  <w:tcMar>
                    <w:top w:w="0" w:type="dxa"/>
                    <w:left w:w="28" w:type="dxa"/>
                    <w:bottom w:w="0" w:type="dxa"/>
                    <w:right w:w="28" w:type="dxa"/>
                  </w:tcMar>
                  <w:vAlign w:val="center"/>
                </w:tcPr>
                <w:p w14:paraId="22684035">
                  <w:pPr>
                    <w:jc w:val="center"/>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序号</w:t>
                  </w:r>
                </w:p>
              </w:tc>
              <w:tc>
                <w:tcPr>
                  <w:tcW w:w="208" w:type="pct"/>
                  <w:gridSpan w:val="2"/>
                  <w:vMerge w:val="restart"/>
                  <w:tcBorders>
                    <w:tl2br w:val="nil"/>
                    <w:tr2bl w:val="nil"/>
                  </w:tcBorders>
                  <w:tcMar>
                    <w:top w:w="0" w:type="dxa"/>
                    <w:left w:w="28" w:type="dxa"/>
                    <w:bottom w:w="0" w:type="dxa"/>
                    <w:right w:w="28" w:type="dxa"/>
                  </w:tcMar>
                  <w:vAlign w:val="center"/>
                </w:tcPr>
                <w:p w14:paraId="1473FBA9">
                  <w:pPr>
                    <w:jc w:val="center"/>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产污环节</w:t>
                  </w:r>
                </w:p>
              </w:tc>
              <w:tc>
                <w:tcPr>
                  <w:tcW w:w="268" w:type="pct"/>
                  <w:vMerge w:val="restart"/>
                  <w:tcBorders>
                    <w:tl2br w:val="nil"/>
                    <w:tr2bl w:val="nil"/>
                  </w:tcBorders>
                  <w:tcMar>
                    <w:top w:w="0" w:type="dxa"/>
                    <w:left w:w="28" w:type="dxa"/>
                    <w:bottom w:w="0" w:type="dxa"/>
                    <w:right w:w="28" w:type="dxa"/>
                  </w:tcMar>
                  <w:vAlign w:val="center"/>
                </w:tcPr>
                <w:p w14:paraId="408A4408">
                  <w:pPr>
                    <w:jc w:val="center"/>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污染物种类</w:t>
                  </w:r>
                </w:p>
              </w:tc>
              <w:tc>
                <w:tcPr>
                  <w:tcW w:w="180" w:type="pct"/>
                  <w:vMerge w:val="restart"/>
                  <w:tcBorders>
                    <w:tl2br w:val="nil"/>
                    <w:tr2bl w:val="nil"/>
                  </w:tcBorders>
                  <w:tcMar>
                    <w:top w:w="0" w:type="dxa"/>
                    <w:left w:w="28" w:type="dxa"/>
                    <w:bottom w:w="0" w:type="dxa"/>
                    <w:right w:w="28" w:type="dxa"/>
                  </w:tcMar>
                  <w:vAlign w:val="center"/>
                </w:tcPr>
                <w:p w14:paraId="1360C53E">
                  <w:pPr>
                    <w:jc w:val="center"/>
                    <w:rPr>
                      <w:rFonts w:ascii="Times New Roman" w:hAnsi="Times New Roman" w:eastAsia="宋体" w:cs="Times New Roman"/>
                      <w:b/>
                      <w:bCs/>
                      <w:color w:val="000000"/>
                      <w:szCs w:val="21"/>
                    </w:rPr>
                  </w:pPr>
                  <w:r>
                    <w:rPr>
                      <w:rFonts w:hint="eastAsia" w:ascii="Times New Roman" w:hAnsi="Times New Roman" w:eastAsia="宋体" w:cs="Times New Roman"/>
                      <w:b/>
                      <w:bCs/>
                      <w:color w:val="000000"/>
                      <w:szCs w:val="21"/>
                    </w:rPr>
                    <w:t>排放</w:t>
                  </w:r>
                </w:p>
                <w:p w14:paraId="027BA94E">
                  <w:pPr>
                    <w:jc w:val="center"/>
                    <w:rPr>
                      <w:rFonts w:ascii="Times New Roman" w:hAnsi="Times New Roman" w:eastAsia="宋体" w:cs="Times New Roman"/>
                      <w:b/>
                      <w:bCs/>
                      <w:color w:val="000000"/>
                      <w:szCs w:val="21"/>
                    </w:rPr>
                  </w:pPr>
                  <w:r>
                    <w:rPr>
                      <w:rFonts w:hint="eastAsia" w:ascii="Times New Roman" w:hAnsi="Times New Roman" w:eastAsia="宋体" w:cs="Times New Roman"/>
                      <w:b/>
                      <w:bCs/>
                      <w:color w:val="000000"/>
                      <w:szCs w:val="21"/>
                    </w:rPr>
                    <w:t>形式</w:t>
                  </w:r>
                </w:p>
              </w:tc>
              <w:tc>
                <w:tcPr>
                  <w:tcW w:w="844" w:type="pct"/>
                  <w:gridSpan w:val="3"/>
                  <w:tcBorders>
                    <w:tl2br w:val="nil"/>
                    <w:tr2bl w:val="nil"/>
                  </w:tcBorders>
                  <w:tcMar>
                    <w:top w:w="0" w:type="dxa"/>
                    <w:left w:w="28" w:type="dxa"/>
                    <w:bottom w:w="0" w:type="dxa"/>
                    <w:right w:w="28" w:type="dxa"/>
                  </w:tcMar>
                  <w:vAlign w:val="center"/>
                </w:tcPr>
                <w:p w14:paraId="5D1AB747">
                  <w:pPr>
                    <w:jc w:val="center"/>
                    <w:rPr>
                      <w:rFonts w:ascii="Times New Roman" w:hAnsi="Times New Roman" w:eastAsia="宋体" w:cs="Times New Roman"/>
                      <w:b/>
                      <w:bCs/>
                      <w:color w:val="000000"/>
                      <w:szCs w:val="21"/>
                    </w:rPr>
                  </w:pPr>
                  <w:r>
                    <w:rPr>
                      <w:rFonts w:hint="eastAsia" w:ascii="Times New Roman" w:hAnsi="Times New Roman" w:eastAsia="宋体" w:cs="Times New Roman"/>
                      <w:b/>
                      <w:bCs/>
                      <w:color w:val="000000"/>
                      <w:szCs w:val="21"/>
                    </w:rPr>
                    <w:t>产生情况</w:t>
                  </w:r>
                </w:p>
              </w:tc>
              <w:tc>
                <w:tcPr>
                  <w:tcW w:w="1679" w:type="pct"/>
                  <w:gridSpan w:val="5"/>
                  <w:tcBorders>
                    <w:tl2br w:val="nil"/>
                    <w:tr2bl w:val="nil"/>
                  </w:tcBorders>
                  <w:tcMar>
                    <w:top w:w="0" w:type="dxa"/>
                    <w:left w:w="28" w:type="dxa"/>
                    <w:bottom w:w="0" w:type="dxa"/>
                    <w:right w:w="28" w:type="dxa"/>
                  </w:tcMar>
                  <w:vAlign w:val="center"/>
                </w:tcPr>
                <w:p w14:paraId="64F6037F">
                  <w:pPr>
                    <w:jc w:val="center"/>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主要污染防治措施</w:t>
                  </w:r>
                </w:p>
              </w:tc>
              <w:tc>
                <w:tcPr>
                  <w:tcW w:w="762" w:type="pct"/>
                  <w:gridSpan w:val="3"/>
                  <w:tcBorders>
                    <w:tl2br w:val="nil"/>
                    <w:tr2bl w:val="nil"/>
                  </w:tcBorders>
                  <w:tcMar>
                    <w:top w:w="0" w:type="dxa"/>
                    <w:left w:w="28" w:type="dxa"/>
                    <w:bottom w:w="0" w:type="dxa"/>
                    <w:right w:w="28" w:type="dxa"/>
                  </w:tcMar>
                  <w:vAlign w:val="center"/>
                </w:tcPr>
                <w:p w14:paraId="4CF114C6">
                  <w:pPr>
                    <w:jc w:val="center"/>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排放情况</w:t>
                  </w:r>
                </w:p>
              </w:tc>
              <w:tc>
                <w:tcPr>
                  <w:tcW w:w="201" w:type="pct"/>
                  <w:vMerge w:val="restart"/>
                  <w:tcBorders>
                    <w:tl2br w:val="nil"/>
                    <w:tr2bl w:val="nil"/>
                  </w:tcBorders>
                  <w:tcMar>
                    <w:top w:w="0" w:type="dxa"/>
                    <w:left w:w="28" w:type="dxa"/>
                    <w:bottom w:w="0" w:type="dxa"/>
                    <w:right w:w="28" w:type="dxa"/>
                  </w:tcMar>
                  <w:vAlign w:val="center"/>
                </w:tcPr>
                <w:p w14:paraId="57B6D083">
                  <w:pPr>
                    <w:jc w:val="center"/>
                    <w:rPr>
                      <w:rFonts w:ascii="Times New Roman" w:hAnsi="Times New Roman" w:eastAsia="宋体" w:cs="Times New Roman"/>
                      <w:b/>
                      <w:bCs/>
                      <w:color w:val="000000"/>
                      <w:szCs w:val="21"/>
                    </w:rPr>
                  </w:pPr>
                  <w:r>
                    <w:rPr>
                      <w:rFonts w:hint="eastAsia" w:ascii="Times New Roman" w:hAnsi="Times New Roman" w:eastAsia="宋体" w:cs="Times New Roman"/>
                      <w:b/>
                      <w:bCs/>
                      <w:color w:val="000000"/>
                      <w:szCs w:val="21"/>
                    </w:rPr>
                    <w:t>运行小时数h</w:t>
                  </w:r>
                </w:p>
              </w:tc>
              <w:tc>
                <w:tcPr>
                  <w:tcW w:w="604" w:type="pct"/>
                  <w:gridSpan w:val="2"/>
                  <w:vMerge w:val="restart"/>
                  <w:tcBorders>
                    <w:tl2br w:val="nil"/>
                    <w:tr2bl w:val="nil"/>
                  </w:tcBorders>
                  <w:tcMar>
                    <w:top w:w="0" w:type="dxa"/>
                    <w:left w:w="28" w:type="dxa"/>
                    <w:bottom w:w="0" w:type="dxa"/>
                    <w:right w:w="28" w:type="dxa"/>
                  </w:tcMar>
                  <w:vAlign w:val="center"/>
                </w:tcPr>
                <w:p w14:paraId="1B6A109A">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国家或地方污染物排放标准</w:t>
                  </w:r>
                </w:p>
              </w:tc>
              <w:tc>
                <w:tcPr>
                  <w:tcW w:w="134" w:type="pct"/>
                  <w:vMerge w:val="restart"/>
                  <w:tcBorders>
                    <w:tl2br w:val="nil"/>
                    <w:tr2bl w:val="nil"/>
                  </w:tcBorders>
                  <w:tcMar>
                    <w:top w:w="0" w:type="dxa"/>
                    <w:left w:w="28" w:type="dxa"/>
                    <w:bottom w:w="0" w:type="dxa"/>
                    <w:right w:w="28" w:type="dxa"/>
                  </w:tcMar>
                  <w:vAlign w:val="center"/>
                </w:tcPr>
                <w:p w14:paraId="4F0BA3B5">
                  <w:pPr>
                    <w:jc w:val="center"/>
                    <w:rPr>
                      <w:rFonts w:ascii="Times New Roman" w:hAnsi="Times New Roman" w:eastAsia="宋体" w:cs="Times New Roman"/>
                      <w:b/>
                      <w:bCs/>
                      <w:color w:val="000000"/>
                      <w:szCs w:val="21"/>
                    </w:rPr>
                  </w:pPr>
                  <w:r>
                    <w:rPr>
                      <w:rFonts w:hint="eastAsia" w:ascii="Times New Roman" w:hAnsi="Times New Roman" w:eastAsia="宋体" w:cs="Times New Roman"/>
                      <w:b/>
                      <w:bCs/>
                      <w:color w:val="000000"/>
                      <w:szCs w:val="21"/>
                    </w:rPr>
                    <w:t>预测达标情况</w:t>
                  </w:r>
                </w:p>
              </w:tc>
            </w:tr>
            <w:tr w14:paraId="718B1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15" w:type="pct"/>
                  <w:vMerge w:val="continue"/>
                  <w:tcBorders>
                    <w:tl2br w:val="nil"/>
                    <w:tr2bl w:val="nil"/>
                  </w:tcBorders>
                  <w:tcMar>
                    <w:top w:w="0" w:type="dxa"/>
                    <w:left w:w="28" w:type="dxa"/>
                    <w:bottom w:w="0" w:type="dxa"/>
                    <w:right w:w="28" w:type="dxa"/>
                  </w:tcMar>
                  <w:vAlign w:val="center"/>
                </w:tcPr>
                <w:p w14:paraId="2F6902BE">
                  <w:pPr>
                    <w:jc w:val="center"/>
                    <w:rPr>
                      <w:rFonts w:ascii="Times New Roman" w:hAnsi="Times New Roman" w:eastAsia="宋体" w:cs="Times New Roman"/>
                      <w:color w:val="000000"/>
                      <w:szCs w:val="21"/>
                    </w:rPr>
                  </w:pPr>
                </w:p>
              </w:tc>
              <w:tc>
                <w:tcPr>
                  <w:tcW w:w="208" w:type="pct"/>
                  <w:gridSpan w:val="2"/>
                  <w:vMerge w:val="continue"/>
                  <w:tcBorders>
                    <w:tl2br w:val="nil"/>
                    <w:tr2bl w:val="nil"/>
                  </w:tcBorders>
                  <w:tcMar>
                    <w:top w:w="0" w:type="dxa"/>
                    <w:left w:w="28" w:type="dxa"/>
                    <w:bottom w:w="0" w:type="dxa"/>
                    <w:right w:w="28" w:type="dxa"/>
                  </w:tcMar>
                  <w:vAlign w:val="center"/>
                </w:tcPr>
                <w:p w14:paraId="6A9AF1F6">
                  <w:pPr>
                    <w:jc w:val="center"/>
                    <w:rPr>
                      <w:rFonts w:ascii="Times New Roman" w:hAnsi="Times New Roman" w:eastAsia="宋体" w:cs="Times New Roman"/>
                      <w:color w:val="000000"/>
                      <w:szCs w:val="21"/>
                    </w:rPr>
                  </w:pPr>
                </w:p>
              </w:tc>
              <w:tc>
                <w:tcPr>
                  <w:tcW w:w="268" w:type="pct"/>
                  <w:vMerge w:val="continue"/>
                  <w:tcBorders>
                    <w:tl2br w:val="nil"/>
                    <w:tr2bl w:val="nil"/>
                  </w:tcBorders>
                  <w:tcMar>
                    <w:top w:w="0" w:type="dxa"/>
                    <w:left w:w="28" w:type="dxa"/>
                    <w:bottom w:w="0" w:type="dxa"/>
                    <w:right w:w="28" w:type="dxa"/>
                  </w:tcMar>
                  <w:vAlign w:val="center"/>
                </w:tcPr>
                <w:p w14:paraId="55415A62">
                  <w:pPr>
                    <w:jc w:val="center"/>
                    <w:rPr>
                      <w:rFonts w:ascii="Times New Roman" w:hAnsi="Times New Roman" w:eastAsia="宋体" w:cs="Times New Roman"/>
                      <w:color w:val="000000"/>
                      <w:szCs w:val="21"/>
                    </w:rPr>
                  </w:pPr>
                </w:p>
              </w:tc>
              <w:tc>
                <w:tcPr>
                  <w:tcW w:w="180" w:type="pct"/>
                  <w:vMerge w:val="continue"/>
                  <w:tcBorders>
                    <w:tl2br w:val="nil"/>
                    <w:tr2bl w:val="nil"/>
                  </w:tcBorders>
                  <w:tcMar>
                    <w:top w:w="0" w:type="dxa"/>
                    <w:left w:w="28" w:type="dxa"/>
                    <w:bottom w:w="0" w:type="dxa"/>
                    <w:right w:w="28" w:type="dxa"/>
                  </w:tcMar>
                  <w:vAlign w:val="center"/>
                </w:tcPr>
                <w:p w14:paraId="473550A5">
                  <w:pPr>
                    <w:jc w:val="center"/>
                    <w:rPr>
                      <w:rFonts w:ascii="Times New Roman" w:hAnsi="Times New Roman" w:eastAsia="宋体" w:cs="Times New Roman"/>
                      <w:b/>
                      <w:bCs/>
                      <w:color w:val="000000"/>
                      <w:szCs w:val="21"/>
                    </w:rPr>
                  </w:pPr>
                </w:p>
              </w:tc>
              <w:tc>
                <w:tcPr>
                  <w:tcW w:w="249" w:type="pct"/>
                  <w:vMerge w:val="restart"/>
                  <w:tcBorders>
                    <w:tl2br w:val="nil"/>
                    <w:tr2bl w:val="nil"/>
                  </w:tcBorders>
                  <w:tcMar>
                    <w:top w:w="0" w:type="dxa"/>
                    <w:left w:w="28" w:type="dxa"/>
                    <w:bottom w:w="0" w:type="dxa"/>
                    <w:right w:w="28" w:type="dxa"/>
                  </w:tcMar>
                  <w:vAlign w:val="center"/>
                </w:tcPr>
                <w:p w14:paraId="6363AB1F">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产生量</w:t>
                  </w:r>
                </w:p>
                <w:p w14:paraId="01A8B4A9">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(t/a)</w:t>
                  </w:r>
                </w:p>
              </w:tc>
              <w:tc>
                <w:tcPr>
                  <w:tcW w:w="292" w:type="pct"/>
                  <w:vMerge w:val="restart"/>
                  <w:tcBorders>
                    <w:tl2br w:val="nil"/>
                    <w:tr2bl w:val="nil"/>
                  </w:tcBorders>
                  <w:tcMar>
                    <w:top w:w="0" w:type="dxa"/>
                    <w:left w:w="28" w:type="dxa"/>
                    <w:bottom w:w="0" w:type="dxa"/>
                    <w:right w:w="28" w:type="dxa"/>
                  </w:tcMar>
                  <w:vAlign w:val="center"/>
                </w:tcPr>
                <w:p w14:paraId="40275631">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产生</w:t>
                  </w:r>
                </w:p>
                <w:p w14:paraId="40226261">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速率(kg/h)</w:t>
                  </w:r>
                </w:p>
              </w:tc>
              <w:tc>
                <w:tcPr>
                  <w:tcW w:w="302" w:type="pct"/>
                  <w:vMerge w:val="restart"/>
                  <w:tcBorders>
                    <w:tl2br w:val="nil"/>
                    <w:tr2bl w:val="nil"/>
                  </w:tcBorders>
                  <w:tcMar>
                    <w:top w:w="0" w:type="dxa"/>
                    <w:left w:w="28" w:type="dxa"/>
                    <w:bottom w:w="0" w:type="dxa"/>
                    <w:right w:w="28" w:type="dxa"/>
                  </w:tcMar>
                  <w:vAlign w:val="center"/>
                </w:tcPr>
                <w:p w14:paraId="0224FA9C">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产生</w:t>
                  </w:r>
                </w:p>
                <w:p w14:paraId="5FAEDE34">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浓度(mg/m</w:t>
                  </w:r>
                  <w:r>
                    <w:rPr>
                      <w:rFonts w:ascii="Times New Roman" w:hAnsi="Times New Roman" w:eastAsia="宋体" w:cs="Times New Roman"/>
                      <w:b/>
                      <w:bCs/>
                      <w:color w:val="000000"/>
                      <w:szCs w:val="21"/>
                      <w:vertAlign w:val="superscript"/>
                    </w:rPr>
                    <w:t>3</w:t>
                  </w:r>
                  <w:r>
                    <w:rPr>
                      <w:rFonts w:ascii="Times New Roman" w:hAnsi="Times New Roman" w:eastAsia="宋体" w:cs="Times New Roman"/>
                      <w:b/>
                      <w:bCs/>
                      <w:color w:val="000000"/>
                      <w:szCs w:val="21"/>
                    </w:rPr>
                    <w:t>)</w:t>
                  </w:r>
                </w:p>
              </w:tc>
              <w:tc>
                <w:tcPr>
                  <w:tcW w:w="734" w:type="pct"/>
                  <w:vMerge w:val="restart"/>
                  <w:tcBorders>
                    <w:tl2br w:val="nil"/>
                    <w:tr2bl w:val="nil"/>
                  </w:tcBorders>
                  <w:tcMar>
                    <w:top w:w="0" w:type="dxa"/>
                    <w:left w:w="28" w:type="dxa"/>
                    <w:bottom w:w="0" w:type="dxa"/>
                    <w:right w:w="28" w:type="dxa"/>
                  </w:tcMar>
                  <w:vAlign w:val="center"/>
                </w:tcPr>
                <w:p w14:paraId="528F5F30">
                  <w:pPr>
                    <w:jc w:val="center"/>
                    <w:rPr>
                      <w:rFonts w:ascii="Times New Roman" w:hAnsi="Times New Roman" w:eastAsia="宋体" w:cs="Times New Roman"/>
                      <w:b/>
                      <w:bCs/>
                      <w:color w:val="000000"/>
                      <w:szCs w:val="21"/>
                    </w:rPr>
                  </w:pPr>
                  <w:r>
                    <w:rPr>
                      <w:rFonts w:hint="eastAsia" w:ascii="Times New Roman" w:hAnsi="Times New Roman" w:eastAsia="宋体" w:cs="Times New Roman"/>
                      <w:b/>
                      <w:bCs/>
                      <w:color w:val="000000"/>
                      <w:szCs w:val="21"/>
                    </w:rPr>
                    <w:t>污染防治措施</w:t>
                  </w:r>
                </w:p>
                <w:p w14:paraId="61438D4D">
                  <w:pPr>
                    <w:jc w:val="center"/>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/设施</w:t>
                  </w:r>
                </w:p>
              </w:tc>
              <w:tc>
                <w:tcPr>
                  <w:tcW w:w="206" w:type="pct"/>
                  <w:vMerge w:val="restart"/>
                  <w:tcBorders>
                    <w:tl2br w:val="nil"/>
                    <w:tr2bl w:val="nil"/>
                  </w:tcBorders>
                  <w:tcMar>
                    <w:top w:w="0" w:type="dxa"/>
                    <w:left w:w="28" w:type="dxa"/>
                    <w:bottom w:w="0" w:type="dxa"/>
                    <w:right w:w="28" w:type="dxa"/>
                  </w:tcMar>
                  <w:vAlign w:val="center"/>
                </w:tcPr>
                <w:p w14:paraId="7790AD25">
                  <w:pPr>
                    <w:jc w:val="center"/>
                    <w:rPr>
                      <w:rFonts w:ascii="Times New Roman" w:hAnsi="Times New Roman" w:eastAsia="宋体" w:cs="Times New Roman"/>
                      <w:b/>
                      <w:bCs/>
                      <w:color w:val="000000"/>
                      <w:szCs w:val="21"/>
                    </w:rPr>
                  </w:pPr>
                  <w:r>
                    <w:rPr>
                      <w:rFonts w:hint="eastAsia" w:ascii="Times New Roman" w:hAnsi="Times New Roman" w:eastAsia="宋体" w:cs="Times New Roman"/>
                      <w:b/>
                      <w:bCs/>
                      <w:color w:val="000000"/>
                      <w:szCs w:val="21"/>
                    </w:rPr>
                    <w:t>风量</w:t>
                  </w:r>
                </w:p>
                <w:p w14:paraId="044F4D0C">
                  <w:pPr>
                    <w:jc w:val="center"/>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m</w:t>
                  </w:r>
                  <w:r>
                    <w:rPr>
                      <w:rFonts w:hint="eastAsia" w:ascii="Times New Roman" w:hAnsi="Times New Roman" w:eastAsia="宋体" w:cs="Times New Roman"/>
                      <w:b/>
                      <w:bCs/>
                      <w:color w:val="000000"/>
                      <w:szCs w:val="21"/>
                      <w:vertAlign w:val="superscript"/>
                    </w:rPr>
                    <w:t>3</w:t>
                  </w:r>
                  <w:r>
                    <w:rPr>
                      <w:rFonts w:hint="eastAsia" w:ascii="Times New Roman" w:hAnsi="Times New Roman" w:eastAsia="宋体" w:cs="Times New Roman"/>
                      <w:b/>
                      <w:bCs/>
                      <w:color w:val="000000"/>
                      <w:szCs w:val="21"/>
                    </w:rPr>
                    <w:t>/h</w:t>
                  </w:r>
                </w:p>
              </w:tc>
              <w:tc>
                <w:tcPr>
                  <w:tcW w:w="264" w:type="pct"/>
                  <w:vMerge w:val="restart"/>
                  <w:tcBorders>
                    <w:tl2br w:val="nil"/>
                    <w:tr2bl w:val="nil"/>
                  </w:tcBorders>
                  <w:tcMar>
                    <w:top w:w="0" w:type="dxa"/>
                    <w:left w:w="28" w:type="dxa"/>
                    <w:bottom w:w="0" w:type="dxa"/>
                    <w:right w:w="28" w:type="dxa"/>
                  </w:tcMar>
                  <w:vAlign w:val="center"/>
                </w:tcPr>
                <w:p w14:paraId="714B6859">
                  <w:pPr>
                    <w:jc w:val="center"/>
                    <w:rPr>
                      <w:rFonts w:ascii="Times New Roman" w:hAnsi="Times New Roman" w:eastAsia="宋体" w:cs="Times New Roman"/>
                      <w:b/>
                      <w:bCs/>
                      <w:color w:val="000000"/>
                      <w:szCs w:val="21"/>
                    </w:rPr>
                  </w:pPr>
                  <w:r>
                    <w:rPr>
                      <w:rFonts w:hint="eastAsia" w:ascii="Times New Roman" w:hAnsi="Times New Roman" w:eastAsia="宋体" w:cs="Times New Roman"/>
                      <w:b/>
                      <w:bCs/>
                      <w:color w:val="000000"/>
                      <w:szCs w:val="21"/>
                    </w:rPr>
                    <w:t>收集</w:t>
                  </w:r>
                </w:p>
                <w:p w14:paraId="74EF17DD">
                  <w:pPr>
                    <w:jc w:val="center"/>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效率%</w:t>
                  </w:r>
                </w:p>
              </w:tc>
              <w:tc>
                <w:tcPr>
                  <w:tcW w:w="278" w:type="pct"/>
                  <w:vMerge w:val="restart"/>
                  <w:tcBorders>
                    <w:tl2br w:val="nil"/>
                    <w:tr2bl w:val="nil"/>
                  </w:tcBorders>
                  <w:tcMar>
                    <w:top w:w="0" w:type="dxa"/>
                    <w:left w:w="28" w:type="dxa"/>
                    <w:bottom w:w="0" w:type="dxa"/>
                    <w:right w:w="28" w:type="dxa"/>
                  </w:tcMar>
                  <w:vAlign w:val="center"/>
                </w:tcPr>
                <w:p w14:paraId="13736B1B">
                  <w:pPr>
                    <w:jc w:val="center"/>
                    <w:rPr>
                      <w:rFonts w:ascii="Times New Roman" w:hAnsi="Times New Roman" w:eastAsia="宋体" w:cs="Times New Roman"/>
                      <w:b/>
                      <w:bCs/>
                      <w:color w:val="000000"/>
                      <w:szCs w:val="21"/>
                    </w:rPr>
                  </w:pPr>
                  <w:r>
                    <w:rPr>
                      <w:rFonts w:hint="eastAsia" w:ascii="Times New Roman" w:hAnsi="Times New Roman" w:eastAsia="宋体" w:cs="Times New Roman"/>
                      <w:b/>
                      <w:bCs/>
                      <w:color w:val="000000"/>
                      <w:szCs w:val="21"/>
                    </w:rPr>
                    <w:t>治理</w:t>
                  </w:r>
                </w:p>
                <w:p w14:paraId="4DE09AFD">
                  <w:pPr>
                    <w:jc w:val="center"/>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效率%</w:t>
                  </w:r>
                </w:p>
              </w:tc>
              <w:tc>
                <w:tcPr>
                  <w:tcW w:w="196" w:type="pct"/>
                  <w:vMerge w:val="restart"/>
                  <w:tcBorders>
                    <w:tl2br w:val="nil"/>
                    <w:tr2bl w:val="nil"/>
                  </w:tcBorders>
                  <w:tcMar>
                    <w:top w:w="0" w:type="dxa"/>
                    <w:left w:w="28" w:type="dxa"/>
                    <w:bottom w:w="0" w:type="dxa"/>
                    <w:right w:w="28" w:type="dxa"/>
                  </w:tcMar>
                  <w:vAlign w:val="center"/>
                </w:tcPr>
                <w:p w14:paraId="3CA6ADE2">
                  <w:pPr>
                    <w:jc w:val="center"/>
                    <w:rPr>
                      <w:rFonts w:ascii="Times New Roman" w:hAnsi="Times New Roman" w:eastAsia="宋体" w:cs="Times New Roman"/>
                      <w:color w:val="000000"/>
                      <w:szCs w:val="21"/>
                    </w:rPr>
                  </w:pPr>
                  <w:r>
                    <w:rPr>
                      <w:rFonts w:hint="eastAsia" w:ascii="Times New Roman" w:hAnsi="Times New Roman" w:eastAsia="宋体" w:cs="Times New Roman"/>
                      <w:b/>
                      <w:bCs/>
                      <w:color w:val="000000"/>
                      <w:szCs w:val="21"/>
                    </w:rPr>
                    <w:t>是否为可行技术</w:t>
                  </w:r>
                </w:p>
              </w:tc>
              <w:tc>
                <w:tcPr>
                  <w:tcW w:w="234" w:type="pct"/>
                  <w:vMerge w:val="restart"/>
                  <w:tcBorders>
                    <w:tl2br w:val="nil"/>
                    <w:tr2bl w:val="nil"/>
                  </w:tcBorders>
                  <w:tcMar>
                    <w:top w:w="0" w:type="dxa"/>
                    <w:left w:w="28" w:type="dxa"/>
                    <w:bottom w:w="0" w:type="dxa"/>
                    <w:right w:w="28" w:type="dxa"/>
                  </w:tcMar>
                  <w:vAlign w:val="center"/>
                </w:tcPr>
                <w:p w14:paraId="61698600">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排放量(t/a)</w:t>
                  </w:r>
                </w:p>
              </w:tc>
              <w:tc>
                <w:tcPr>
                  <w:tcW w:w="225" w:type="pct"/>
                  <w:vMerge w:val="restart"/>
                  <w:tcBorders>
                    <w:tl2br w:val="nil"/>
                    <w:tr2bl w:val="nil"/>
                  </w:tcBorders>
                  <w:tcMar>
                    <w:top w:w="0" w:type="dxa"/>
                    <w:left w:w="28" w:type="dxa"/>
                    <w:bottom w:w="0" w:type="dxa"/>
                    <w:right w:w="28" w:type="dxa"/>
                  </w:tcMar>
                  <w:vAlign w:val="center"/>
                </w:tcPr>
                <w:p w14:paraId="2846921B">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排放</w:t>
                  </w:r>
                </w:p>
                <w:p w14:paraId="365FE310">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速率(kg/h)</w:t>
                  </w:r>
                </w:p>
              </w:tc>
              <w:tc>
                <w:tcPr>
                  <w:tcW w:w="302" w:type="pct"/>
                  <w:vMerge w:val="restart"/>
                  <w:tcBorders>
                    <w:tl2br w:val="nil"/>
                    <w:tr2bl w:val="nil"/>
                  </w:tcBorders>
                  <w:tcMar>
                    <w:top w:w="0" w:type="dxa"/>
                    <w:left w:w="28" w:type="dxa"/>
                    <w:bottom w:w="0" w:type="dxa"/>
                    <w:right w:w="28" w:type="dxa"/>
                  </w:tcMar>
                  <w:vAlign w:val="center"/>
                </w:tcPr>
                <w:p w14:paraId="17969AB5">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排放</w:t>
                  </w:r>
                </w:p>
                <w:p w14:paraId="07B9C695">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浓度(mg/m</w:t>
                  </w:r>
                  <w:r>
                    <w:rPr>
                      <w:rFonts w:ascii="Times New Roman" w:hAnsi="Times New Roman" w:eastAsia="宋体" w:cs="Times New Roman"/>
                      <w:b/>
                      <w:bCs/>
                      <w:color w:val="000000"/>
                      <w:szCs w:val="21"/>
                      <w:vertAlign w:val="superscript"/>
                    </w:rPr>
                    <w:t>3</w:t>
                  </w:r>
                  <w:r>
                    <w:rPr>
                      <w:rFonts w:ascii="Times New Roman" w:hAnsi="Times New Roman" w:eastAsia="宋体" w:cs="Times New Roman"/>
                      <w:b/>
                      <w:bCs/>
                      <w:color w:val="000000"/>
                      <w:szCs w:val="21"/>
                    </w:rPr>
                    <w:t>)</w:t>
                  </w:r>
                </w:p>
              </w:tc>
              <w:tc>
                <w:tcPr>
                  <w:tcW w:w="201" w:type="pct"/>
                  <w:vMerge w:val="continue"/>
                  <w:tcBorders>
                    <w:tl2br w:val="nil"/>
                    <w:tr2bl w:val="nil"/>
                  </w:tcBorders>
                  <w:tcMar>
                    <w:top w:w="0" w:type="dxa"/>
                    <w:left w:w="28" w:type="dxa"/>
                    <w:bottom w:w="0" w:type="dxa"/>
                    <w:right w:w="28" w:type="dxa"/>
                  </w:tcMar>
                  <w:vAlign w:val="center"/>
                </w:tcPr>
                <w:p w14:paraId="7D03F7C6">
                  <w:pPr>
                    <w:jc w:val="center"/>
                    <w:rPr>
                      <w:rFonts w:ascii="Times New Roman" w:hAnsi="Times New Roman" w:eastAsia="宋体" w:cs="Times New Roman"/>
                      <w:b/>
                      <w:bCs/>
                      <w:color w:val="000000"/>
                      <w:szCs w:val="21"/>
                    </w:rPr>
                  </w:pPr>
                </w:p>
              </w:tc>
              <w:tc>
                <w:tcPr>
                  <w:tcW w:w="604" w:type="pct"/>
                  <w:gridSpan w:val="2"/>
                  <w:vMerge w:val="continue"/>
                  <w:tcBorders>
                    <w:tl2br w:val="nil"/>
                    <w:tr2bl w:val="nil"/>
                  </w:tcBorders>
                  <w:tcMar>
                    <w:top w:w="0" w:type="dxa"/>
                    <w:left w:w="28" w:type="dxa"/>
                    <w:bottom w:w="0" w:type="dxa"/>
                    <w:right w:w="28" w:type="dxa"/>
                  </w:tcMar>
                  <w:vAlign w:val="center"/>
                </w:tcPr>
                <w:p w14:paraId="1C45693C">
                  <w:pPr>
                    <w:jc w:val="center"/>
                    <w:rPr>
                      <w:rFonts w:ascii="Times New Roman" w:hAnsi="Times New Roman" w:eastAsia="宋体" w:cs="Times New Roman"/>
                      <w:b/>
                      <w:bCs/>
                      <w:color w:val="000000"/>
                      <w:szCs w:val="21"/>
                    </w:rPr>
                  </w:pPr>
                </w:p>
              </w:tc>
              <w:tc>
                <w:tcPr>
                  <w:tcW w:w="134" w:type="pct"/>
                  <w:vMerge w:val="continue"/>
                  <w:tcBorders>
                    <w:tl2br w:val="nil"/>
                    <w:tr2bl w:val="nil"/>
                  </w:tcBorders>
                  <w:tcMar>
                    <w:top w:w="0" w:type="dxa"/>
                    <w:left w:w="28" w:type="dxa"/>
                    <w:bottom w:w="0" w:type="dxa"/>
                    <w:right w:w="28" w:type="dxa"/>
                  </w:tcMar>
                  <w:vAlign w:val="center"/>
                </w:tcPr>
                <w:p w14:paraId="2DE2D17B">
                  <w:pPr>
                    <w:jc w:val="center"/>
                    <w:rPr>
                      <w:rFonts w:ascii="Times New Roman" w:hAnsi="Times New Roman" w:eastAsia="宋体" w:cs="Times New Roman"/>
                      <w:b/>
                      <w:bCs/>
                      <w:color w:val="000000"/>
                      <w:szCs w:val="21"/>
                    </w:rPr>
                  </w:pPr>
                </w:p>
              </w:tc>
            </w:tr>
            <w:tr w14:paraId="413D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115" w:type="pct"/>
                  <w:vMerge w:val="continue"/>
                  <w:tcBorders>
                    <w:tl2br w:val="nil"/>
                    <w:tr2bl w:val="nil"/>
                  </w:tcBorders>
                  <w:tcMar>
                    <w:top w:w="0" w:type="dxa"/>
                    <w:left w:w="28" w:type="dxa"/>
                    <w:bottom w:w="0" w:type="dxa"/>
                    <w:right w:w="28" w:type="dxa"/>
                  </w:tcMar>
                  <w:vAlign w:val="center"/>
                </w:tcPr>
                <w:p w14:paraId="7FBFFED4">
                  <w:pPr>
                    <w:jc w:val="center"/>
                    <w:rPr>
                      <w:rFonts w:ascii="Times New Roman" w:hAnsi="Times New Roman" w:eastAsia="宋体" w:cs="Times New Roman"/>
                      <w:color w:val="000000"/>
                      <w:szCs w:val="21"/>
                    </w:rPr>
                  </w:pPr>
                </w:p>
              </w:tc>
              <w:tc>
                <w:tcPr>
                  <w:tcW w:w="208" w:type="pct"/>
                  <w:gridSpan w:val="2"/>
                  <w:vMerge w:val="continue"/>
                  <w:tcBorders>
                    <w:tl2br w:val="nil"/>
                    <w:tr2bl w:val="nil"/>
                  </w:tcBorders>
                  <w:tcMar>
                    <w:top w:w="0" w:type="dxa"/>
                    <w:left w:w="28" w:type="dxa"/>
                    <w:bottom w:w="0" w:type="dxa"/>
                    <w:right w:w="28" w:type="dxa"/>
                  </w:tcMar>
                  <w:vAlign w:val="center"/>
                </w:tcPr>
                <w:p w14:paraId="03A00E12">
                  <w:pPr>
                    <w:jc w:val="center"/>
                    <w:rPr>
                      <w:rFonts w:ascii="Times New Roman" w:hAnsi="Times New Roman" w:eastAsia="宋体" w:cs="Times New Roman"/>
                      <w:color w:val="000000"/>
                      <w:szCs w:val="21"/>
                    </w:rPr>
                  </w:pPr>
                </w:p>
              </w:tc>
              <w:tc>
                <w:tcPr>
                  <w:tcW w:w="268" w:type="pct"/>
                  <w:vMerge w:val="continue"/>
                  <w:tcBorders>
                    <w:tl2br w:val="nil"/>
                    <w:tr2bl w:val="nil"/>
                  </w:tcBorders>
                  <w:tcMar>
                    <w:top w:w="0" w:type="dxa"/>
                    <w:left w:w="28" w:type="dxa"/>
                    <w:bottom w:w="0" w:type="dxa"/>
                    <w:right w:w="28" w:type="dxa"/>
                  </w:tcMar>
                  <w:vAlign w:val="center"/>
                </w:tcPr>
                <w:p w14:paraId="2E48702D">
                  <w:pPr>
                    <w:jc w:val="center"/>
                    <w:rPr>
                      <w:rFonts w:ascii="Times New Roman" w:hAnsi="Times New Roman" w:eastAsia="宋体" w:cs="Times New Roman"/>
                      <w:color w:val="000000"/>
                      <w:szCs w:val="21"/>
                    </w:rPr>
                  </w:pPr>
                </w:p>
              </w:tc>
              <w:tc>
                <w:tcPr>
                  <w:tcW w:w="180" w:type="pct"/>
                  <w:vMerge w:val="continue"/>
                  <w:tcBorders>
                    <w:tl2br w:val="nil"/>
                    <w:tr2bl w:val="nil"/>
                  </w:tcBorders>
                  <w:tcMar>
                    <w:top w:w="0" w:type="dxa"/>
                    <w:left w:w="28" w:type="dxa"/>
                    <w:bottom w:w="0" w:type="dxa"/>
                    <w:right w:w="28" w:type="dxa"/>
                  </w:tcMar>
                  <w:vAlign w:val="center"/>
                </w:tcPr>
                <w:p w14:paraId="2C044B8F">
                  <w:pPr>
                    <w:jc w:val="center"/>
                    <w:rPr>
                      <w:rFonts w:ascii="Times New Roman" w:hAnsi="Times New Roman" w:eastAsia="宋体" w:cs="Times New Roman"/>
                      <w:b/>
                      <w:bCs/>
                      <w:color w:val="000000"/>
                      <w:szCs w:val="21"/>
                    </w:rPr>
                  </w:pPr>
                </w:p>
              </w:tc>
              <w:tc>
                <w:tcPr>
                  <w:tcW w:w="249" w:type="pct"/>
                  <w:vMerge w:val="continue"/>
                  <w:tcBorders>
                    <w:tl2br w:val="nil"/>
                    <w:tr2bl w:val="nil"/>
                  </w:tcBorders>
                  <w:tcMar>
                    <w:top w:w="0" w:type="dxa"/>
                    <w:left w:w="28" w:type="dxa"/>
                    <w:bottom w:w="0" w:type="dxa"/>
                    <w:right w:w="28" w:type="dxa"/>
                  </w:tcMar>
                  <w:vAlign w:val="center"/>
                </w:tcPr>
                <w:p w14:paraId="3BD3854A">
                  <w:pPr>
                    <w:jc w:val="center"/>
                    <w:rPr>
                      <w:rFonts w:ascii="Times New Roman" w:hAnsi="Times New Roman" w:eastAsia="宋体" w:cs="Times New Roman"/>
                      <w:b/>
                      <w:bCs/>
                      <w:color w:val="000000"/>
                      <w:szCs w:val="21"/>
                    </w:rPr>
                  </w:pPr>
                </w:p>
              </w:tc>
              <w:tc>
                <w:tcPr>
                  <w:tcW w:w="292" w:type="pct"/>
                  <w:vMerge w:val="continue"/>
                  <w:tcBorders>
                    <w:tl2br w:val="nil"/>
                    <w:tr2bl w:val="nil"/>
                  </w:tcBorders>
                  <w:tcMar>
                    <w:top w:w="0" w:type="dxa"/>
                    <w:left w:w="28" w:type="dxa"/>
                    <w:bottom w:w="0" w:type="dxa"/>
                    <w:right w:w="28" w:type="dxa"/>
                  </w:tcMar>
                  <w:vAlign w:val="center"/>
                </w:tcPr>
                <w:p w14:paraId="3CAD47A4">
                  <w:pPr>
                    <w:jc w:val="center"/>
                    <w:rPr>
                      <w:rFonts w:ascii="Times New Roman" w:hAnsi="Times New Roman" w:eastAsia="宋体" w:cs="Times New Roman"/>
                      <w:b/>
                      <w:bCs/>
                      <w:color w:val="000000"/>
                      <w:szCs w:val="21"/>
                    </w:rPr>
                  </w:pPr>
                </w:p>
              </w:tc>
              <w:tc>
                <w:tcPr>
                  <w:tcW w:w="302" w:type="pct"/>
                  <w:vMerge w:val="continue"/>
                  <w:tcBorders>
                    <w:tl2br w:val="nil"/>
                    <w:tr2bl w:val="nil"/>
                  </w:tcBorders>
                  <w:tcMar>
                    <w:top w:w="0" w:type="dxa"/>
                    <w:left w:w="28" w:type="dxa"/>
                    <w:bottom w:w="0" w:type="dxa"/>
                    <w:right w:w="28" w:type="dxa"/>
                  </w:tcMar>
                  <w:vAlign w:val="center"/>
                </w:tcPr>
                <w:p w14:paraId="5EA23DA9">
                  <w:pPr>
                    <w:jc w:val="center"/>
                    <w:rPr>
                      <w:rFonts w:ascii="Times New Roman" w:hAnsi="Times New Roman" w:eastAsia="宋体" w:cs="Times New Roman"/>
                      <w:b/>
                      <w:bCs/>
                      <w:color w:val="000000"/>
                      <w:szCs w:val="21"/>
                    </w:rPr>
                  </w:pPr>
                </w:p>
              </w:tc>
              <w:tc>
                <w:tcPr>
                  <w:tcW w:w="734" w:type="pct"/>
                  <w:vMerge w:val="continue"/>
                  <w:tcBorders>
                    <w:tl2br w:val="nil"/>
                    <w:tr2bl w:val="nil"/>
                  </w:tcBorders>
                  <w:tcMar>
                    <w:top w:w="0" w:type="dxa"/>
                    <w:left w:w="28" w:type="dxa"/>
                    <w:bottom w:w="0" w:type="dxa"/>
                    <w:right w:w="28" w:type="dxa"/>
                  </w:tcMar>
                  <w:vAlign w:val="center"/>
                </w:tcPr>
                <w:p w14:paraId="1124697E">
                  <w:pPr>
                    <w:jc w:val="center"/>
                    <w:rPr>
                      <w:rFonts w:ascii="Times New Roman" w:hAnsi="Times New Roman" w:eastAsia="宋体" w:cs="Times New Roman"/>
                      <w:b/>
                      <w:bCs/>
                      <w:color w:val="000000"/>
                      <w:szCs w:val="21"/>
                    </w:rPr>
                  </w:pPr>
                </w:p>
              </w:tc>
              <w:tc>
                <w:tcPr>
                  <w:tcW w:w="206" w:type="pct"/>
                  <w:vMerge w:val="continue"/>
                  <w:tcBorders>
                    <w:tl2br w:val="nil"/>
                    <w:tr2bl w:val="nil"/>
                  </w:tcBorders>
                  <w:tcMar>
                    <w:top w:w="0" w:type="dxa"/>
                    <w:left w:w="28" w:type="dxa"/>
                    <w:bottom w:w="0" w:type="dxa"/>
                    <w:right w:w="28" w:type="dxa"/>
                  </w:tcMar>
                  <w:vAlign w:val="center"/>
                </w:tcPr>
                <w:p w14:paraId="3CEFCC3C">
                  <w:pPr>
                    <w:jc w:val="center"/>
                    <w:rPr>
                      <w:rFonts w:ascii="Times New Roman" w:hAnsi="Times New Roman" w:eastAsia="宋体" w:cs="Times New Roman"/>
                      <w:b/>
                      <w:bCs/>
                      <w:color w:val="000000"/>
                      <w:szCs w:val="21"/>
                    </w:rPr>
                  </w:pPr>
                </w:p>
              </w:tc>
              <w:tc>
                <w:tcPr>
                  <w:tcW w:w="264" w:type="pct"/>
                  <w:vMerge w:val="continue"/>
                  <w:tcBorders>
                    <w:tl2br w:val="nil"/>
                    <w:tr2bl w:val="nil"/>
                  </w:tcBorders>
                  <w:tcMar>
                    <w:top w:w="0" w:type="dxa"/>
                    <w:left w:w="28" w:type="dxa"/>
                    <w:bottom w:w="0" w:type="dxa"/>
                    <w:right w:w="28" w:type="dxa"/>
                  </w:tcMar>
                  <w:vAlign w:val="center"/>
                </w:tcPr>
                <w:p w14:paraId="567ADBE2">
                  <w:pPr>
                    <w:jc w:val="center"/>
                    <w:rPr>
                      <w:rFonts w:ascii="Times New Roman" w:hAnsi="Times New Roman" w:eastAsia="宋体" w:cs="Times New Roman"/>
                      <w:b/>
                      <w:bCs/>
                      <w:color w:val="000000"/>
                      <w:szCs w:val="21"/>
                    </w:rPr>
                  </w:pPr>
                </w:p>
              </w:tc>
              <w:tc>
                <w:tcPr>
                  <w:tcW w:w="278" w:type="pct"/>
                  <w:vMerge w:val="continue"/>
                  <w:tcBorders>
                    <w:tl2br w:val="nil"/>
                    <w:tr2bl w:val="nil"/>
                  </w:tcBorders>
                  <w:tcMar>
                    <w:top w:w="0" w:type="dxa"/>
                    <w:left w:w="28" w:type="dxa"/>
                    <w:bottom w:w="0" w:type="dxa"/>
                    <w:right w:w="28" w:type="dxa"/>
                  </w:tcMar>
                  <w:vAlign w:val="center"/>
                </w:tcPr>
                <w:p w14:paraId="42524EE2">
                  <w:pPr>
                    <w:jc w:val="center"/>
                    <w:rPr>
                      <w:rFonts w:ascii="Times New Roman" w:hAnsi="Times New Roman" w:eastAsia="宋体" w:cs="Times New Roman"/>
                      <w:b/>
                      <w:bCs/>
                      <w:color w:val="000000"/>
                      <w:szCs w:val="21"/>
                    </w:rPr>
                  </w:pPr>
                </w:p>
              </w:tc>
              <w:tc>
                <w:tcPr>
                  <w:tcW w:w="196" w:type="pct"/>
                  <w:vMerge w:val="continue"/>
                  <w:tcBorders>
                    <w:tl2br w:val="nil"/>
                    <w:tr2bl w:val="nil"/>
                  </w:tcBorders>
                  <w:tcMar>
                    <w:top w:w="0" w:type="dxa"/>
                    <w:left w:w="28" w:type="dxa"/>
                    <w:bottom w:w="0" w:type="dxa"/>
                    <w:right w:w="28" w:type="dxa"/>
                  </w:tcMar>
                  <w:vAlign w:val="center"/>
                </w:tcPr>
                <w:p w14:paraId="6AA90F83">
                  <w:pPr>
                    <w:jc w:val="center"/>
                    <w:rPr>
                      <w:rFonts w:ascii="Times New Roman" w:hAnsi="Times New Roman" w:eastAsia="宋体" w:cs="Times New Roman"/>
                      <w:b/>
                      <w:bCs/>
                      <w:color w:val="000000"/>
                      <w:szCs w:val="21"/>
                    </w:rPr>
                  </w:pPr>
                </w:p>
              </w:tc>
              <w:tc>
                <w:tcPr>
                  <w:tcW w:w="234" w:type="pct"/>
                  <w:vMerge w:val="continue"/>
                  <w:tcBorders>
                    <w:tl2br w:val="nil"/>
                    <w:tr2bl w:val="nil"/>
                  </w:tcBorders>
                  <w:tcMar>
                    <w:top w:w="0" w:type="dxa"/>
                    <w:left w:w="28" w:type="dxa"/>
                    <w:bottom w:w="0" w:type="dxa"/>
                    <w:right w:w="28" w:type="dxa"/>
                  </w:tcMar>
                  <w:vAlign w:val="center"/>
                </w:tcPr>
                <w:p w14:paraId="72C50581">
                  <w:pPr>
                    <w:jc w:val="center"/>
                    <w:rPr>
                      <w:rFonts w:ascii="Times New Roman" w:hAnsi="Times New Roman" w:eastAsia="宋体" w:cs="Times New Roman"/>
                      <w:b/>
                      <w:bCs/>
                      <w:color w:val="000000"/>
                      <w:szCs w:val="21"/>
                    </w:rPr>
                  </w:pPr>
                </w:p>
              </w:tc>
              <w:tc>
                <w:tcPr>
                  <w:tcW w:w="225" w:type="pct"/>
                  <w:vMerge w:val="continue"/>
                  <w:tcBorders>
                    <w:tl2br w:val="nil"/>
                    <w:tr2bl w:val="nil"/>
                  </w:tcBorders>
                  <w:tcMar>
                    <w:top w:w="0" w:type="dxa"/>
                    <w:left w:w="28" w:type="dxa"/>
                    <w:bottom w:w="0" w:type="dxa"/>
                    <w:right w:w="28" w:type="dxa"/>
                  </w:tcMar>
                  <w:vAlign w:val="center"/>
                </w:tcPr>
                <w:p w14:paraId="0B711BCE">
                  <w:pPr>
                    <w:jc w:val="center"/>
                    <w:rPr>
                      <w:rFonts w:ascii="Times New Roman" w:hAnsi="Times New Roman" w:eastAsia="宋体" w:cs="Times New Roman"/>
                      <w:b/>
                      <w:bCs/>
                      <w:color w:val="000000"/>
                      <w:szCs w:val="21"/>
                    </w:rPr>
                  </w:pPr>
                </w:p>
              </w:tc>
              <w:tc>
                <w:tcPr>
                  <w:tcW w:w="302" w:type="pct"/>
                  <w:vMerge w:val="continue"/>
                  <w:tcBorders>
                    <w:tl2br w:val="nil"/>
                    <w:tr2bl w:val="nil"/>
                  </w:tcBorders>
                  <w:tcMar>
                    <w:top w:w="0" w:type="dxa"/>
                    <w:left w:w="28" w:type="dxa"/>
                    <w:bottom w:w="0" w:type="dxa"/>
                    <w:right w:w="28" w:type="dxa"/>
                  </w:tcMar>
                  <w:vAlign w:val="center"/>
                </w:tcPr>
                <w:p w14:paraId="0D445DB8">
                  <w:pPr>
                    <w:jc w:val="center"/>
                    <w:rPr>
                      <w:rFonts w:ascii="Times New Roman" w:hAnsi="Times New Roman" w:eastAsia="宋体" w:cs="Times New Roman"/>
                      <w:b/>
                      <w:bCs/>
                      <w:color w:val="000000"/>
                      <w:szCs w:val="21"/>
                    </w:rPr>
                  </w:pPr>
                </w:p>
              </w:tc>
              <w:tc>
                <w:tcPr>
                  <w:tcW w:w="201" w:type="pct"/>
                  <w:vMerge w:val="continue"/>
                  <w:tcBorders>
                    <w:tl2br w:val="nil"/>
                    <w:tr2bl w:val="nil"/>
                  </w:tcBorders>
                  <w:tcMar>
                    <w:top w:w="0" w:type="dxa"/>
                    <w:left w:w="28" w:type="dxa"/>
                    <w:bottom w:w="0" w:type="dxa"/>
                    <w:right w:w="28" w:type="dxa"/>
                  </w:tcMar>
                  <w:vAlign w:val="center"/>
                </w:tcPr>
                <w:p w14:paraId="12CC11F2">
                  <w:pPr>
                    <w:jc w:val="center"/>
                    <w:rPr>
                      <w:rFonts w:ascii="Times New Roman" w:hAnsi="Times New Roman" w:eastAsia="宋体" w:cs="Times New Roman"/>
                      <w:b/>
                      <w:bCs/>
                      <w:color w:val="000000"/>
                      <w:szCs w:val="21"/>
                    </w:rPr>
                  </w:pPr>
                </w:p>
              </w:tc>
              <w:tc>
                <w:tcPr>
                  <w:tcW w:w="244" w:type="pct"/>
                  <w:tcBorders>
                    <w:tl2br w:val="nil"/>
                    <w:tr2bl w:val="nil"/>
                  </w:tcBorders>
                  <w:tcMar>
                    <w:top w:w="0" w:type="dxa"/>
                    <w:left w:w="28" w:type="dxa"/>
                    <w:bottom w:w="0" w:type="dxa"/>
                    <w:right w:w="28" w:type="dxa"/>
                  </w:tcMar>
                  <w:vAlign w:val="center"/>
                </w:tcPr>
                <w:p w14:paraId="39D929EF">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速率(kg/h)</w:t>
                  </w:r>
                </w:p>
              </w:tc>
              <w:tc>
                <w:tcPr>
                  <w:tcW w:w="359" w:type="pct"/>
                  <w:tcBorders>
                    <w:tl2br w:val="nil"/>
                    <w:tr2bl w:val="nil"/>
                  </w:tcBorders>
                  <w:tcMar>
                    <w:top w:w="0" w:type="dxa"/>
                    <w:left w:w="28" w:type="dxa"/>
                    <w:bottom w:w="0" w:type="dxa"/>
                    <w:right w:w="28" w:type="dxa"/>
                  </w:tcMar>
                  <w:vAlign w:val="center"/>
                </w:tcPr>
                <w:p w14:paraId="5B2A986E">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浓度</w:t>
                  </w:r>
                </w:p>
                <w:p w14:paraId="0C268F4D">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限值（mg/m³）</w:t>
                  </w:r>
                </w:p>
              </w:tc>
              <w:tc>
                <w:tcPr>
                  <w:tcW w:w="134" w:type="pct"/>
                  <w:vMerge w:val="continue"/>
                  <w:tcBorders>
                    <w:tl2br w:val="nil"/>
                    <w:tr2bl w:val="nil"/>
                  </w:tcBorders>
                  <w:tcMar>
                    <w:top w:w="0" w:type="dxa"/>
                    <w:left w:w="28" w:type="dxa"/>
                    <w:bottom w:w="0" w:type="dxa"/>
                    <w:right w:w="28" w:type="dxa"/>
                  </w:tcMar>
                  <w:vAlign w:val="center"/>
                </w:tcPr>
                <w:p w14:paraId="3E54408F">
                  <w:pPr>
                    <w:jc w:val="center"/>
                    <w:rPr>
                      <w:rFonts w:ascii="Times New Roman" w:hAnsi="Times New Roman" w:eastAsia="宋体" w:cs="Times New Roman"/>
                      <w:b/>
                      <w:bCs/>
                      <w:color w:val="000000"/>
                      <w:szCs w:val="21"/>
                    </w:rPr>
                  </w:pPr>
                </w:p>
              </w:tc>
            </w:tr>
            <w:tr w14:paraId="0B2B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 w:type="pct"/>
                  <w:tcBorders>
                    <w:tl2br w:val="nil"/>
                    <w:tr2bl w:val="nil"/>
                  </w:tcBorders>
                  <w:tcMar>
                    <w:top w:w="0" w:type="dxa"/>
                    <w:left w:w="28" w:type="dxa"/>
                    <w:bottom w:w="0" w:type="dxa"/>
                    <w:right w:w="28" w:type="dxa"/>
                  </w:tcMar>
                  <w:vAlign w:val="center"/>
                </w:tcPr>
                <w:p w14:paraId="6FA36CA8">
                  <w:pPr>
                    <w:jc w:val="center"/>
                    <w:rPr>
                      <w:rFonts w:ascii="Times New Roman" w:hAnsi="Times New Roman" w:eastAsia="宋体" w:cs="Times New Roman"/>
                      <w:color w:val="000000"/>
                      <w:szCs w:val="21"/>
                    </w:rPr>
                  </w:pPr>
                  <w:r>
                    <w:rPr>
                      <w:rFonts w:ascii="Times New Roman Bold" w:hAnsi="Times New Roman Bold" w:eastAsia="宋体" w:cs="Times New Roman Bold"/>
                      <w:b/>
                      <w:bCs/>
                      <w:color w:val="000000"/>
                      <w:szCs w:val="21"/>
                    </w:rPr>
                    <w:t>1</w:t>
                  </w:r>
                </w:p>
              </w:tc>
              <w:tc>
                <w:tcPr>
                  <w:tcW w:w="208" w:type="pct"/>
                  <w:gridSpan w:val="2"/>
                  <w:tcBorders>
                    <w:tl2br w:val="nil"/>
                    <w:tr2bl w:val="nil"/>
                  </w:tcBorders>
                  <w:tcMar>
                    <w:top w:w="0" w:type="dxa"/>
                    <w:left w:w="28" w:type="dxa"/>
                    <w:bottom w:w="0" w:type="dxa"/>
                    <w:right w:w="28" w:type="dxa"/>
                  </w:tcMar>
                  <w:vAlign w:val="center"/>
                </w:tcPr>
                <w:p w14:paraId="6B8C617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道路运输</w:t>
                  </w:r>
                </w:p>
              </w:tc>
              <w:tc>
                <w:tcPr>
                  <w:tcW w:w="268" w:type="pct"/>
                  <w:tcBorders>
                    <w:tl2br w:val="nil"/>
                    <w:tr2bl w:val="nil"/>
                  </w:tcBorders>
                  <w:tcMar>
                    <w:top w:w="0" w:type="dxa"/>
                    <w:left w:w="28" w:type="dxa"/>
                    <w:bottom w:w="0" w:type="dxa"/>
                    <w:right w:w="28" w:type="dxa"/>
                  </w:tcMar>
                  <w:vAlign w:val="center"/>
                </w:tcPr>
                <w:p w14:paraId="038301F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颗粒物</w:t>
                  </w:r>
                </w:p>
              </w:tc>
              <w:tc>
                <w:tcPr>
                  <w:tcW w:w="180" w:type="pct"/>
                  <w:tcBorders>
                    <w:tl2br w:val="nil"/>
                    <w:tr2bl w:val="nil"/>
                  </w:tcBorders>
                  <w:tcMar>
                    <w:top w:w="0" w:type="dxa"/>
                    <w:left w:w="28" w:type="dxa"/>
                    <w:bottom w:w="0" w:type="dxa"/>
                    <w:right w:w="28" w:type="dxa"/>
                  </w:tcMar>
                  <w:vAlign w:val="center"/>
                </w:tcPr>
                <w:p w14:paraId="53F0544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无组织</w:t>
                  </w:r>
                </w:p>
              </w:tc>
              <w:tc>
                <w:tcPr>
                  <w:tcW w:w="249" w:type="pct"/>
                  <w:tcBorders>
                    <w:tl2br w:val="nil"/>
                    <w:tr2bl w:val="nil"/>
                  </w:tcBorders>
                  <w:tcMar>
                    <w:top w:w="0" w:type="dxa"/>
                    <w:left w:w="28" w:type="dxa"/>
                    <w:bottom w:w="0" w:type="dxa"/>
                    <w:right w:w="28" w:type="dxa"/>
                  </w:tcMar>
                  <w:vAlign w:val="center"/>
                </w:tcPr>
                <w:p w14:paraId="45DEDE72">
                  <w:pPr>
                    <w:jc w:val="center"/>
                    <w:rPr>
                      <w:rFonts w:ascii="Times New Roman" w:hAnsi="Times New Roman" w:eastAsia="宋体" w:cs="Times New Roman"/>
                      <w:color w:val="000000"/>
                      <w:szCs w:val="21"/>
                    </w:rPr>
                  </w:pPr>
                  <w:r>
                    <w:rPr>
                      <w:rFonts w:hint="eastAsia" w:ascii="Times New Roman" w:hAnsi="Times New Roman" w:cs="Times New Roman"/>
                      <w:szCs w:val="21"/>
                    </w:rPr>
                    <w:t>0.668</w:t>
                  </w:r>
                </w:p>
              </w:tc>
              <w:tc>
                <w:tcPr>
                  <w:tcW w:w="292" w:type="pct"/>
                  <w:tcBorders>
                    <w:tl2br w:val="nil"/>
                    <w:tr2bl w:val="nil"/>
                  </w:tcBorders>
                  <w:tcMar>
                    <w:top w:w="0" w:type="dxa"/>
                    <w:left w:w="28" w:type="dxa"/>
                    <w:bottom w:w="0" w:type="dxa"/>
                    <w:right w:w="28" w:type="dxa"/>
                  </w:tcMar>
                  <w:vAlign w:val="center"/>
                </w:tcPr>
                <w:p w14:paraId="12089867">
                  <w:pPr>
                    <w:jc w:val="center"/>
                    <w:rPr>
                      <w:rFonts w:ascii="Times New Roman" w:hAnsi="Times New Roman" w:eastAsia="宋体" w:cs="Times New Roman"/>
                      <w:color w:val="000000"/>
                      <w:szCs w:val="21"/>
                    </w:rPr>
                  </w:pPr>
                  <w:r>
                    <w:rPr>
                      <w:rFonts w:hint="eastAsia" w:ascii="Times New Roman" w:hAnsi="Times New Roman" w:cs="Times New Roman"/>
                      <w:szCs w:val="21"/>
                    </w:rPr>
                    <w:t>0.74</w:t>
                  </w:r>
                </w:p>
              </w:tc>
              <w:tc>
                <w:tcPr>
                  <w:tcW w:w="302" w:type="pct"/>
                  <w:tcBorders>
                    <w:tl2br w:val="nil"/>
                    <w:tr2bl w:val="nil"/>
                  </w:tcBorders>
                  <w:tcMar>
                    <w:top w:w="0" w:type="dxa"/>
                    <w:left w:w="28" w:type="dxa"/>
                    <w:bottom w:w="0" w:type="dxa"/>
                    <w:right w:w="28" w:type="dxa"/>
                  </w:tcMar>
                  <w:vAlign w:val="center"/>
                </w:tcPr>
                <w:p w14:paraId="6ECB6AD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734" w:type="pct"/>
                  <w:tcBorders>
                    <w:tl2br w:val="nil"/>
                    <w:tr2bl w:val="nil"/>
                  </w:tcBorders>
                  <w:tcMar>
                    <w:top w:w="0" w:type="dxa"/>
                    <w:left w:w="28" w:type="dxa"/>
                    <w:bottom w:w="0" w:type="dxa"/>
                    <w:right w:w="28" w:type="dxa"/>
                  </w:tcMar>
                  <w:vAlign w:val="center"/>
                </w:tcPr>
                <w:p w14:paraId="0CCF1952">
                  <w:pPr>
                    <w:jc w:val="center"/>
                    <w:rPr>
                      <w:rFonts w:ascii="Times New Roman" w:hAnsi="Times New Roman" w:eastAsia="宋体" w:cs="Times New Roman"/>
                      <w:color w:val="000000"/>
                      <w:szCs w:val="21"/>
                    </w:rPr>
                  </w:pPr>
                  <w:r>
                    <w:rPr>
                      <w:rFonts w:hint="eastAsia" w:ascii="Times New Roman" w:hAnsi="Times New Roman" w:cs="Times New Roman"/>
                      <w:szCs w:val="21"/>
                    </w:rPr>
                    <w:t>①所有运输车辆进、出厂均要求苫盖严密，减速限速、禁止超载；②厂内运输道路已硬化，采用洒水车对厂区及连接道路进行定期洒水，保持路面湿润，从源头抑制扬尘产生；③厂区进出口设置洗车平台，对进出运输车辆轮胎进行冲洗。</w:t>
                  </w:r>
                </w:p>
              </w:tc>
              <w:tc>
                <w:tcPr>
                  <w:tcW w:w="206" w:type="pct"/>
                  <w:tcBorders>
                    <w:tl2br w:val="nil"/>
                    <w:tr2bl w:val="nil"/>
                  </w:tcBorders>
                  <w:tcMar>
                    <w:top w:w="0" w:type="dxa"/>
                    <w:left w:w="28" w:type="dxa"/>
                    <w:bottom w:w="0" w:type="dxa"/>
                    <w:right w:w="28" w:type="dxa"/>
                  </w:tcMar>
                  <w:vAlign w:val="center"/>
                </w:tcPr>
                <w:p w14:paraId="000B167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64" w:type="pct"/>
                  <w:tcBorders>
                    <w:tl2br w:val="nil"/>
                    <w:tr2bl w:val="nil"/>
                  </w:tcBorders>
                  <w:tcMar>
                    <w:top w:w="0" w:type="dxa"/>
                    <w:left w:w="28" w:type="dxa"/>
                    <w:bottom w:w="0" w:type="dxa"/>
                    <w:right w:w="28" w:type="dxa"/>
                  </w:tcMar>
                  <w:vAlign w:val="center"/>
                </w:tcPr>
                <w:p w14:paraId="4469852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78" w:type="pct"/>
                  <w:tcBorders>
                    <w:tl2br w:val="nil"/>
                    <w:tr2bl w:val="nil"/>
                  </w:tcBorders>
                  <w:tcMar>
                    <w:top w:w="0" w:type="dxa"/>
                    <w:left w:w="28" w:type="dxa"/>
                    <w:bottom w:w="0" w:type="dxa"/>
                    <w:right w:w="28" w:type="dxa"/>
                  </w:tcMar>
                  <w:vAlign w:val="center"/>
                </w:tcPr>
                <w:p w14:paraId="1F254225">
                  <w:pPr>
                    <w:jc w:val="center"/>
                    <w:rPr>
                      <w:rFonts w:ascii="Times New Roman" w:hAnsi="Times New Roman" w:eastAsia="宋体" w:cs="Times New Roman"/>
                      <w:color w:val="000000"/>
                      <w:szCs w:val="21"/>
                    </w:rPr>
                  </w:pPr>
                  <w:r>
                    <w:rPr>
                      <w:rFonts w:hint="eastAsia" w:ascii="Times New Roman" w:hAnsi="Times New Roman" w:cs="Times New Roman"/>
                      <w:szCs w:val="21"/>
                    </w:rPr>
                    <w:t>94.28%</w:t>
                  </w:r>
                </w:p>
              </w:tc>
              <w:tc>
                <w:tcPr>
                  <w:tcW w:w="196" w:type="pct"/>
                  <w:tcBorders>
                    <w:tl2br w:val="nil"/>
                    <w:tr2bl w:val="nil"/>
                  </w:tcBorders>
                  <w:tcMar>
                    <w:top w:w="0" w:type="dxa"/>
                    <w:left w:w="28" w:type="dxa"/>
                    <w:bottom w:w="0" w:type="dxa"/>
                    <w:right w:w="28" w:type="dxa"/>
                  </w:tcMar>
                  <w:vAlign w:val="center"/>
                </w:tcPr>
                <w:p w14:paraId="73674FEB">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是</w:t>
                  </w:r>
                </w:p>
              </w:tc>
              <w:tc>
                <w:tcPr>
                  <w:tcW w:w="234" w:type="pct"/>
                  <w:tcBorders>
                    <w:tl2br w:val="nil"/>
                    <w:tr2bl w:val="nil"/>
                  </w:tcBorders>
                  <w:tcMar>
                    <w:top w:w="0" w:type="dxa"/>
                    <w:left w:w="28" w:type="dxa"/>
                    <w:bottom w:w="0" w:type="dxa"/>
                    <w:right w:w="28" w:type="dxa"/>
                  </w:tcMar>
                  <w:vAlign w:val="center"/>
                </w:tcPr>
                <w:p w14:paraId="5D71D957">
                  <w:pPr>
                    <w:jc w:val="center"/>
                    <w:rPr>
                      <w:rFonts w:ascii="Times New Roman" w:hAnsi="Times New Roman" w:eastAsia="宋体" w:cs="Times New Roman"/>
                      <w:color w:val="000000"/>
                      <w:szCs w:val="21"/>
                    </w:rPr>
                  </w:pPr>
                  <w:r>
                    <w:rPr>
                      <w:rFonts w:hint="eastAsia" w:ascii="Times New Roman" w:hAnsi="Times New Roman" w:cs="Times New Roman"/>
                      <w:szCs w:val="21"/>
                    </w:rPr>
                    <w:t>0.038</w:t>
                  </w:r>
                </w:p>
              </w:tc>
              <w:tc>
                <w:tcPr>
                  <w:tcW w:w="225" w:type="pct"/>
                  <w:tcBorders>
                    <w:tl2br w:val="nil"/>
                    <w:tr2bl w:val="nil"/>
                  </w:tcBorders>
                  <w:tcMar>
                    <w:top w:w="0" w:type="dxa"/>
                    <w:left w:w="28" w:type="dxa"/>
                    <w:bottom w:w="0" w:type="dxa"/>
                    <w:right w:w="28" w:type="dxa"/>
                  </w:tcMar>
                  <w:vAlign w:val="center"/>
                </w:tcPr>
                <w:p w14:paraId="73ABB8E4">
                  <w:pPr>
                    <w:jc w:val="center"/>
                    <w:rPr>
                      <w:rFonts w:ascii="Times New Roman" w:hAnsi="Times New Roman" w:eastAsia="宋体" w:cs="Times New Roman"/>
                      <w:color w:val="000000"/>
                      <w:szCs w:val="21"/>
                    </w:rPr>
                  </w:pPr>
                  <w:r>
                    <w:rPr>
                      <w:rFonts w:hint="eastAsia" w:ascii="Times New Roman" w:hAnsi="Times New Roman" w:cs="Times New Roman"/>
                      <w:szCs w:val="21"/>
                    </w:rPr>
                    <w:t>0.042</w:t>
                  </w:r>
                </w:p>
              </w:tc>
              <w:tc>
                <w:tcPr>
                  <w:tcW w:w="302" w:type="pct"/>
                  <w:tcBorders>
                    <w:tl2br w:val="nil"/>
                    <w:tr2bl w:val="nil"/>
                  </w:tcBorders>
                  <w:tcMar>
                    <w:top w:w="0" w:type="dxa"/>
                    <w:left w:w="28" w:type="dxa"/>
                    <w:bottom w:w="0" w:type="dxa"/>
                    <w:right w:w="28" w:type="dxa"/>
                  </w:tcMar>
                  <w:vAlign w:val="center"/>
                </w:tcPr>
                <w:p w14:paraId="1DE0FE5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01" w:type="pct"/>
                  <w:tcBorders>
                    <w:tl2br w:val="nil"/>
                    <w:tr2bl w:val="nil"/>
                  </w:tcBorders>
                  <w:tcMar>
                    <w:top w:w="0" w:type="dxa"/>
                    <w:left w:w="28" w:type="dxa"/>
                    <w:bottom w:w="0" w:type="dxa"/>
                    <w:right w:w="28" w:type="dxa"/>
                  </w:tcMar>
                  <w:vAlign w:val="center"/>
                </w:tcPr>
                <w:p w14:paraId="5B8903B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900</w:t>
                  </w:r>
                </w:p>
              </w:tc>
              <w:tc>
                <w:tcPr>
                  <w:tcW w:w="245" w:type="pct"/>
                  <w:tcBorders>
                    <w:tl2br w:val="nil"/>
                    <w:tr2bl w:val="nil"/>
                  </w:tcBorders>
                  <w:tcMar>
                    <w:top w:w="0" w:type="dxa"/>
                    <w:left w:w="28" w:type="dxa"/>
                    <w:bottom w:w="0" w:type="dxa"/>
                    <w:right w:w="28" w:type="dxa"/>
                  </w:tcMar>
                  <w:vAlign w:val="center"/>
                </w:tcPr>
                <w:p w14:paraId="3260C70B">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45C0CDFB">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1.0</w:t>
                  </w:r>
                </w:p>
              </w:tc>
              <w:tc>
                <w:tcPr>
                  <w:tcW w:w="134" w:type="pct"/>
                  <w:tcBorders>
                    <w:tl2br w:val="nil"/>
                    <w:tr2bl w:val="nil"/>
                  </w:tcBorders>
                  <w:tcMar>
                    <w:top w:w="0" w:type="dxa"/>
                    <w:left w:w="28" w:type="dxa"/>
                    <w:bottom w:w="0" w:type="dxa"/>
                    <w:right w:w="28" w:type="dxa"/>
                  </w:tcMar>
                  <w:vAlign w:val="center"/>
                </w:tcPr>
                <w:p w14:paraId="10AAFFFC">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r>
            <w:tr w14:paraId="79B52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 w:type="pct"/>
                  <w:tcBorders>
                    <w:tl2br w:val="nil"/>
                    <w:tr2bl w:val="nil"/>
                  </w:tcBorders>
                  <w:tcMar>
                    <w:top w:w="0" w:type="dxa"/>
                    <w:left w:w="28" w:type="dxa"/>
                    <w:bottom w:w="0" w:type="dxa"/>
                    <w:right w:w="28" w:type="dxa"/>
                  </w:tcMar>
                  <w:vAlign w:val="center"/>
                </w:tcPr>
                <w:p w14:paraId="124F8A4D">
                  <w:pPr>
                    <w:jc w:val="center"/>
                    <w:rPr>
                      <w:rFonts w:ascii="Times New Roman" w:hAnsi="Times New Roman" w:eastAsia="宋体" w:cs="Times New Roman"/>
                      <w:color w:val="000000"/>
                      <w:szCs w:val="21"/>
                    </w:rPr>
                  </w:pPr>
                  <w:r>
                    <w:rPr>
                      <w:rFonts w:ascii="Times New Roman Bold" w:hAnsi="Times New Roman Bold" w:eastAsia="宋体" w:cs="Times New Roman Bold"/>
                      <w:b/>
                      <w:bCs/>
                      <w:color w:val="000000"/>
                      <w:szCs w:val="21"/>
                    </w:rPr>
                    <w:t>2</w:t>
                  </w:r>
                </w:p>
              </w:tc>
              <w:tc>
                <w:tcPr>
                  <w:tcW w:w="208" w:type="pct"/>
                  <w:gridSpan w:val="2"/>
                  <w:tcBorders>
                    <w:tl2br w:val="nil"/>
                    <w:tr2bl w:val="nil"/>
                  </w:tcBorders>
                  <w:tcMar>
                    <w:top w:w="0" w:type="dxa"/>
                    <w:left w:w="28" w:type="dxa"/>
                    <w:bottom w:w="0" w:type="dxa"/>
                    <w:right w:w="28" w:type="dxa"/>
                  </w:tcMar>
                  <w:vAlign w:val="center"/>
                </w:tcPr>
                <w:p w14:paraId="107956E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原料堆棚物料堆存</w:t>
                  </w:r>
                </w:p>
              </w:tc>
              <w:tc>
                <w:tcPr>
                  <w:tcW w:w="268" w:type="pct"/>
                  <w:tcBorders>
                    <w:tl2br w:val="nil"/>
                    <w:tr2bl w:val="nil"/>
                  </w:tcBorders>
                  <w:tcMar>
                    <w:top w:w="0" w:type="dxa"/>
                    <w:left w:w="28" w:type="dxa"/>
                    <w:bottom w:w="0" w:type="dxa"/>
                    <w:right w:w="28" w:type="dxa"/>
                  </w:tcMar>
                  <w:vAlign w:val="center"/>
                </w:tcPr>
                <w:p w14:paraId="1A07DF3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颗粒物</w:t>
                  </w:r>
                </w:p>
              </w:tc>
              <w:tc>
                <w:tcPr>
                  <w:tcW w:w="180" w:type="pct"/>
                  <w:tcBorders>
                    <w:tl2br w:val="nil"/>
                    <w:tr2bl w:val="nil"/>
                  </w:tcBorders>
                  <w:tcMar>
                    <w:top w:w="0" w:type="dxa"/>
                    <w:left w:w="28" w:type="dxa"/>
                    <w:bottom w:w="0" w:type="dxa"/>
                    <w:right w:w="28" w:type="dxa"/>
                  </w:tcMar>
                  <w:vAlign w:val="center"/>
                </w:tcPr>
                <w:p w14:paraId="3B0A3DA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无组织</w:t>
                  </w:r>
                </w:p>
              </w:tc>
              <w:tc>
                <w:tcPr>
                  <w:tcW w:w="249" w:type="pct"/>
                  <w:tcBorders>
                    <w:tl2br w:val="nil"/>
                    <w:tr2bl w:val="nil"/>
                  </w:tcBorders>
                  <w:tcMar>
                    <w:top w:w="0" w:type="dxa"/>
                    <w:left w:w="28" w:type="dxa"/>
                    <w:bottom w:w="0" w:type="dxa"/>
                    <w:right w:w="28" w:type="dxa"/>
                  </w:tcMar>
                  <w:vAlign w:val="center"/>
                </w:tcPr>
                <w:p w14:paraId="12EB39BC">
                  <w:pPr>
                    <w:wordWrap w:val="0"/>
                    <w:topLinePunct/>
                    <w:jc w:val="center"/>
                    <w:rPr>
                      <w:rFonts w:ascii="Times New Roman" w:hAnsi="Times New Roman" w:eastAsia="宋体" w:cs="Times New Roman"/>
                      <w:color w:val="000000"/>
                      <w:szCs w:val="21"/>
                    </w:rPr>
                  </w:pPr>
                  <w:r>
                    <w:rPr>
                      <w:rFonts w:hint="eastAsia" w:ascii="Times New Roman" w:hAnsi="Times New Roman" w:cs="Times New Roman"/>
                      <w:szCs w:val="21"/>
                    </w:rPr>
                    <w:t>6.72</w:t>
                  </w:r>
                </w:p>
              </w:tc>
              <w:tc>
                <w:tcPr>
                  <w:tcW w:w="292" w:type="pct"/>
                  <w:tcBorders>
                    <w:tl2br w:val="nil"/>
                    <w:tr2bl w:val="nil"/>
                  </w:tcBorders>
                  <w:tcMar>
                    <w:top w:w="0" w:type="dxa"/>
                    <w:left w:w="28" w:type="dxa"/>
                    <w:bottom w:w="0" w:type="dxa"/>
                    <w:right w:w="28" w:type="dxa"/>
                  </w:tcMar>
                  <w:vAlign w:val="center"/>
                </w:tcPr>
                <w:p w14:paraId="65129884">
                  <w:pPr>
                    <w:wordWrap w:val="0"/>
                    <w:topLinePunct/>
                    <w:jc w:val="center"/>
                    <w:rPr>
                      <w:rFonts w:ascii="Times New Roman" w:hAnsi="Times New Roman" w:eastAsia="宋体" w:cs="Times New Roman"/>
                      <w:color w:val="000000"/>
                      <w:szCs w:val="21"/>
                    </w:rPr>
                  </w:pPr>
                  <w:r>
                    <w:rPr>
                      <w:rFonts w:hint="eastAsia" w:ascii="Times New Roman" w:hAnsi="Times New Roman" w:cs="Times New Roman"/>
                      <w:szCs w:val="21"/>
                    </w:rPr>
                    <w:t>1.556</w:t>
                  </w:r>
                </w:p>
              </w:tc>
              <w:tc>
                <w:tcPr>
                  <w:tcW w:w="302" w:type="pct"/>
                  <w:tcBorders>
                    <w:tl2br w:val="nil"/>
                    <w:tr2bl w:val="nil"/>
                  </w:tcBorders>
                  <w:tcMar>
                    <w:top w:w="0" w:type="dxa"/>
                    <w:left w:w="28" w:type="dxa"/>
                    <w:bottom w:w="0" w:type="dxa"/>
                    <w:right w:w="28" w:type="dxa"/>
                  </w:tcMar>
                  <w:vAlign w:val="center"/>
                </w:tcPr>
                <w:p w14:paraId="1571FB2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734" w:type="pct"/>
                  <w:tcBorders>
                    <w:tl2br w:val="nil"/>
                    <w:tr2bl w:val="nil"/>
                  </w:tcBorders>
                  <w:tcMar>
                    <w:top w:w="0" w:type="dxa"/>
                    <w:left w:w="28" w:type="dxa"/>
                    <w:bottom w:w="0" w:type="dxa"/>
                    <w:right w:w="28" w:type="dxa"/>
                  </w:tcMar>
                  <w:vAlign w:val="center"/>
                </w:tcPr>
                <w:p w14:paraId="03EF1DEA">
                  <w:pPr>
                    <w:keepNext w:val="0"/>
                    <w:keepLines w:val="0"/>
                    <w:pageBreakBefore w:val="0"/>
                    <w:widowControl w:val="0"/>
                    <w:kinsoku/>
                    <w:wordWrap w:val="0"/>
                    <w:overflowPunct/>
                    <w:topLinePunct/>
                    <w:autoSpaceDE/>
                    <w:autoSpaceDN/>
                    <w:bidi w:val="0"/>
                    <w:adjustRightInd/>
                    <w:snapToGrid/>
                    <w:jc w:val="both"/>
                    <w:textAlignment w:val="auto"/>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①建设半封闭式原料堆棚（三面围挡，仅装卸一侧敞开）；</w:t>
                  </w:r>
                  <w:r>
                    <w:rPr>
                      <w:rFonts w:hint="eastAsia" w:ascii="Times New Roman" w:hAnsi="Times New Roman" w:eastAsia="宋体" w:cs="Times New Roman"/>
                      <w:color w:val="1331F5"/>
                      <w:kern w:val="2"/>
                      <w:sz w:val="21"/>
                      <w:szCs w:val="21"/>
                      <w:lang w:val="en-US" w:eastAsia="zh-CN" w:bidi="ar-SA"/>
                    </w:rPr>
                    <w:t>②对易起尘物料（细物料）采用篷布</w:t>
                  </w:r>
                  <w:r>
                    <w:rPr>
                      <w:rFonts w:hint="default" w:ascii="Times New Roman" w:hAnsi="Times New Roman" w:eastAsia="宋体" w:cs="Times New Roman"/>
                      <w:color w:val="1331F5"/>
                      <w:kern w:val="2"/>
                      <w:sz w:val="21"/>
                      <w:szCs w:val="21"/>
                      <w:lang w:val="en-US" w:eastAsia="zh-CN" w:bidi="ar-SA"/>
                    </w:rPr>
                    <w:t>/</w:t>
                  </w:r>
                  <w:r>
                    <w:rPr>
                      <w:rFonts w:hint="eastAsia" w:ascii="Times New Roman" w:hAnsi="Times New Roman" w:eastAsia="宋体" w:cs="Times New Roman"/>
                      <w:color w:val="1331F5"/>
                      <w:kern w:val="2"/>
                      <w:sz w:val="21"/>
                      <w:szCs w:val="21"/>
                      <w:lang w:val="en-US" w:eastAsia="zh-CN" w:bidi="ar-SA"/>
                    </w:rPr>
                    <w:t>编织苫盖；</w:t>
                  </w:r>
                  <w:r>
                    <w:rPr>
                      <w:rFonts w:hint="eastAsia" w:ascii="Times New Roman" w:hAnsi="Times New Roman" w:eastAsia="宋体" w:cs="Times New Roman"/>
                      <w:color w:val="000000"/>
                      <w:kern w:val="2"/>
                      <w:sz w:val="21"/>
                      <w:szCs w:val="21"/>
                      <w:lang w:val="en-US" w:eastAsia="zh-CN" w:bidi="ar-SA"/>
                    </w:rPr>
                    <w:t>原料堆棚配置移动式喷淋雾炮1套，辅以洒水车洒水降尘，保持堆棚表面湿润；③加强堆场日常管理，合理安排作业时序，大风天气增加洒水频次或暂停作业。</w:t>
                  </w:r>
                </w:p>
              </w:tc>
              <w:tc>
                <w:tcPr>
                  <w:tcW w:w="206" w:type="pct"/>
                  <w:tcBorders>
                    <w:tl2br w:val="nil"/>
                    <w:tr2bl w:val="nil"/>
                  </w:tcBorders>
                  <w:tcMar>
                    <w:top w:w="0" w:type="dxa"/>
                    <w:left w:w="28" w:type="dxa"/>
                    <w:bottom w:w="0" w:type="dxa"/>
                    <w:right w:w="28" w:type="dxa"/>
                  </w:tcMar>
                  <w:vAlign w:val="center"/>
                </w:tcPr>
                <w:p w14:paraId="5FDE7D9B">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c>
                <w:tcPr>
                  <w:tcW w:w="264" w:type="pct"/>
                  <w:tcBorders>
                    <w:tl2br w:val="nil"/>
                    <w:tr2bl w:val="nil"/>
                  </w:tcBorders>
                  <w:tcMar>
                    <w:top w:w="0" w:type="dxa"/>
                    <w:left w:w="28" w:type="dxa"/>
                    <w:bottom w:w="0" w:type="dxa"/>
                    <w:right w:w="28" w:type="dxa"/>
                  </w:tcMar>
                  <w:vAlign w:val="center"/>
                </w:tcPr>
                <w:p w14:paraId="75857ECB">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c>
                <w:tcPr>
                  <w:tcW w:w="278" w:type="pct"/>
                  <w:tcBorders>
                    <w:tl2br w:val="nil"/>
                    <w:tr2bl w:val="nil"/>
                  </w:tcBorders>
                  <w:tcMar>
                    <w:top w:w="0" w:type="dxa"/>
                    <w:left w:w="28" w:type="dxa"/>
                    <w:bottom w:w="0" w:type="dxa"/>
                    <w:right w:w="28" w:type="dxa"/>
                  </w:tcMar>
                  <w:vAlign w:val="center"/>
                </w:tcPr>
                <w:p w14:paraId="1D5E29A2">
                  <w:pPr>
                    <w:jc w:val="center"/>
                    <w:rPr>
                      <w:rFonts w:ascii="Times New Roman" w:hAnsi="Times New Roman" w:eastAsia="宋体" w:cs="Times New Roman"/>
                      <w:color w:val="000000"/>
                      <w:szCs w:val="21"/>
                    </w:rPr>
                  </w:pPr>
                  <w:r>
                    <w:rPr>
                      <w:rFonts w:hint="eastAsia" w:ascii="Times New Roman" w:hAnsi="Times New Roman" w:cs="Times New Roman"/>
                      <w:szCs w:val="21"/>
                    </w:rPr>
                    <w:t>89.6%</w:t>
                  </w:r>
                </w:p>
              </w:tc>
              <w:tc>
                <w:tcPr>
                  <w:tcW w:w="196" w:type="pct"/>
                  <w:tcBorders>
                    <w:tl2br w:val="nil"/>
                    <w:tr2bl w:val="nil"/>
                  </w:tcBorders>
                  <w:tcMar>
                    <w:top w:w="0" w:type="dxa"/>
                    <w:left w:w="28" w:type="dxa"/>
                    <w:bottom w:w="0" w:type="dxa"/>
                    <w:right w:w="28" w:type="dxa"/>
                  </w:tcMar>
                  <w:vAlign w:val="center"/>
                </w:tcPr>
                <w:p w14:paraId="406FF74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是</w:t>
                  </w:r>
                </w:p>
              </w:tc>
              <w:tc>
                <w:tcPr>
                  <w:tcW w:w="234" w:type="pct"/>
                  <w:tcBorders>
                    <w:tl2br w:val="nil"/>
                    <w:tr2bl w:val="nil"/>
                  </w:tcBorders>
                  <w:tcMar>
                    <w:top w:w="0" w:type="dxa"/>
                    <w:left w:w="28" w:type="dxa"/>
                    <w:bottom w:w="0" w:type="dxa"/>
                    <w:right w:w="28" w:type="dxa"/>
                  </w:tcMar>
                  <w:vAlign w:val="center"/>
                </w:tcPr>
                <w:p w14:paraId="226F41CE">
                  <w:pPr>
                    <w:wordWrap w:val="0"/>
                    <w:topLinePunct/>
                    <w:jc w:val="center"/>
                    <w:rPr>
                      <w:rFonts w:ascii="Times New Roman" w:hAnsi="Times New Roman" w:eastAsia="宋体" w:cs="Times New Roman"/>
                      <w:color w:val="000000"/>
                      <w:szCs w:val="21"/>
                    </w:rPr>
                  </w:pPr>
                  <w:r>
                    <w:rPr>
                      <w:rFonts w:hint="eastAsia" w:ascii="Times New Roman" w:hAnsi="Times New Roman" w:cs="Times New Roman"/>
                      <w:szCs w:val="21"/>
                    </w:rPr>
                    <w:t>0.7</w:t>
                  </w:r>
                </w:p>
              </w:tc>
              <w:tc>
                <w:tcPr>
                  <w:tcW w:w="225" w:type="pct"/>
                  <w:tcBorders>
                    <w:tl2br w:val="nil"/>
                    <w:tr2bl w:val="nil"/>
                  </w:tcBorders>
                  <w:tcMar>
                    <w:top w:w="0" w:type="dxa"/>
                    <w:left w:w="28" w:type="dxa"/>
                    <w:bottom w:w="0" w:type="dxa"/>
                    <w:right w:w="28" w:type="dxa"/>
                  </w:tcMar>
                  <w:vAlign w:val="center"/>
                </w:tcPr>
                <w:p w14:paraId="213C46D7">
                  <w:pPr>
                    <w:wordWrap w:val="0"/>
                    <w:topLinePunct/>
                    <w:jc w:val="center"/>
                    <w:rPr>
                      <w:rFonts w:ascii="Times New Roman" w:hAnsi="Times New Roman" w:eastAsia="宋体" w:cs="Times New Roman"/>
                      <w:color w:val="000000"/>
                      <w:szCs w:val="21"/>
                    </w:rPr>
                  </w:pPr>
                  <w:r>
                    <w:rPr>
                      <w:rFonts w:hint="eastAsia" w:ascii="Times New Roman" w:hAnsi="Times New Roman" w:cs="Times New Roman"/>
                      <w:szCs w:val="21"/>
                    </w:rPr>
                    <w:t>0.162</w:t>
                  </w:r>
                </w:p>
              </w:tc>
              <w:tc>
                <w:tcPr>
                  <w:tcW w:w="302" w:type="pct"/>
                  <w:tcBorders>
                    <w:tl2br w:val="nil"/>
                    <w:tr2bl w:val="nil"/>
                  </w:tcBorders>
                  <w:tcMar>
                    <w:top w:w="0" w:type="dxa"/>
                    <w:left w:w="28" w:type="dxa"/>
                    <w:bottom w:w="0" w:type="dxa"/>
                    <w:right w:w="28" w:type="dxa"/>
                  </w:tcMar>
                  <w:vAlign w:val="center"/>
                </w:tcPr>
                <w:p w14:paraId="2076792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01" w:type="pct"/>
                  <w:tcBorders>
                    <w:tl2br w:val="nil"/>
                    <w:tr2bl w:val="nil"/>
                  </w:tcBorders>
                  <w:tcMar>
                    <w:top w:w="0" w:type="dxa"/>
                    <w:left w:w="28" w:type="dxa"/>
                    <w:bottom w:w="0" w:type="dxa"/>
                    <w:right w:w="28" w:type="dxa"/>
                  </w:tcMar>
                  <w:vAlign w:val="center"/>
                </w:tcPr>
                <w:p w14:paraId="7C11A45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4320</w:t>
                  </w:r>
                </w:p>
              </w:tc>
              <w:tc>
                <w:tcPr>
                  <w:tcW w:w="245" w:type="pct"/>
                  <w:tcBorders>
                    <w:tl2br w:val="nil"/>
                    <w:tr2bl w:val="nil"/>
                  </w:tcBorders>
                  <w:tcMar>
                    <w:top w:w="0" w:type="dxa"/>
                    <w:left w:w="28" w:type="dxa"/>
                    <w:bottom w:w="0" w:type="dxa"/>
                    <w:right w:w="28" w:type="dxa"/>
                  </w:tcMar>
                  <w:vAlign w:val="center"/>
                </w:tcPr>
                <w:p w14:paraId="4BDB07D5">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2CC8490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1.0</w:t>
                  </w:r>
                </w:p>
              </w:tc>
              <w:tc>
                <w:tcPr>
                  <w:tcW w:w="134" w:type="pct"/>
                  <w:tcBorders>
                    <w:tl2br w:val="nil"/>
                    <w:tr2bl w:val="nil"/>
                  </w:tcBorders>
                  <w:tcMar>
                    <w:top w:w="0" w:type="dxa"/>
                    <w:left w:w="28" w:type="dxa"/>
                    <w:bottom w:w="0" w:type="dxa"/>
                    <w:right w:w="28" w:type="dxa"/>
                  </w:tcMar>
                  <w:vAlign w:val="center"/>
                </w:tcPr>
                <w:p w14:paraId="1AA6526F">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r>
            <w:tr w14:paraId="5AA8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 w:type="pct"/>
                  <w:tcBorders>
                    <w:tl2br w:val="nil"/>
                    <w:tr2bl w:val="nil"/>
                  </w:tcBorders>
                  <w:tcMar>
                    <w:top w:w="0" w:type="dxa"/>
                    <w:left w:w="28" w:type="dxa"/>
                    <w:bottom w:w="0" w:type="dxa"/>
                    <w:right w:w="28" w:type="dxa"/>
                  </w:tcMar>
                  <w:vAlign w:val="center"/>
                </w:tcPr>
                <w:p w14:paraId="364C793B">
                  <w:pPr>
                    <w:jc w:val="center"/>
                    <w:rPr>
                      <w:rFonts w:ascii="Times New Roman" w:hAnsi="Times New Roman" w:eastAsia="宋体" w:cs="Times New Roman"/>
                      <w:color w:val="000000"/>
                      <w:szCs w:val="21"/>
                    </w:rPr>
                  </w:pPr>
                  <w:r>
                    <w:rPr>
                      <w:rFonts w:ascii="Times New Roman Bold" w:hAnsi="Times New Roman Bold" w:eastAsia="宋体" w:cs="Times New Roman Bold"/>
                      <w:b/>
                      <w:bCs/>
                      <w:color w:val="000000"/>
                      <w:szCs w:val="21"/>
                    </w:rPr>
                    <w:t>3</w:t>
                  </w:r>
                </w:p>
              </w:tc>
              <w:tc>
                <w:tcPr>
                  <w:tcW w:w="208" w:type="pct"/>
                  <w:gridSpan w:val="2"/>
                  <w:tcBorders>
                    <w:tl2br w:val="nil"/>
                    <w:tr2bl w:val="nil"/>
                  </w:tcBorders>
                  <w:tcMar>
                    <w:top w:w="0" w:type="dxa"/>
                    <w:left w:w="28" w:type="dxa"/>
                    <w:bottom w:w="0" w:type="dxa"/>
                    <w:right w:w="28" w:type="dxa"/>
                  </w:tcMar>
                  <w:vAlign w:val="center"/>
                </w:tcPr>
                <w:p w14:paraId="2ED390F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石料卸料</w:t>
                  </w:r>
                </w:p>
              </w:tc>
              <w:tc>
                <w:tcPr>
                  <w:tcW w:w="268" w:type="pct"/>
                  <w:tcBorders>
                    <w:tl2br w:val="nil"/>
                    <w:tr2bl w:val="nil"/>
                  </w:tcBorders>
                  <w:tcMar>
                    <w:top w:w="0" w:type="dxa"/>
                    <w:left w:w="28" w:type="dxa"/>
                    <w:bottom w:w="0" w:type="dxa"/>
                    <w:right w:w="28" w:type="dxa"/>
                  </w:tcMar>
                  <w:vAlign w:val="center"/>
                </w:tcPr>
                <w:p w14:paraId="056E41D5">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颗粒物</w:t>
                  </w:r>
                </w:p>
              </w:tc>
              <w:tc>
                <w:tcPr>
                  <w:tcW w:w="180" w:type="pct"/>
                  <w:tcBorders>
                    <w:tl2br w:val="nil"/>
                    <w:tr2bl w:val="nil"/>
                  </w:tcBorders>
                  <w:tcMar>
                    <w:top w:w="0" w:type="dxa"/>
                    <w:left w:w="28" w:type="dxa"/>
                    <w:bottom w:w="0" w:type="dxa"/>
                    <w:right w:w="28" w:type="dxa"/>
                  </w:tcMar>
                  <w:vAlign w:val="center"/>
                </w:tcPr>
                <w:p w14:paraId="71E04EE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无组织</w:t>
                  </w:r>
                </w:p>
              </w:tc>
              <w:tc>
                <w:tcPr>
                  <w:tcW w:w="249" w:type="pct"/>
                  <w:tcBorders>
                    <w:tl2br w:val="nil"/>
                    <w:tr2bl w:val="nil"/>
                  </w:tcBorders>
                  <w:tcMar>
                    <w:top w:w="0" w:type="dxa"/>
                    <w:left w:w="28" w:type="dxa"/>
                    <w:bottom w:w="0" w:type="dxa"/>
                    <w:right w:w="28" w:type="dxa"/>
                  </w:tcMar>
                  <w:vAlign w:val="center"/>
                </w:tcPr>
                <w:p w14:paraId="453F3162">
                  <w:pPr>
                    <w:jc w:val="center"/>
                    <w:rPr>
                      <w:rFonts w:ascii="Times New Roman" w:hAnsi="Times New Roman" w:eastAsia="宋体" w:cs="Times New Roman"/>
                      <w:color w:val="000000"/>
                      <w:szCs w:val="21"/>
                    </w:rPr>
                  </w:pPr>
                  <w:r>
                    <w:rPr>
                      <w:rFonts w:hint="eastAsia" w:ascii="Times New Roman" w:hAnsi="Times New Roman" w:cs="Times New Roman"/>
                      <w:szCs w:val="21"/>
                    </w:rPr>
                    <w:t>8.063</w:t>
                  </w:r>
                </w:p>
              </w:tc>
              <w:tc>
                <w:tcPr>
                  <w:tcW w:w="292" w:type="pct"/>
                  <w:tcBorders>
                    <w:tl2br w:val="nil"/>
                    <w:tr2bl w:val="nil"/>
                  </w:tcBorders>
                  <w:tcMar>
                    <w:top w:w="0" w:type="dxa"/>
                    <w:left w:w="28" w:type="dxa"/>
                    <w:bottom w:w="0" w:type="dxa"/>
                    <w:right w:w="28" w:type="dxa"/>
                  </w:tcMar>
                  <w:vAlign w:val="center"/>
                </w:tcPr>
                <w:p w14:paraId="24564B0E">
                  <w:pPr>
                    <w:jc w:val="center"/>
                    <w:rPr>
                      <w:rFonts w:ascii="Times New Roman" w:hAnsi="Times New Roman" w:eastAsia="宋体" w:cs="Times New Roman"/>
                      <w:color w:val="000000"/>
                      <w:szCs w:val="21"/>
                    </w:rPr>
                  </w:pPr>
                  <w:r>
                    <w:rPr>
                      <w:rFonts w:hint="eastAsia" w:ascii="Times New Roman" w:hAnsi="Times New Roman" w:cs="Times New Roman"/>
                      <w:szCs w:val="21"/>
                    </w:rPr>
                    <w:t>11.2</w:t>
                  </w:r>
                </w:p>
              </w:tc>
              <w:tc>
                <w:tcPr>
                  <w:tcW w:w="302" w:type="pct"/>
                  <w:tcBorders>
                    <w:tl2br w:val="nil"/>
                    <w:tr2bl w:val="nil"/>
                  </w:tcBorders>
                  <w:tcMar>
                    <w:top w:w="0" w:type="dxa"/>
                    <w:left w:w="28" w:type="dxa"/>
                    <w:bottom w:w="0" w:type="dxa"/>
                    <w:right w:w="28" w:type="dxa"/>
                  </w:tcMar>
                  <w:vAlign w:val="center"/>
                </w:tcPr>
                <w:p w14:paraId="1D8A126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734" w:type="pct"/>
                  <w:tcBorders>
                    <w:tl2br w:val="nil"/>
                    <w:tr2bl w:val="nil"/>
                  </w:tcBorders>
                  <w:tcMar>
                    <w:top w:w="0" w:type="dxa"/>
                    <w:left w:w="28" w:type="dxa"/>
                    <w:bottom w:w="0" w:type="dxa"/>
                    <w:right w:w="28" w:type="dxa"/>
                  </w:tcMar>
                  <w:vAlign w:val="center"/>
                </w:tcPr>
                <w:p w14:paraId="54EFF93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采用移动式喷淋雾炮辅以洒水车针对作业面进行洒水降尘。</w:t>
                  </w:r>
                </w:p>
              </w:tc>
              <w:tc>
                <w:tcPr>
                  <w:tcW w:w="206" w:type="pct"/>
                  <w:tcBorders>
                    <w:tl2br w:val="nil"/>
                    <w:tr2bl w:val="nil"/>
                  </w:tcBorders>
                  <w:tcMar>
                    <w:top w:w="0" w:type="dxa"/>
                    <w:left w:w="28" w:type="dxa"/>
                    <w:bottom w:w="0" w:type="dxa"/>
                    <w:right w:w="28" w:type="dxa"/>
                  </w:tcMar>
                  <w:vAlign w:val="center"/>
                </w:tcPr>
                <w:p w14:paraId="153894FD">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c>
                <w:tcPr>
                  <w:tcW w:w="264" w:type="pct"/>
                  <w:tcBorders>
                    <w:tl2br w:val="nil"/>
                    <w:tr2bl w:val="nil"/>
                  </w:tcBorders>
                  <w:tcMar>
                    <w:top w:w="0" w:type="dxa"/>
                    <w:left w:w="28" w:type="dxa"/>
                    <w:bottom w:w="0" w:type="dxa"/>
                    <w:right w:w="28" w:type="dxa"/>
                  </w:tcMar>
                  <w:vAlign w:val="center"/>
                </w:tcPr>
                <w:p w14:paraId="36B877DE">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c>
                <w:tcPr>
                  <w:tcW w:w="278" w:type="pct"/>
                  <w:tcBorders>
                    <w:tl2br w:val="nil"/>
                    <w:tr2bl w:val="nil"/>
                  </w:tcBorders>
                  <w:tcMar>
                    <w:top w:w="0" w:type="dxa"/>
                    <w:left w:w="28" w:type="dxa"/>
                    <w:bottom w:w="0" w:type="dxa"/>
                    <w:right w:w="28" w:type="dxa"/>
                  </w:tcMar>
                  <w:vAlign w:val="center"/>
                </w:tcPr>
                <w:p w14:paraId="5DDB3DD6">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85%</w:t>
                  </w:r>
                </w:p>
              </w:tc>
              <w:tc>
                <w:tcPr>
                  <w:tcW w:w="196" w:type="pct"/>
                  <w:tcBorders>
                    <w:tl2br w:val="nil"/>
                    <w:tr2bl w:val="nil"/>
                  </w:tcBorders>
                  <w:tcMar>
                    <w:top w:w="0" w:type="dxa"/>
                    <w:left w:w="28" w:type="dxa"/>
                    <w:bottom w:w="0" w:type="dxa"/>
                    <w:right w:w="28" w:type="dxa"/>
                  </w:tcMar>
                  <w:vAlign w:val="center"/>
                </w:tcPr>
                <w:p w14:paraId="3EE031C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是</w:t>
                  </w:r>
                </w:p>
              </w:tc>
              <w:tc>
                <w:tcPr>
                  <w:tcW w:w="234" w:type="pct"/>
                  <w:tcBorders>
                    <w:tl2br w:val="nil"/>
                    <w:tr2bl w:val="nil"/>
                  </w:tcBorders>
                  <w:tcMar>
                    <w:top w:w="0" w:type="dxa"/>
                    <w:left w:w="28" w:type="dxa"/>
                    <w:bottom w:w="0" w:type="dxa"/>
                    <w:right w:w="28" w:type="dxa"/>
                  </w:tcMar>
                  <w:vAlign w:val="center"/>
                </w:tcPr>
                <w:p w14:paraId="39E3775D">
                  <w:pPr>
                    <w:jc w:val="center"/>
                    <w:rPr>
                      <w:rFonts w:ascii="Times New Roman" w:hAnsi="Times New Roman" w:eastAsia="宋体" w:cs="Times New Roman"/>
                      <w:color w:val="000000"/>
                      <w:szCs w:val="21"/>
                    </w:rPr>
                  </w:pPr>
                  <w:r>
                    <w:rPr>
                      <w:rFonts w:hint="eastAsia" w:ascii="Times New Roman" w:hAnsi="Times New Roman" w:cs="Times New Roman"/>
                      <w:szCs w:val="21"/>
                    </w:rPr>
                    <w:t>1.21</w:t>
                  </w:r>
                </w:p>
              </w:tc>
              <w:tc>
                <w:tcPr>
                  <w:tcW w:w="225" w:type="pct"/>
                  <w:tcBorders>
                    <w:tl2br w:val="nil"/>
                    <w:tr2bl w:val="nil"/>
                  </w:tcBorders>
                  <w:tcMar>
                    <w:top w:w="0" w:type="dxa"/>
                    <w:left w:w="28" w:type="dxa"/>
                    <w:bottom w:w="0" w:type="dxa"/>
                    <w:right w:w="28" w:type="dxa"/>
                  </w:tcMar>
                  <w:vAlign w:val="center"/>
                </w:tcPr>
                <w:p w14:paraId="66670838">
                  <w:pPr>
                    <w:jc w:val="center"/>
                    <w:rPr>
                      <w:rFonts w:ascii="Times New Roman" w:hAnsi="Times New Roman" w:eastAsia="宋体" w:cs="Times New Roman"/>
                      <w:color w:val="000000"/>
                      <w:szCs w:val="21"/>
                    </w:rPr>
                  </w:pPr>
                  <w:r>
                    <w:rPr>
                      <w:rFonts w:hint="eastAsia" w:ascii="Times New Roman" w:hAnsi="Times New Roman" w:cs="Times New Roman"/>
                      <w:szCs w:val="21"/>
                    </w:rPr>
                    <w:t>1.68</w:t>
                  </w:r>
                </w:p>
              </w:tc>
              <w:tc>
                <w:tcPr>
                  <w:tcW w:w="302" w:type="pct"/>
                  <w:tcBorders>
                    <w:tl2br w:val="nil"/>
                    <w:tr2bl w:val="nil"/>
                  </w:tcBorders>
                  <w:tcMar>
                    <w:top w:w="0" w:type="dxa"/>
                    <w:left w:w="28" w:type="dxa"/>
                    <w:bottom w:w="0" w:type="dxa"/>
                    <w:right w:w="28" w:type="dxa"/>
                  </w:tcMar>
                  <w:vAlign w:val="center"/>
                </w:tcPr>
                <w:p w14:paraId="19B3399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01" w:type="pct"/>
                  <w:tcBorders>
                    <w:tl2br w:val="nil"/>
                    <w:tr2bl w:val="nil"/>
                  </w:tcBorders>
                  <w:tcMar>
                    <w:top w:w="0" w:type="dxa"/>
                    <w:left w:w="28" w:type="dxa"/>
                    <w:bottom w:w="0" w:type="dxa"/>
                    <w:right w:w="28" w:type="dxa"/>
                  </w:tcMar>
                  <w:vAlign w:val="center"/>
                </w:tcPr>
                <w:p w14:paraId="0BB5294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720</w:t>
                  </w:r>
                </w:p>
              </w:tc>
              <w:tc>
                <w:tcPr>
                  <w:tcW w:w="245" w:type="pct"/>
                  <w:tcBorders>
                    <w:tl2br w:val="nil"/>
                    <w:tr2bl w:val="nil"/>
                  </w:tcBorders>
                  <w:tcMar>
                    <w:top w:w="0" w:type="dxa"/>
                    <w:left w:w="28" w:type="dxa"/>
                    <w:bottom w:w="0" w:type="dxa"/>
                    <w:right w:w="28" w:type="dxa"/>
                  </w:tcMar>
                  <w:vAlign w:val="center"/>
                </w:tcPr>
                <w:p w14:paraId="3FFC5C75">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4F73D70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1.0</w:t>
                  </w:r>
                </w:p>
              </w:tc>
              <w:tc>
                <w:tcPr>
                  <w:tcW w:w="134" w:type="pct"/>
                  <w:tcBorders>
                    <w:tl2br w:val="nil"/>
                    <w:tr2bl w:val="nil"/>
                  </w:tcBorders>
                  <w:tcMar>
                    <w:top w:w="0" w:type="dxa"/>
                    <w:left w:w="28" w:type="dxa"/>
                    <w:bottom w:w="0" w:type="dxa"/>
                    <w:right w:w="28" w:type="dxa"/>
                  </w:tcMar>
                  <w:vAlign w:val="center"/>
                </w:tcPr>
                <w:p w14:paraId="2A0D48A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3FCA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 w:type="pct"/>
                  <w:tcBorders>
                    <w:tl2br w:val="nil"/>
                    <w:tr2bl w:val="nil"/>
                  </w:tcBorders>
                  <w:tcMar>
                    <w:top w:w="0" w:type="dxa"/>
                    <w:left w:w="28" w:type="dxa"/>
                    <w:bottom w:w="0" w:type="dxa"/>
                    <w:right w:w="28" w:type="dxa"/>
                  </w:tcMar>
                  <w:vAlign w:val="center"/>
                </w:tcPr>
                <w:p w14:paraId="0DC15AD8">
                  <w:pPr>
                    <w:jc w:val="center"/>
                    <w:rPr>
                      <w:rFonts w:ascii="Times New Roman" w:hAnsi="Times New Roman" w:eastAsia="宋体" w:cs="Times New Roman"/>
                      <w:color w:val="000000"/>
                      <w:szCs w:val="21"/>
                    </w:rPr>
                  </w:pPr>
                  <w:r>
                    <w:rPr>
                      <w:rFonts w:ascii="Times New Roman Bold" w:hAnsi="Times New Roman Bold" w:eastAsia="宋体" w:cs="Times New Roman Bold"/>
                      <w:b/>
                      <w:bCs/>
                      <w:color w:val="000000"/>
                      <w:szCs w:val="21"/>
                    </w:rPr>
                    <w:t>4</w:t>
                  </w:r>
                </w:p>
              </w:tc>
              <w:tc>
                <w:tcPr>
                  <w:tcW w:w="208" w:type="pct"/>
                  <w:gridSpan w:val="2"/>
                  <w:tcBorders>
                    <w:tl2br w:val="nil"/>
                    <w:tr2bl w:val="nil"/>
                  </w:tcBorders>
                  <w:tcMar>
                    <w:top w:w="0" w:type="dxa"/>
                    <w:left w:w="28" w:type="dxa"/>
                    <w:bottom w:w="0" w:type="dxa"/>
                    <w:right w:w="28" w:type="dxa"/>
                  </w:tcMar>
                  <w:vAlign w:val="center"/>
                </w:tcPr>
                <w:p w14:paraId="4DC6C35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冷料上料</w:t>
                  </w:r>
                </w:p>
              </w:tc>
              <w:tc>
                <w:tcPr>
                  <w:tcW w:w="268" w:type="pct"/>
                  <w:tcBorders>
                    <w:tl2br w:val="nil"/>
                    <w:tr2bl w:val="nil"/>
                  </w:tcBorders>
                  <w:tcMar>
                    <w:top w:w="0" w:type="dxa"/>
                    <w:left w:w="28" w:type="dxa"/>
                    <w:bottom w:w="0" w:type="dxa"/>
                    <w:right w:w="28" w:type="dxa"/>
                  </w:tcMar>
                  <w:vAlign w:val="center"/>
                </w:tcPr>
                <w:p w14:paraId="5D40ED9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颗粒物</w:t>
                  </w:r>
                </w:p>
              </w:tc>
              <w:tc>
                <w:tcPr>
                  <w:tcW w:w="180" w:type="pct"/>
                  <w:tcBorders>
                    <w:tl2br w:val="nil"/>
                    <w:tr2bl w:val="nil"/>
                  </w:tcBorders>
                  <w:tcMar>
                    <w:top w:w="0" w:type="dxa"/>
                    <w:left w:w="28" w:type="dxa"/>
                    <w:bottom w:w="0" w:type="dxa"/>
                    <w:right w:w="28" w:type="dxa"/>
                  </w:tcMar>
                  <w:vAlign w:val="center"/>
                </w:tcPr>
                <w:p w14:paraId="1EE8C0C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无组织</w:t>
                  </w:r>
                </w:p>
              </w:tc>
              <w:tc>
                <w:tcPr>
                  <w:tcW w:w="249" w:type="pct"/>
                  <w:tcBorders>
                    <w:tl2br w:val="nil"/>
                    <w:tr2bl w:val="nil"/>
                  </w:tcBorders>
                  <w:tcMar>
                    <w:top w:w="0" w:type="dxa"/>
                    <w:left w:w="28" w:type="dxa"/>
                    <w:bottom w:w="0" w:type="dxa"/>
                    <w:right w:w="28" w:type="dxa"/>
                  </w:tcMar>
                  <w:vAlign w:val="center"/>
                </w:tcPr>
                <w:p w14:paraId="62379DB4">
                  <w:pPr>
                    <w:jc w:val="center"/>
                    <w:rPr>
                      <w:rFonts w:ascii="Times New Roman" w:hAnsi="Times New Roman" w:eastAsia="宋体" w:cs="Times New Roman"/>
                      <w:color w:val="000000"/>
                      <w:szCs w:val="21"/>
                    </w:rPr>
                  </w:pPr>
                  <w:r>
                    <w:rPr>
                      <w:rFonts w:hint="eastAsia" w:ascii="Times New Roman" w:hAnsi="Times New Roman" w:cs="Times New Roman"/>
                      <w:szCs w:val="21"/>
                    </w:rPr>
                    <w:t>3.26</w:t>
                  </w:r>
                </w:p>
              </w:tc>
              <w:tc>
                <w:tcPr>
                  <w:tcW w:w="292" w:type="pct"/>
                  <w:tcBorders>
                    <w:tl2br w:val="nil"/>
                    <w:tr2bl w:val="nil"/>
                  </w:tcBorders>
                  <w:tcMar>
                    <w:top w:w="0" w:type="dxa"/>
                    <w:left w:w="28" w:type="dxa"/>
                    <w:bottom w:w="0" w:type="dxa"/>
                    <w:right w:w="28" w:type="dxa"/>
                  </w:tcMar>
                  <w:vAlign w:val="center"/>
                </w:tcPr>
                <w:p w14:paraId="0AA9EA52">
                  <w:pPr>
                    <w:jc w:val="center"/>
                    <w:rPr>
                      <w:rFonts w:ascii="Times New Roman" w:hAnsi="Times New Roman" w:eastAsia="宋体" w:cs="Times New Roman"/>
                      <w:color w:val="000000"/>
                      <w:szCs w:val="21"/>
                    </w:rPr>
                  </w:pPr>
                  <w:r>
                    <w:rPr>
                      <w:rFonts w:hint="eastAsia" w:ascii="Times New Roman" w:hAnsi="Times New Roman" w:cs="Times New Roman"/>
                      <w:szCs w:val="21"/>
                    </w:rPr>
                    <w:t>3.62</w:t>
                  </w:r>
                </w:p>
              </w:tc>
              <w:tc>
                <w:tcPr>
                  <w:tcW w:w="302" w:type="pct"/>
                  <w:tcBorders>
                    <w:tl2br w:val="nil"/>
                    <w:tr2bl w:val="nil"/>
                  </w:tcBorders>
                  <w:tcMar>
                    <w:top w:w="0" w:type="dxa"/>
                    <w:left w:w="28" w:type="dxa"/>
                    <w:bottom w:w="0" w:type="dxa"/>
                    <w:right w:w="28" w:type="dxa"/>
                  </w:tcMar>
                  <w:vAlign w:val="center"/>
                </w:tcPr>
                <w:p w14:paraId="338EFCCB">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734" w:type="pct"/>
                  <w:tcBorders>
                    <w:tl2br w:val="nil"/>
                    <w:tr2bl w:val="nil"/>
                  </w:tcBorders>
                  <w:tcMar>
                    <w:top w:w="0" w:type="dxa"/>
                    <w:left w:w="28" w:type="dxa"/>
                    <w:bottom w:w="0" w:type="dxa"/>
                    <w:right w:w="28" w:type="dxa"/>
                  </w:tcMar>
                  <w:vAlign w:val="center"/>
                </w:tcPr>
                <w:p w14:paraId="0F84C9A5">
                  <w:pPr>
                    <w:jc w:val="center"/>
                    <w:rPr>
                      <w:rFonts w:ascii="Times New Roman" w:hAnsi="Times New Roman" w:eastAsia="宋体" w:cs="Times New Roman"/>
                      <w:color w:val="000000"/>
                      <w:szCs w:val="21"/>
                      <w:highlight w:val="yellow"/>
                    </w:rPr>
                  </w:pPr>
                  <w:r>
                    <w:rPr>
                      <w:rFonts w:hint="eastAsia" w:ascii="Times New Roman" w:hAnsi="Times New Roman" w:eastAsia="宋体" w:cs="Times New Roman"/>
                      <w:color w:val="000000"/>
                      <w:szCs w:val="21"/>
                    </w:rPr>
                    <w:t>冷料仓设置半封闭围挡；设置喷淋装置喷淋降尘</w:t>
                  </w:r>
                </w:p>
              </w:tc>
              <w:tc>
                <w:tcPr>
                  <w:tcW w:w="206" w:type="pct"/>
                  <w:tcBorders>
                    <w:tl2br w:val="nil"/>
                    <w:tr2bl w:val="nil"/>
                  </w:tcBorders>
                  <w:tcMar>
                    <w:top w:w="0" w:type="dxa"/>
                    <w:left w:w="28" w:type="dxa"/>
                    <w:bottom w:w="0" w:type="dxa"/>
                    <w:right w:w="28" w:type="dxa"/>
                  </w:tcMar>
                  <w:vAlign w:val="center"/>
                </w:tcPr>
                <w:p w14:paraId="743886DF">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c>
                <w:tcPr>
                  <w:tcW w:w="264" w:type="pct"/>
                  <w:tcBorders>
                    <w:tl2br w:val="nil"/>
                    <w:tr2bl w:val="nil"/>
                  </w:tcBorders>
                  <w:tcMar>
                    <w:top w:w="0" w:type="dxa"/>
                    <w:left w:w="28" w:type="dxa"/>
                    <w:bottom w:w="0" w:type="dxa"/>
                    <w:right w:w="28" w:type="dxa"/>
                  </w:tcMar>
                  <w:vAlign w:val="center"/>
                </w:tcPr>
                <w:p w14:paraId="379B013D">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c>
                <w:tcPr>
                  <w:tcW w:w="278" w:type="pct"/>
                  <w:tcBorders>
                    <w:tl2br w:val="nil"/>
                    <w:tr2bl w:val="nil"/>
                  </w:tcBorders>
                  <w:tcMar>
                    <w:top w:w="0" w:type="dxa"/>
                    <w:left w:w="28" w:type="dxa"/>
                    <w:bottom w:w="0" w:type="dxa"/>
                    <w:right w:w="28" w:type="dxa"/>
                  </w:tcMar>
                  <w:vAlign w:val="center"/>
                </w:tcPr>
                <w:p w14:paraId="508B4E1C">
                  <w:pPr>
                    <w:jc w:val="center"/>
                    <w:rPr>
                      <w:rFonts w:ascii="Times New Roman" w:hAnsi="Times New Roman" w:eastAsia="宋体" w:cs="Times New Roman"/>
                      <w:color w:val="000000"/>
                      <w:szCs w:val="21"/>
                    </w:rPr>
                  </w:pPr>
                  <w:r>
                    <w:rPr>
                      <w:rFonts w:hint="eastAsia" w:ascii="Times New Roman" w:hAnsi="Times New Roman" w:cs="Times New Roman"/>
                      <w:szCs w:val="21"/>
                    </w:rPr>
                    <w:t>89.6%</w:t>
                  </w:r>
                </w:p>
              </w:tc>
              <w:tc>
                <w:tcPr>
                  <w:tcW w:w="196" w:type="pct"/>
                  <w:tcBorders>
                    <w:tl2br w:val="nil"/>
                    <w:tr2bl w:val="nil"/>
                  </w:tcBorders>
                  <w:tcMar>
                    <w:top w:w="0" w:type="dxa"/>
                    <w:left w:w="28" w:type="dxa"/>
                    <w:bottom w:w="0" w:type="dxa"/>
                    <w:right w:w="28" w:type="dxa"/>
                  </w:tcMar>
                  <w:vAlign w:val="center"/>
                </w:tcPr>
                <w:p w14:paraId="0B4076EB">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是</w:t>
                  </w:r>
                </w:p>
              </w:tc>
              <w:tc>
                <w:tcPr>
                  <w:tcW w:w="234" w:type="pct"/>
                  <w:tcBorders>
                    <w:tl2br w:val="nil"/>
                    <w:tr2bl w:val="nil"/>
                  </w:tcBorders>
                  <w:tcMar>
                    <w:top w:w="0" w:type="dxa"/>
                    <w:left w:w="28" w:type="dxa"/>
                    <w:bottom w:w="0" w:type="dxa"/>
                    <w:right w:w="28" w:type="dxa"/>
                  </w:tcMar>
                  <w:vAlign w:val="center"/>
                </w:tcPr>
                <w:p w14:paraId="431EDAAE">
                  <w:pPr>
                    <w:jc w:val="center"/>
                    <w:rPr>
                      <w:rFonts w:ascii="Times New Roman" w:hAnsi="Times New Roman" w:eastAsia="宋体" w:cs="Times New Roman"/>
                      <w:color w:val="000000"/>
                      <w:szCs w:val="21"/>
                    </w:rPr>
                  </w:pPr>
                  <w:r>
                    <w:rPr>
                      <w:rFonts w:hint="eastAsia" w:ascii="Times New Roman" w:hAnsi="Times New Roman" w:cs="Times New Roman"/>
                      <w:szCs w:val="21"/>
                    </w:rPr>
                    <w:t>0.34</w:t>
                  </w:r>
                </w:p>
              </w:tc>
              <w:tc>
                <w:tcPr>
                  <w:tcW w:w="225" w:type="pct"/>
                  <w:tcBorders>
                    <w:tl2br w:val="nil"/>
                    <w:tr2bl w:val="nil"/>
                  </w:tcBorders>
                  <w:tcMar>
                    <w:top w:w="0" w:type="dxa"/>
                    <w:left w:w="28" w:type="dxa"/>
                    <w:bottom w:w="0" w:type="dxa"/>
                    <w:right w:w="28" w:type="dxa"/>
                  </w:tcMar>
                  <w:vAlign w:val="center"/>
                </w:tcPr>
                <w:p w14:paraId="11B81FBA">
                  <w:pPr>
                    <w:jc w:val="center"/>
                    <w:rPr>
                      <w:rFonts w:ascii="Times New Roman" w:hAnsi="Times New Roman" w:eastAsia="宋体" w:cs="Times New Roman"/>
                      <w:color w:val="000000"/>
                      <w:szCs w:val="21"/>
                    </w:rPr>
                  </w:pPr>
                  <w:r>
                    <w:rPr>
                      <w:rFonts w:hint="eastAsia" w:ascii="Times New Roman" w:hAnsi="Times New Roman" w:cs="Times New Roman"/>
                      <w:szCs w:val="21"/>
                    </w:rPr>
                    <w:t>0.38</w:t>
                  </w:r>
                </w:p>
              </w:tc>
              <w:tc>
                <w:tcPr>
                  <w:tcW w:w="302" w:type="pct"/>
                  <w:tcBorders>
                    <w:tl2br w:val="nil"/>
                    <w:tr2bl w:val="nil"/>
                  </w:tcBorders>
                  <w:tcMar>
                    <w:top w:w="0" w:type="dxa"/>
                    <w:left w:w="28" w:type="dxa"/>
                    <w:bottom w:w="0" w:type="dxa"/>
                    <w:right w:w="28" w:type="dxa"/>
                  </w:tcMar>
                  <w:vAlign w:val="center"/>
                </w:tcPr>
                <w:p w14:paraId="5FA5E63B">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01" w:type="pct"/>
                  <w:tcBorders>
                    <w:tl2br w:val="nil"/>
                    <w:tr2bl w:val="nil"/>
                  </w:tcBorders>
                  <w:tcMar>
                    <w:top w:w="0" w:type="dxa"/>
                    <w:left w:w="28" w:type="dxa"/>
                    <w:bottom w:w="0" w:type="dxa"/>
                    <w:right w:w="28" w:type="dxa"/>
                  </w:tcMar>
                  <w:vAlign w:val="center"/>
                </w:tcPr>
                <w:p w14:paraId="7A7E401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900</w:t>
                  </w:r>
                </w:p>
              </w:tc>
              <w:tc>
                <w:tcPr>
                  <w:tcW w:w="245" w:type="pct"/>
                  <w:tcBorders>
                    <w:tl2br w:val="nil"/>
                    <w:tr2bl w:val="nil"/>
                  </w:tcBorders>
                  <w:tcMar>
                    <w:top w:w="0" w:type="dxa"/>
                    <w:left w:w="28" w:type="dxa"/>
                    <w:bottom w:w="0" w:type="dxa"/>
                    <w:right w:w="28" w:type="dxa"/>
                  </w:tcMar>
                  <w:vAlign w:val="center"/>
                </w:tcPr>
                <w:p w14:paraId="586DD0A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07EB75B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1.0</w:t>
                  </w:r>
                </w:p>
              </w:tc>
              <w:tc>
                <w:tcPr>
                  <w:tcW w:w="134" w:type="pct"/>
                  <w:tcBorders>
                    <w:tl2br w:val="nil"/>
                    <w:tr2bl w:val="nil"/>
                  </w:tcBorders>
                  <w:tcMar>
                    <w:top w:w="0" w:type="dxa"/>
                    <w:left w:w="28" w:type="dxa"/>
                    <w:bottom w:w="0" w:type="dxa"/>
                    <w:right w:w="28" w:type="dxa"/>
                  </w:tcMar>
                  <w:vAlign w:val="center"/>
                </w:tcPr>
                <w:p w14:paraId="6F0F7A1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16FD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 w:type="pct"/>
                  <w:tcBorders>
                    <w:tl2br w:val="nil"/>
                    <w:tr2bl w:val="nil"/>
                  </w:tcBorders>
                  <w:tcMar>
                    <w:top w:w="0" w:type="dxa"/>
                    <w:left w:w="28" w:type="dxa"/>
                    <w:bottom w:w="0" w:type="dxa"/>
                    <w:right w:w="28" w:type="dxa"/>
                  </w:tcMar>
                  <w:vAlign w:val="center"/>
                </w:tcPr>
                <w:p w14:paraId="61F9210E">
                  <w:pPr>
                    <w:jc w:val="center"/>
                    <w:rPr>
                      <w:rFonts w:ascii="Times New Roman Bold" w:hAnsi="Times New Roman Bold" w:eastAsia="宋体" w:cs="Times New Roman Bold"/>
                      <w:b/>
                      <w:bCs/>
                      <w:color w:val="000000"/>
                      <w:szCs w:val="21"/>
                    </w:rPr>
                  </w:pPr>
                  <w:r>
                    <w:rPr>
                      <w:rFonts w:hint="eastAsia" w:ascii="Times New Roman Bold" w:hAnsi="Times New Roman Bold" w:eastAsia="宋体" w:cs="Times New Roman Bold"/>
                      <w:b/>
                      <w:bCs/>
                      <w:color w:val="000000"/>
                      <w:szCs w:val="21"/>
                    </w:rPr>
                    <w:t>5</w:t>
                  </w:r>
                </w:p>
              </w:tc>
              <w:tc>
                <w:tcPr>
                  <w:tcW w:w="208" w:type="pct"/>
                  <w:gridSpan w:val="2"/>
                  <w:tcBorders>
                    <w:tl2br w:val="nil"/>
                    <w:tr2bl w:val="nil"/>
                  </w:tcBorders>
                  <w:tcMar>
                    <w:top w:w="0" w:type="dxa"/>
                    <w:left w:w="28" w:type="dxa"/>
                    <w:bottom w:w="0" w:type="dxa"/>
                    <w:right w:w="28" w:type="dxa"/>
                  </w:tcMar>
                  <w:vAlign w:val="center"/>
                </w:tcPr>
                <w:p w14:paraId="2D760F06">
                  <w:pPr>
                    <w:jc w:val="center"/>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皮带运输</w:t>
                  </w:r>
                </w:p>
              </w:tc>
              <w:tc>
                <w:tcPr>
                  <w:tcW w:w="268" w:type="pct"/>
                  <w:tcBorders>
                    <w:tl2br w:val="nil"/>
                    <w:tr2bl w:val="nil"/>
                  </w:tcBorders>
                  <w:tcMar>
                    <w:top w:w="0" w:type="dxa"/>
                    <w:left w:w="28" w:type="dxa"/>
                    <w:bottom w:w="0" w:type="dxa"/>
                    <w:right w:w="28" w:type="dxa"/>
                  </w:tcMar>
                  <w:vAlign w:val="center"/>
                </w:tcPr>
                <w:p w14:paraId="252B131A">
                  <w:pPr>
                    <w:jc w:val="center"/>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颗粒物</w:t>
                  </w:r>
                </w:p>
              </w:tc>
              <w:tc>
                <w:tcPr>
                  <w:tcW w:w="180" w:type="pct"/>
                  <w:tcBorders>
                    <w:tl2br w:val="nil"/>
                    <w:tr2bl w:val="nil"/>
                  </w:tcBorders>
                  <w:tcMar>
                    <w:top w:w="0" w:type="dxa"/>
                    <w:left w:w="28" w:type="dxa"/>
                    <w:bottom w:w="0" w:type="dxa"/>
                    <w:right w:w="28" w:type="dxa"/>
                  </w:tcMar>
                  <w:vAlign w:val="center"/>
                </w:tcPr>
                <w:p w14:paraId="00888F96">
                  <w:pPr>
                    <w:jc w:val="center"/>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无组织</w:t>
                  </w:r>
                </w:p>
              </w:tc>
              <w:tc>
                <w:tcPr>
                  <w:tcW w:w="249" w:type="pct"/>
                  <w:tcBorders>
                    <w:tl2br w:val="nil"/>
                    <w:tr2bl w:val="nil"/>
                  </w:tcBorders>
                  <w:tcMar>
                    <w:top w:w="0" w:type="dxa"/>
                    <w:left w:w="28" w:type="dxa"/>
                    <w:bottom w:w="0" w:type="dxa"/>
                    <w:right w:w="28" w:type="dxa"/>
                  </w:tcMar>
                  <w:vAlign w:val="center"/>
                </w:tcPr>
                <w:p w14:paraId="11F91761">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292" w:type="pct"/>
                  <w:tcBorders>
                    <w:tl2br w:val="nil"/>
                    <w:tr2bl w:val="nil"/>
                  </w:tcBorders>
                  <w:tcMar>
                    <w:top w:w="0" w:type="dxa"/>
                    <w:left w:w="28" w:type="dxa"/>
                    <w:bottom w:w="0" w:type="dxa"/>
                    <w:right w:w="28" w:type="dxa"/>
                  </w:tcMar>
                  <w:vAlign w:val="center"/>
                </w:tcPr>
                <w:p w14:paraId="1C02AC53">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302" w:type="pct"/>
                  <w:tcBorders>
                    <w:tl2br w:val="nil"/>
                    <w:tr2bl w:val="nil"/>
                  </w:tcBorders>
                  <w:tcMar>
                    <w:top w:w="0" w:type="dxa"/>
                    <w:left w:w="28" w:type="dxa"/>
                    <w:bottom w:w="0" w:type="dxa"/>
                    <w:right w:w="28" w:type="dxa"/>
                  </w:tcMar>
                  <w:vAlign w:val="center"/>
                </w:tcPr>
                <w:p w14:paraId="2D99A117">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734" w:type="pct"/>
                  <w:tcBorders>
                    <w:tl2br w:val="nil"/>
                    <w:tr2bl w:val="nil"/>
                  </w:tcBorders>
                  <w:tcMar>
                    <w:top w:w="0" w:type="dxa"/>
                    <w:left w:w="28" w:type="dxa"/>
                    <w:bottom w:w="0" w:type="dxa"/>
                    <w:right w:w="28" w:type="dxa"/>
                  </w:tcMar>
                  <w:vAlign w:val="center"/>
                </w:tcPr>
                <w:p w14:paraId="79C5C2A3">
                  <w:pPr>
                    <w:jc w:val="center"/>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封闭皮带廊道</w:t>
                  </w:r>
                </w:p>
              </w:tc>
              <w:tc>
                <w:tcPr>
                  <w:tcW w:w="206" w:type="pct"/>
                  <w:tcBorders>
                    <w:tl2br w:val="nil"/>
                    <w:tr2bl w:val="nil"/>
                  </w:tcBorders>
                  <w:tcMar>
                    <w:top w:w="0" w:type="dxa"/>
                    <w:left w:w="28" w:type="dxa"/>
                    <w:bottom w:w="0" w:type="dxa"/>
                    <w:right w:w="28" w:type="dxa"/>
                  </w:tcMar>
                  <w:vAlign w:val="center"/>
                </w:tcPr>
                <w:p w14:paraId="32C8D027">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264" w:type="pct"/>
                  <w:tcBorders>
                    <w:tl2br w:val="nil"/>
                    <w:tr2bl w:val="nil"/>
                  </w:tcBorders>
                  <w:tcMar>
                    <w:top w:w="0" w:type="dxa"/>
                    <w:left w:w="28" w:type="dxa"/>
                    <w:bottom w:w="0" w:type="dxa"/>
                    <w:right w:w="28" w:type="dxa"/>
                  </w:tcMar>
                  <w:vAlign w:val="center"/>
                </w:tcPr>
                <w:p w14:paraId="5CE63DCF">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278" w:type="pct"/>
                  <w:tcBorders>
                    <w:tl2br w:val="nil"/>
                    <w:tr2bl w:val="nil"/>
                  </w:tcBorders>
                  <w:tcMar>
                    <w:top w:w="0" w:type="dxa"/>
                    <w:left w:w="28" w:type="dxa"/>
                    <w:bottom w:w="0" w:type="dxa"/>
                    <w:right w:w="28" w:type="dxa"/>
                  </w:tcMar>
                  <w:vAlign w:val="center"/>
                </w:tcPr>
                <w:p w14:paraId="07DE1FA5">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196" w:type="pct"/>
                  <w:tcBorders>
                    <w:tl2br w:val="nil"/>
                    <w:tr2bl w:val="nil"/>
                  </w:tcBorders>
                  <w:tcMar>
                    <w:top w:w="0" w:type="dxa"/>
                    <w:left w:w="28" w:type="dxa"/>
                    <w:bottom w:w="0" w:type="dxa"/>
                    <w:right w:w="28" w:type="dxa"/>
                  </w:tcMar>
                  <w:vAlign w:val="center"/>
                </w:tcPr>
                <w:p w14:paraId="6F70B090">
                  <w:pPr>
                    <w:jc w:val="center"/>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是</w:t>
                  </w:r>
                </w:p>
              </w:tc>
              <w:tc>
                <w:tcPr>
                  <w:tcW w:w="234" w:type="pct"/>
                  <w:tcBorders>
                    <w:tl2br w:val="nil"/>
                    <w:tr2bl w:val="nil"/>
                  </w:tcBorders>
                  <w:tcMar>
                    <w:top w:w="0" w:type="dxa"/>
                    <w:left w:w="28" w:type="dxa"/>
                    <w:bottom w:w="0" w:type="dxa"/>
                    <w:right w:w="28" w:type="dxa"/>
                  </w:tcMar>
                  <w:vAlign w:val="center"/>
                </w:tcPr>
                <w:p w14:paraId="51328A49">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225" w:type="pct"/>
                  <w:tcBorders>
                    <w:tl2br w:val="nil"/>
                    <w:tr2bl w:val="nil"/>
                  </w:tcBorders>
                  <w:tcMar>
                    <w:top w:w="0" w:type="dxa"/>
                    <w:left w:w="28" w:type="dxa"/>
                    <w:bottom w:w="0" w:type="dxa"/>
                    <w:right w:w="28" w:type="dxa"/>
                  </w:tcMar>
                  <w:vAlign w:val="center"/>
                </w:tcPr>
                <w:p w14:paraId="1AEFE3AB">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302" w:type="pct"/>
                  <w:tcBorders>
                    <w:tl2br w:val="nil"/>
                    <w:tr2bl w:val="nil"/>
                  </w:tcBorders>
                  <w:tcMar>
                    <w:top w:w="0" w:type="dxa"/>
                    <w:left w:w="28" w:type="dxa"/>
                    <w:bottom w:w="0" w:type="dxa"/>
                    <w:right w:w="28" w:type="dxa"/>
                  </w:tcMar>
                  <w:vAlign w:val="center"/>
                </w:tcPr>
                <w:p w14:paraId="7FFDE618">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201" w:type="pct"/>
                  <w:tcBorders>
                    <w:tl2br w:val="nil"/>
                    <w:tr2bl w:val="nil"/>
                  </w:tcBorders>
                  <w:tcMar>
                    <w:top w:w="0" w:type="dxa"/>
                    <w:left w:w="28" w:type="dxa"/>
                    <w:bottom w:w="0" w:type="dxa"/>
                    <w:right w:w="28" w:type="dxa"/>
                  </w:tcMar>
                  <w:vAlign w:val="center"/>
                </w:tcPr>
                <w:p w14:paraId="4A7111CA">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245" w:type="pct"/>
                  <w:tcBorders>
                    <w:tl2br w:val="nil"/>
                    <w:tr2bl w:val="nil"/>
                  </w:tcBorders>
                  <w:tcMar>
                    <w:top w:w="0" w:type="dxa"/>
                    <w:left w:w="28" w:type="dxa"/>
                    <w:bottom w:w="0" w:type="dxa"/>
                    <w:right w:w="28" w:type="dxa"/>
                  </w:tcMar>
                  <w:vAlign w:val="center"/>
                </w:tcPr>
                <w:p w14:paraId="6EC461F3">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7EEE92DF">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1.0</w:t>
                  </w:r>
                </w:p>
              </w:tc>
              <w:tc>
                <w:tcPr>
                  <w:tcW w:w="134" w:type="pct"/>
                  <w:tcBorders>
                    <w:tl2br w:val="nil"/>
                    <w:tr2bl w:val="nil"/>
                  </w:tcBorders>
                  <w:tcMar>
                    <w:top w:w="0" w:type="dxa"/>
                    <w:left w:w="28" w:type="dxa"/>
                    <w:bottom w:w="0" w:type="dxa"/>
                    <w:right w:w="28" w:type="dxa"/>
                  </w:tcMar>
                  <w:vAlign w:val="center"/>
                </w:tcPr>
                <w:p w14:paraId="21856EEC">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r>
            <w:tr w14:paraId="182C3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 w:type="pct"/>
                  <w:tcBorders>
                    <w:tl2br w:val="nil"/>
                    <w:tr2bl w:val="nil"/>
                  </w:tcBorders>
                  <w:tcMar>
                    <w:top w:w="0" w:type="dxa"/>
                    <w:left w:w="28" w:type="dxa"/>
                    <w:bottom w:w="0" w:type="dxa"/>
                    <w:right w:w="28" w:type="dxa"/>
                  </w:tcMar>
                  <w:vAlign w:val="center"/>
                </w:tcPr>
                <w:p w14:paraId="0718511E">
                  <w:pPr>
                    <w:jc w:val="center"/>
                    <w:rPr>
                      <w:rFonts w:ascii="Times New Roman Bold" w:hAnsi="Times New Roman Bold" w:eastAsia="宋体" w:cs="Times New Roman Bold"/>
                      <w:szCs w:val="21"/>
                    </w:rPr>
                  </w:pPr>
                  <w:r>
                    <w:rPr>
                      <w:rFonts w:hint="eastAsia" w:ascii="Times New Roman Bold" w:hAnsi="Times New Roman Bold" w:eastAsia="宋体" w:cs="Times New Roman Bold"/>
                      <w:szCs w:val="21"/>
                    </w:rPr>
                    <w:t>6</w:t>
                  </w:r>
                </w:p>
              </w:tc>
              <w:tc>
                <w:tcPr>
                  <w:tcW w:w="208" w:type="pct"/>
                  <w:gridSpan w:val="2"/>
                  <w:tcBorders>
                    <w:tl2br w:val="nil"/>
                    <w:tr2bl w:val="nil"/>
                  </w:tcBorders>
                  <w:tcMar>
                    <w:top w:w="0" w:type="dxa"/>
                    <w:left w:w="28" w:type="dxa"/>
                    <w:bottom w:w="0" w:type="dxa"/>
                    <w:right w:w="28" w:type="dxa"/>
                  </w:tcMar>
                  <w:vAlign w:val="center"/>
                </w:tcPr>
                <w:p w14:paraId="4AEC9688">
                  <w:pPr>
                    <w:jc w:val="center"/>
                    <w:rPr>
                      <w:rFonts w:ascii="Times New Roman Bold" w:hAnsi="Times New Roman Bold" w:eastAsia="宋体" w:cs="Times New Roman Bold"/>
                      <w:szCs w:val="21"/>
                    </w:rPr>
                  </w:pPr>
                  <w:r>
                    <w:rPr>
                      <w:rFonts w:hint="eastAsia" w:ascii="Times New Roman Bold" w:hAnsi="Times New Roman Bold" w:eastAsia="宋体" w:cs="Times New Roman Bold"/>
                      <w:szCs w:val="21"/>
                    </w:rPr>
                    <w:t>矿粉立仓粉尘</w:t>
                  </w:r>
                </w:p>
              </w:tc>
              <w:tc>
                <w:tcPr>
                  <w:tcW w:w="268" w:type="pct"/>
                  <w:tcBorders>
                    <w:tl2br w:val="nil"/>
                    <w:tr2bl w:val="nil"/>
                  </w:tcBorders>
                  <w:tcMar>
                    <w:top w:w="0" w:type="dxa"/>
                    <w:left w:w="28" w:type="dxa"/>
                    <w:bottom w:w="0" w:type="dxa"/>
                    <w:right w:w="28" w:type="dxa"/>
                  </w:tcMar>
                  <w:vAlign w:val="center"/>
                </w:tcPr>
                <w:p w14:paraId="7157C6CE">
                  <w:pPr>
                    <w:jc w:val="center"/>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颗粒物</w:t>
                  </w:r>
                </w:p>
              </w:tc>
              <w:tc>
                <w:tcPr>
                  <w:tcW w:w="180" w:type="pct"/>
                  <w:tcBorders>
                    <w:tl2br w:val="nil"/>
                    <w:tr2bl w:val="nil"/>
                  </w:tcBorders>
                  <w:tcMar>
                    <w:top w:w="0" w:type="dxa"/>
                    <w:left w:w="28" w:type="dxa"/>
                    <w:bottom w:w="0" w:type="dxa"/>
                    <w:right w:w="28" w:type="dxa"/>
                  </w:tcMar>
                  <w:vAlign w:val="center"/>
                </w:tcPr>
                <w:p w14:paraId="4F72C026">
                  <w:pPr>
                    <w:jc w:val="center"/>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w:t>
                  </w:r>
                </w:p>
              </w:tc>
              <w:tc>
                <w:tcPr>
                  <w:tcW w:w="249" w:type="pct"/>
                  <w:tcBorders>
                    <w:tl2br w:val="nil"/>
                    <w:tr2bl w:val="nil"/>
                  </w:tcBorders>
                  <w:tcMar>
                    <w:top w:w="0" w:type="dxa"/>
                    <w:left w:w="28" w:type="dxa"/>
                    <w:bottom w:w="0" w:type="dxa"/>
                    <w:right w:w="28" w:type="dxa"/>
                  </w:tcMar>
                  <w:vAlign w:val="center"/>
                </w:tcPr>
                <w:p w14:paraId="004260A1">
                  <w:pPr>
                    <w:jc w:val="center"/>
                    <w:rPr>
                      <w:rFonts w:ascii="Times New Roman Bold" w:hAnsi="Times New Roman Bold" w:eastAsia="宋体" w:cs="Times New Roman Bold"/>
                      <w:color w:val="000000"/>
                      <w:szCs w:val="21"/>
                    </w:rPr>
                  </w:pPr>
                  <w:r>
                    <w:rPr>
                      <w:rFonts w:hint="eastAsia" w:ascii="Times New Roman" w:hAnsi="Times New Roman" w:cs="Times New Roman"/>
                      <w:szCs w:val="21"/>
                    </w:rPr>
                    <w:t>0.545</w:t>
                  </w:r>
                </w:p>
              </w:tc>
              <w:tc>
                <w:tcPr>
                  <w:tcW w:w="292" w:type="pct"/>
                  <w:tcBorders>
                    <w:tl2br w:val="nil"/>
                    <w:tr2bl w:val="nil"/>
                  </w:tcBorders>
                  <w:tcMar>
                    <w:top w:w="0" w:type="dxa"/>
                    <w:left w:w="28" w:type="dxa"/>
                    <w:bottom w:w="0" w:type="dxa"/>
                    <w:right w:w="28" w:type="dxa"/>
                  </w:tcMar>
                  <w:vAlign w:val="center"/>
                </w:tcPr>
                <w:p w14:paraId="0D81A668">
                  <w:pPr>
                    <w:jc w:val="center"/>
                    <w:rPr>
                      <w:rFonts w:ascii="Times New Roman Bold" w:hAnsi="Times New Roman Bold" w:eastAsia="宋体" w:cs="Times New Roman Bold"/>
                      <w:color w:val="000000"/>
                      <w:szCs w:val="21"/>
                    </w:rPr>
                  </w:pPr>
                  <w:r>
                    <w:rPr>
                      <w:rFonts w:hint="eastAsia" w:ascii="Times New Roman" w:hAnsi="Times New Roman" w:cs="Times New Roman"/>
                      <w:szCs w:val="21"/>
                    </w:rPr>
                    <w:t>0.606</w:t>
                  </w:r>
                </w:p>
              </w:tc>
              <w:tc>
                <w:tcPr>
                  <w:tcW w:w="302" w:type="pct"/>
                  <w:tcBorders>
                    <w:tl2br w:val="nil"/>
                    <w:tr2bl w:val="nil"/>
                  </w:tcBorders>
                  <w:tcMar>
                    <w:top w:w="0" w:type="dxa"/>
                    <w:left w:w="28" w:type="dxa"/>
                    <w:bottom w:w="0" w:type="dxa"/>
                    <w:right w:w="28" w:type="dxa"/>
                  </w:tcMar>
                  <w:vAlign w:val="center"/>
                </w:tcPr>
                <w:p w14:paraId="41D993D0">
                  <w:pPr>
                    <w:jc w:val="center"/>
                    <w:rPr>
                      <w:rFonts w:ascii="Times New Roman Bold" w:hAnsi="Times New Roman Bold" w:eastAsia="宋体" w:cs="Times New Roman Bold"/>
                      <w:color w:val="000000"/>
                      <w:szCs w:val="21"/>
                    </w:rPr>
                  </w:pPr>
                  <w:r>
                    <w:rPr>
                      <w:rFonts w:ascii="Times New Roman Bold" w:hAnsi="Times New Roman Bold" w:eastAsia="宋体" w:cs="Times New Roman Bold"/>
                      <w:color w:val="000000"/>
                      <w:szCs w:val="21"/>
                    </w:rPr>
                    <w:t>/</w:t>
                  </w:r>
                </w:p>
              </w:tc>
              <w:tc>
                <w:tcPr>
                  <w:tcW w:w="734" w:type="pct"/>
                  <w:tcBorders>
                    <w:tl2br w:val="nil"/>
                    <w:tr2bl w:val="nil"/>
                  </w:tcBorders>
                  <w:tcMar>
                    <w:top w:w="0" w:type="dxa"/>
                    <w:left w:w="28" w:type="dxa"/>
                    <w:bottom w:w="0" w:type="dxa"/>
                    <w:right w:w="28" w:type="dxa"/>
                  </w:tcMar>
                  <w:vAlign w:val="center"/>
                </w:tcPr>
                <w:p w14:paraId="530864F7">
                  <w:pPr>
                    <w:jc w:val="center"/>
                    <w:rPr>
                      <w:rFonts w:ascii="Times New Roman Bold" w:hAnsi="Times New Roman Bold" w:eastAsia="宋体" w:cs="Times New Roman Bold"/>
                      <w:color w:val="000000"/>
                      <w:szCs w:val="21"/>
                    </w:rPr>
                  </w:pPr>
                  <w:r>
                    <w:rPr>
                      <w:rFonts w:ascii="Times New Roman" w:hAnsi="Times New Roman" w:eastAsia="宋体" w:cs="Times New Roman"/>
                      <w:color w:val="000000"/>
                      <w:szCs w:val="21"/>
                    </w:rPr>
                    <w:t>1#</w:t>
                  </w:r>
                  <w:r>
                    <w:rPr>
                      <w:rFonts w:hint="eastAsia" w:ascii="Times New Roman" w:hAnsi="Times New Roman" w:eastAsia="宋体" w:cs="Times New Roman"/>
                      <w:color w:val="000000"/>
                      <w:szCs w:val="21"/>
                    </w:rPr>
                    <w:t>两仓并联共用1套振动式仓顶收尘机，2#仓顶</w:t>
                  </w:r>
                  <w:r>
                    <w:rPr>
                      <w:rFonts w:hint="eastAsia" w:ascii="Times New Roman Bold" w:hAnsi="Times New Roman Bold" w:eastAsia="宋体" w:cs="Times New Roman Bold"/>
                      <w:color w:val="000000"/>
                      <w:szCs w:val="21"/>
                    </w:rPr>
                    <w:t>设置振动式仓顶收尘机。含尘气体进入除尘器后，穿过滤芯时粉尘因惯性碰撞、筛滤等作用被阻留在滤芯外表面，净化后的空气排出；运行一段时间后，振动电机启动使滤芯产生高频振动，将附着在滤芯表面的粉尘抖落，直接落回矿粉仓回收，从而恢复滤芯过滤性能。</w:t>
                  </w:r>
                </w:p>
              </w:tc>
              <w:tc>
                <w:tcPr>
                  <w:tcW w:w="206" w:type="pct"/>
                  <w:tcBorders>
                    <w:tl2br w:val="nil"/>
                    <w:tr2bl w:val="nil"/>
                  </w:tcBorders>
                  <w:tcMar>
                    <w:top w:w="0" w:type="dxa"/>
                    <w:left w:w="28" w:type="dxa"/>
                    <w:bottom w:w="0" w:type="dxa"/>
                    <w:right w:w="28" w:type="dxa"/>
                  </w:tcMar>
                  <w:vAlign w:val="center"/>
                </w:tcPr>
                <w:p w14:paraId="041631F3">
                  <w:pPr>
                    <w:jc w:val="center"/>
                    <w:rPr>
                      <w:rFonts w:ascii="Times New Roman Bold" w:hAnsi="Times New Roman Bold" w:eastAsia="宋体" w:cs="Times New Roman Bold"/>
                      <w:color w:val="000000"/>
                      <w:szCs w:val="21"/>
                    </w:rPr>
                  </w:pPr>
                  <w:r>
                    <w:rPr>
                      <w:rFonts w:ascii="Times New Roman" w:hAnsi="Times New Roman" w:eastAsia="宋体" w:cs="Times New Roman"/>
                      <w:color w:val="000000"/>
                      <w:szCs w:val="21"/>
                    </w:rPr>
                    <w:t>2000</w:t>
                  </w:r>
                </w:p>
              </w:tc>
              <w:tc>
                <w:tcPr>
                  <w:tcW w:w="264" w:type="pct"/>
                  <w:tcBorders>
                    <w:tl2br w:val="nil"/>
                    <w:tr2bl w:val="nil"/>
                  </w:tcBorders>
                  <w:tcMar>
                    <w:top w:w="0" w:type="dxa"/>
                    <w:left w:w="28" w:type="dxa"/>
                    <w:bottom w:w="0" w:type="dxa"/>
                    <w:right w:w="28" w:type="dxa"/>
                  </w:tcMar>
                  <w:vAlign w:val="center"/>
                </w:tcPr>
                <w:p w14:paraId="6286DF10">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c>
                <w:tcPr>
                  <w:tcW w:w="278" w:type="pct"/>
                  <w:tcBorders>
                    <w:tl2br w:val="nil"/>
                    <w:tr2bl w:val="nil"/>
                  </w:tcBorders>
                  <w:tcMar>
                    <w:top w:w="0" w:type="dxa"/>
                    <w:left w:w="28" w:type="dxa"/>
                    <w:bottom w:w="0" w:type="dxa"/>
                    <w:right w:w="28" w:type="dxa"/>
                  </w:tcMar>
                  <w:vAlign w:val="center"/>
                </w:tcPr>
                <w:p w14:paraId="6B2853F5">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99%</w:t>
                  </w:r>
                </w:p>
              </w:tc>
              <w:tc>
                <w:tcPr>
                  <w:tcW w:w="196" w:type="pct"/>
                  <w:tcBorders>
                    <w:tl2br w:val="nil"/>
                    <w:tr2bl w:val="nil"/>
                  </w:tcBorders>
                  <w:tcMar>
                    <w:top w:w="0" w:type="dxa"/>
                    <w:left w:w="28" w:type="dxa"/>
                    <w:bottom w:w="0" w:type="dxa"/>
                    <w:right w:w="28" w:type="dxa"/>
                  </w:tcMar>
                  <w:vAlign w:val="center"/>
                </w:tcPr>
                <w:p w14:paraId="0529D478">
                  <w:pPr>
                    <w:jc w:val="center"/>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是</w:t>
                  </w:r>
                </w:p>
              </w:tc>
              <w:tc>
                <w:tcPr>
                  <w:tcW w:w="234" w:type="pct"/>
                  <w:tcBorders>
                    <w:tl2br w:val="nil"/>
                    <w:tr2bl w:val="nil"/>
                  </w:tcBorders>
                  <w:tcMar>
                    <w:top w:w="0" w:type="dxa"/>
                    <w:left w:w="28" w:type="dxa"/>
                    <w:bottom w:w="0" w:type="dxa"/>
                    <w:right w:w="28" w:type="dxa"/>
                  </w:tcMar>
                  <w:vAlign w:val="center"/>
                </w:tcPr>
                <w:p w14:paraId="30C8B9D0">
                  <w:pPr>
                    <w:jc w:val="center"/>
                    <w:rPr>
                      <w:rFonts w:ascii="Times New Roman Bold" w:hAnsi="Times New Roman Bold" w:eastAsia="宋体" w:cs="Times New Roman Bold"/>
                      <w:color w:val="000000"/>
                      <w:szCs w:val="21"/>
                    </w:rPr>
                  </w:pPr>
                  <w:r>
                    <w:rPr>
                      <w:rFonts w:hint="eastAsia" w:ascii="Times New Roman" w:hAnsi="Times New Roman" w:cs="Times New Roman"/>
                      <w:szCs w:val="21"/>
                    </w:rPr>
                    <w:t>0.00545</w:t>
                  </w:r>
                </w:p>
              </w:tc>
              <w:tc>
                <w:tcPr>
                  <w:tcW w:w="225" w:type="pct"/>
                  <w:tcBorders>
                    <w:tl2br w:val="nil"/>
                    <w:tr2bl w:val="nil"/>
                  </w:tcBorders>
                  <w:tcMar>
                    <w:top w:w="0" w:type="dxa"/>
                    <w:left w:w="28" w:type="dxa"/>
                    <w:bottom w:w="0" w:type="dxa"/>
                    <w:right w:w="28" w:type="dxa"/>
                  </w:tcMar>
                  <w:vAlign w:val="center"/>
                </w:tcPr>
                <w:p w14:paraId="1F8D3F93">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0.</w:t>
                  </w:r>
                  <w:r>
                    <w:rPr>
                      <w:rFonts w:hint="eastAsia" w:ascii="Times New Roman" w:hAnsi="Times New Roman" w:eastAsia="宋体" w:cs="Times New Roman"/>
                      <w:color w:val="000000"/>
                      <w:szCs w:val="21"/>
                    </w:rPr>
                    <w:t>0</w:t>
                  </w:r>
                  <w:r>
                    <w:rPr>
                      <w:rFonts w:ascii="Times New Roman" w:hAnsi="Times New Roman" w:eastAsia="宋体" w:cs="Times New Roman"/>
                      <w:color w:val="000000"/>
                      <w:szCs w:val="21"/>
                    </w:rPr>
                    <w:t>06</w:t>
                  </w:r>
                </w:p>
              </w:tc>
              <w:tc>
                <w:tcPr>
                  <w:tcW w:w="302" w:type="pct"/>
                  <w:tcBorders>
                    <w:tl2br w:val="nil"/>
                    <w:tr2bl w:val="nil"/>
                  </w:tcBorders>
                  <w:tcMar>
                    <w:top w:w="0" w:type="dxa"/>
                    <w:left w:w="28" w:type="dxa"/>
                    <w:bottom w:w="0" w:type="dxa"/>
                    <w:right w:w="28" w:type="dxa"/>
                  </w:tcMar>
                  <w:vAlign w:val="center"/>
                </w:tcPr>
                <w:p w14:paraId="08CCAA2C">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3</w:t>
                  </w:r>
                </w:p>
              </w:tc>
              <w:tc>
                <w:tcPr>
                  <w:tcW w:w="201" w:type="pct"/>
                  <w:tcBorders>
                    <w:tl2br w:val="nil"/>
                    <w:tr2bl w:val="nil"/>
                  </w:tcBorders>
                  <w:tcMar>
                    <w:top w:w="0" w:type="dxa"/>
                    <w:left w:w="28" w:type="dxa"/>
                    <w:bottom w:w="0" w:type="dxa"/>
                    <w:right w:w="28" w:type="dxa"/>
                  </w:tcMar>
                  <w:vAlign w:val="center"/>
                </w:tcPr>
                <w:p w14:paraId="2EA8FD3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900</w:t>
                  </w:r>
                </w:p>
              </w:tc>
              <w:tc>
                <w:tcPr>
                  <w:tcW w:w="245" w:type="pct"/>
                  <w:tcBorders>
                    <w:tl2br w:val="nil"/>
                    <w:tr2bl w:val="nil"/>
                  </w:tcBorders>
                  <w:tcMar>
                    <w:top w:w="0" w:type="dxa"/>
                    <w:left w:w="28" w:type="dxa"/>
                    <w:bottom w:w="0" w:type="dxa"/>
                    <w:right w:w="28" w:type="dxa"/>
                  </w:tcMar>
                  <w:vAlign w:val="center"/>
                </w:tcPr>
                <w:p w14:paraId="2406759B">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26DA7A40">
                  <w:pPr>
                    <w:jc w:val="center"/>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1.0</w:t>
                  </w:r>
                </w:p>
              </w:tc>
              <w:tc>
                <w:tcPr>
                  <w:tcW w:w="134" w:type="pct"/>
                  <w:tcBorders>
                    <w:tl2br w:val="nil"/>
                    <w:tr2bl w:val="nil"/>
                  </w:tcBorders>
                  <w:tcMar>
                    <w:top w:w="0" w:type="dxa"/>
                    <w:left w:w="28" w:type="dxa"/>
                    <w:bottom w:w="0" w:type="dxa"/>
                    <w:right w:w="28" w:type="dxa"/>
                  </w:tcMar>
                  <w:vAlign w:val="center"/>
                </w:tcPr>
                <w:p w14:paraId="2690B2E8">
                  <w:pPr>
                    <w:jc w:val="center"/>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达标</w:t>
                  </w:r>
                </w:p>
              </w:tc>
            </w:tr>
            <w:tr w14:paraId="12F1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15" w:type="pct"/>
                  <w:vMerge w:val="restart"/>
                  <w:tcBorders>
                    <w:tl2br w:val="nil"/>
                    <w:tr2bl w:val="nil"/>
                  </w:tcBorders>
                  <w:tcMar>
                    <w:top w:w="0" w:type="dxa"/>
                    <w:left w:w="28" w:type="dxa"/>
                    <w:bottom w:w="0" w:type="dxa"/>
                    <w:right w:w="28" w:type="dxa"/>
                  </w:tcMar>
                  <w:vAlign w:val="center"/>
                </w:tcPr>
                <w:p w14:paraId="73455C8C">
                  <w:pPr>
                    <w:jc w:val="center"/>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7</w:t>
                  </w:r>
                </w:p>
              </w:tc>
              <w:tc>
                <w:tcPr>
                  <w:tcW w:w="106" w:type="pct"/>
                  <w:vMerge w:val="restart"/>
                  <w:tcBorders>
                    <w:tl2br w:val="nil"/>
                    <w:tr2bl w:val="nil"/>
                  </w:tcBorders>
                  <w:tcMar>
                    <w:top w:w="0" w:type="dxa"/>
                    <w:left w:w="28" w:type="dxa"/>
                    <w:bottom w:w="0" w:type="dxa"/>
                    <w:right w:w="28" w:type="dxa"/>
                  </w:tcMar>
                  <w:vAlign w:val="center"/>
                </w:tcPr>
                <w:p w14:paraId="46FC5740">
                  <w:pPr>
                    <w:jc w:val="center"/>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柴油储罐</w:t>
                  </w:r>
                </w:p>
              </w:tc>
              <w:tc>
                <w:tcPr>
                  <w:tcW w:w="101" w:type="pct"/>
                  <w:tcBorders>
                    <w:tl2br w:val="nil"/>
                    <w:tr2bl w:val="nil"/>
                  </w:tcBorders>
                  <w:tcMar>
                    <w:top w:w="0" w:type="dxa"/>
                    <w:left w:w="28" w:type="dxa"/>
                    <w:bottom w:w="0" w:type="dxa"/>
                    <w:right w:w="28" w:type="dxa"/>
                  </w:tcMar>
                  <w:vAlign w:val="center"/>
                </w:tcPr>
                <w:p w14:paraId="59AC1DC5">
                  <w:pPr>
                    <w:jc w:val="center"/>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大呼吸废气</w:t>
                  </w:r>
                </w:p>
              </w:tc>
              <w:tc>
                <w:tcPr>
                  <w:tcW w:w="268" w:type="pct"/>
                  <w:tcBorders>
                    <w:tl2br w:val="nil"/>
                    <w:tr2bl w:val="nil"/>
                  </w:tcBorders>
                  <w:tcMar>
                    <w:top w:w="0" w:type="dxa"/>
                    <w:left w:w="28" w:type="dxa"/>
                    <w:bottom w:w="0" w:type="dxa"/>
                    <w:right w:w="28" w:type="dxa"/>
                  </w:tcMar>
                  <w:vAlign w:val="center"/>
                </w:tcPr>
                <w:p w14:paraId="3AFF0182">
                  <w:pPr>
                    <w:jc w:val="center"/>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非甲烷总烃</w:t>
                  </w:r>
                </w:p>
              </w:tc>
              <w:tc>
                <w:tcPr>
                  <w:tcW w:w="180" w:type="pct"/>
                  <w:tcBorders>
                    <w:tl2br w:val="nil"/>
                    <w:tr2bl w:val="nil"/>
                  </w:tcBorders>
                  <w:tcMar>
                    <w:top w:w="0" w:type="dxa"/>
                    <w:left w:w="28" w:type="dxa"/>
                    <w:bottom w:w="0" w:type="dxa"/>
                    <w:right w:w="28" w:type="dxa"/>
                  </w:tcMar>
                  <w:vAlign w:val="center"/>
                </w:tcPr>
                <w:p w14:paraId="63E9A421">
                  <w:pPr>
                    <w:jc w:val="center"/>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无组织</w:t>
                  </w:r>
                </w:p>
              </w:tc>
              <w:tc>
                <w:tcPr>
                  <w:tcW w:w="249" w:type="pct"/>
                  <w:tcBorders>
                    <w:tl2br w:val="nil"/>
                    <w:tr2bl w:val="nil"/>
                  </w:tcBorders>
                  <w:tcMar>
                    <w:top w:w="0" w:type="dxa"/>
                    <w:left w:w="28" w:type="dxa"/>
                    <w:bottom w:w="0" w:type="dxa"/>
                    <w:right w:w="28" w:type="dxa"/>
                  </w:tcMar>
                  <w:vAlign w:val="center"/>
                </w:tcPr>
                <w:p w14:paraId="154A5FE8">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292" w:type="pct"/>
                  <w:tcBorders>
                    <w:tl2br w:val="nil"/>
                    <w:tr2bl w:val="nil"/>
                  </w:tcBorders>
                  <w:tcMar>
                    <w:top w:w="0" w:type="dxa"/>
                    <w:left w:w="28" w:type="dxa"/>
                    <w:bottom w:w="0" w:type="dxa"/>
                    <w:right w:w="28" w:type="dxa"/>
                  </w:tcMar>
                  <w:vAlign w:val="center"/>
                </w:tcPr>
                <w:p w14:paraId="614DF98E">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302" w:type="pct"/>
                  <w:tcBorders>
                    <w:tl2br w:val="nil"/>
                    <w:tr2bl w:val="nil"/>
                  </w:tcBorders>
                  <w:tcMar>
                    <w:top w:w="0" w:type="dxa"/>
                    <w:left w:w="28" w:type="dxa"/>
                    <w:bottom w:w="0" w:type="dxa"/>
                    <w:right w:w="28" w:type="dxa"/>
                  </w:tcMar>
                  <w:vAlign w:val="center"/>
                </w:tcPr>
                <w:p w14:paraId="076BB839">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734" w:type="pct"/>
                  <w:tcBorders>
                    <w:tl2br w:val="nil"/>
                    <w:tr2bl w:val="nil"/>
                  </w:tcBorders>
                  <w:tcMar>
                    <w:top w:w="0" w:type="dxa"/>
                    <w:left w:w="28" w:type="dxa"/>
                    <w:bottom w:w="0" w:type="dxa"/>
                    <w:right w:w="28" w:type="dxa"/>
                  </w:tcMar>
                  <w:vAlign w:val="center"/>
                </w:tcPr>
                <w:p w14:paraId="4A870AF1">
                  <w:pPr>
                    <w:jc w:val="center"/>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槽车卸料口与储罐进料口之间设气相平衡管，卸料过程中储罐内被置换出的油气通过平衡管回流至槽车罐体</w:t>
                  </w:r>
                </w:p>
              </w:tc>
              <w:tc>
                <w:tcPr>
                  <w:tcW w:w="206" w:type="pct"/>
                  <w:tcBorders>
                    <w:tl2br w:val="nil"/>
                    <w:tr2bl w:val="nil"/>
                  </w:tcBorders>
                  <w:tcMar>
                    <w:top w:w="0" w:type="dxa"/>
                    <w:left w:w="28" w:type="dxa"/>
                    <w:bottom w:w="0" w:type="dxa"/>
                    <w:right w:w="28" w:type="dxa"/>
                  </w:tcMar>
                  <w:vAlign w:val="center"/>
                </w:tcPr>
                <w:p w14:paraId="39BBAE25">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264" w:type="pct"/>
                  <w:tcBorders>
                    <w:tl2br w:val="nil"/>
                    <w:tr2bl w:val="nil"/>
                  </w:tcBorders>
                  <w:tcMar>
                    <w:top w:w="0" w:type="dxa"/>
                    <w:left w:w="28" w:type="dxa"/>
                    <w:bottom w:w="0" w:type="dxa"/>
                    <w:right w:w="28" w:type="dxa"/>
                  </w:tcMar>
                  <w:vAlign w:val="center"/>
                </w:tcPr>
                <w:p w14:paraId="70149F2D">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278" w:type="pct"/>
                  <w:tcBorders>
                    <w:tl2br w:val="nil"/>
                    <w:tr2bl w:val="nil"/>
                  </w:tcBorders>
                  <w:tcMar>
                    <w:top w:w="0" w:type="dxa"/>
                    <w:left w:w="28" w:type="dxa"/>
                    <w:bottom w:w="0" w:type="dxa"/>
                    <w:right w:w="28" w:type="dxa"/>
                  </w:tcMar>
                  <w:vAlign w:val="center"/>
                </w:tcPr>
                <w:p w14:paraId="622B641A">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196" w:type="pct"/>
                  <w:tcBorders>
                    <w:tl2br w:val="nil"/>
                    <w:tr2bl w:val="nil"/>
                  </w:tcBorders>
                  <w:tcMar>
                    <w:top w:w="0" w:type="dxa"/>
                    <w:left w:w="28" w:type="dxa"/>
                    <w:bottom w:w="0" w:type="dxa"/>
                    <w:right w:w="28" w:type="dxa"/>
                  </w:tcMar>
                  <w:vAlign w:val="center"/>
                </w:tcPr>
                <w:p w14:paraId="35AC22DF">
                  <w:pPr>
                    <w:jc w:val="center"/>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是</w:t>
                  </w:r>
                </w:p>
              </w:tc>
              <w:tc>
                <w:tcPr>
                  <w:tcW w:w="234" w:type="pct"/>
                  <w:tcBorders>
                    <w:tl2br w:val="nil"/>
                    <w:tr2bl w:val="nil"/>
                  </w:tcBorders>
                  <w:tcMar>
                    <w:top w:w="0" w:type="dxa"/>
                    <w:left w:w="28" w:type="dxa"/>
                    <w:bottom w:w="0" w:type="dxa"/>
                    <w:right w:w="28" w:type="dxa"/>
                  </w:tcMar>
                  <w:vAlign w:val="center"/>
                </w:tcPr>
                <w:p w14:paraId="27C28E4B">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225" w:type="pct"/>
                  <w:tcBorders>
                    <w:tl2br w:val="nil"/>
                    <w:tr2bl w:val="nil"/>
                  </w:tcBorders>
                  <w:tcMar>
                    <w:top w:w="0" w:type="dxa"/>
                    <w:left w:w="28" w:type="dxa"/>
                    <w:bottom w:w="0" w:type="dxa"/>
                    <w:right w:w="28" w:type="dxa"/>
                  </w:tcMar>
                  <w:vAlign w:val="center"/>
                </w:tcPr>
                <w:p w14:paraId="6DD99F72">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302" w:type="pct"/>
                  <w:tcBorders>
                    <w:tl2br w:val="nil"/>
                    <w:tr2bl w:val="nil"/>
                  </w:tcBorders>
                  <w:tcMar>
                    <w:top w:w="0" w:type="dxa"/>
                    <w:left w:w="28" w:type="dxa"/>
                    <w:bottom w:w="0" w:type="dxa"/>
                    <w:right w:w="28" w:type="dxa"/>
                  </w:tcMar>
                  <w:vAlign w:val="center"/>
                </w:tcPr>
                <w:p w14:paraId="50C6CE33">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201" w:type="pct"/>
                  <w:tcBorders>
                    <w:tl2br w:val="nil"/>
                    <w:tr2bl w:val="nil"/>
                  </w:tcBorders>
                  <w:tcMar>
                    <w:top w:w="0" w:type="dxa"/>
                    <w:left w:w="28" w:type="dxa"/>
                    <w:bottom w:w="0" w:type="dxa"/>
                    <w:right w:w="28" w:type="dxa"/>
                  </w:tcMar>
                  <w:vAlign w:val="center"/>
                </w:tcPr>
                <w:p w14:paraId="75E1690B">
                  <w:pPr>
                    <w:jc w:val="center"/>
                    <w:rPr>
                      <w:rFonts w:ascii="Times New Roman Bold" w:hAnsi="Times New Roman Bold" w:eastAsia="宋体" w:cs="Times New Roman Bold"/>
                      <w:color w:val="000000"/>
                      <w:szCs w:val="21"/>
                    </w:rPr>
                  </w:pPr>
                  <w:r>
                    <w:rPr>
                      <w:rFonts w:hint="eastAsia" w:ascii="Times New Roman" w:hAnsi="Times New Roman" w:eastAsia="宋体" w:cs="Times New Roman"/>
                      <w:color w:val="000000"/>
                      <w:szCs w:val="21"/>
                    </w:rPr>
                    <w:t>/</w:t>
                  </w:r>
                </w:p>
              </w:tc>
              <w:tc>
                <w:tcPr>
                  <w:tcW w:w="245" w:type="pct"/>
                  <w:tcBorders>
                    <w:tl2br w:val="nil"/>
                    <w:tr2bl w:val="nil"/>
                  </w:tcBorders>
                  <w:tcMar>
                    <w:top w:w="0" w:type="dxa"/>
                    <w:left w:w="28" w:type="dxa"/>
                    <w:bottom w:w="0" w:type="dxa"/>
                    <w:right w:w="28" w:type="dxa"/>
                  </w:tcMar>
                  <w:vAlign w:val="center"/>
                </w:tcPr>
                <w:p w14:paraId="6387C82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6B155AA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4.0</w:t>
                  </w:r>
                </w:p>
              </w:tc>
              <w:tc>
                <w:tcPr>
                  <w:tcW w:w="134" w:type="pct"/>
                  <w:tcBorders>
                    <w:tl2br w:val="nil"/>
                    <w:tr2bl w:val="nil"/>
                  </w:tcBorders>
                  <w:tcMar>
                    <w:top w:w="0" w:type="dxa"/>
                    <w:left w:w="28" w:type="dxa"/>
                    <w:bottom w:w="0" w:type="dxa"/>
                    <w:right w:w="28" w:type="dxa"/>
                  </w:tcMar>
                  <w:vAlign w:val="center"/>
                </w:tcPr>
                <w:p w14:paraId="2D43892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199D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15" w:type="pct"/>
                  <w:vMerge w:val="continue"/>
                  <w:tcBorders>
                    <w:tl2br w:val="nil"/>
                    <w:tr2bl w:val="nil"/>
                  </w:tcBorders>
                  <w:tcMar>
                    <w:top w:w="0" w:type="dxa"/>
                    <w:left w:w="28" w:type="dxa"/>
                    <w:bottom w:w="0" w:type="dxa"/>
                    <w:right w:w="28" w:type="dxa"/>
                  </w:tcMar>
                  <w:vAlign w:val="center"/>
                </w:tcPr>
                <w:p w14:paraId="43AE9A5A">
                  <w:pPr>
                    <w:jc w:val="center"/>
                    <w:rPr>
                      <w:rFonts w:ascii="Times New Roman" w:hAnsi="Times New Roman" w:eastAsia="宋体" w:cs="Times New Roman"/>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1C645294">
                  <w:pPr>
                    <w:jc w:val="center"/>
                    <w:rPr>
                      <w:rFonts w:ascii="Times New Roman" w:hAnsi="Times New Roman" w:eastAsia="宋体" w:cs="Times New Roman"/>
                      <w:color w:val="000000"/>
                      <w:szCs w:val="21"/>
                    </w:rPr>
                  </w:pPr>
                </w:p>
              </w:tc>
              <w:tc>
                <w:tcPr>
                  <w:tcW w:w="101" w:type="pct"/>
                  <w:tcBorders>
                    <w:tl2br w:val="nil"/>
                    <w:tr2bl w:val="nil"/>
                  </w:tcBorders>
                  <w:tcMar>
                    <w:top w:w="0" w:type="dxa"/>
                    <w:left w:w="28" w:type="dxa"/>
                    <w:bottom w:w="0" w:type="dxa"/>
                    <w:right w:w="28" w:type="dxa"/>
                  </w:tcMar>
                  <w:vAlign w:val="center"/>
                </w:tcPr>
                <w:p w14:paraId="4FC0B01C">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小呼吸废气</w:t>
                  </w:r>
                </w:p>
              </w:tc>
              <w:tc>
                <w:tcPr>
                  <w:tcW w:w="268" w:type="pct"/>
                  <w:tcBorders>
                    <w:tl2br w:val="nil"/>
                    <w:tr2bl w:val="nil"/>
                  </w:tcBorders>
                  <w:tcMar>
                    <w:top w:w="0" w:type="dxa"/>
                    <w:left w:w="28" w:type="dxa"/>
                    <w:bottom w:w="0" w:type="dxa"/>
                    <w:right w:w="28" w:type="dxa"/>
                  </w:tcMar>
                  <w:vAlign w:val="center"/>
                </w:tcPr>
                <w:p w14:paraId="2E3112C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非甲烷总烃</w:t>
                  </w:r>
                </w:p>
              </w:tc>
              <w:tc>
                <w:tcPr>
                  <w:tcW w:w="180" w:type="pct"/>
                  <w:tcBorders>
                    <w:tl2br w:val="nil"/>
                    <w:tr2bl w:val="nil"/>
                  </w:tcBorders>
                  <w:tcMar>
                    <w:top w:w="0" w:type="dxa"/>
                    <w:left w:w="28" w:type="dxa"/>
                    <w:bottom w:w="0" w:type="dxa"/>
                    <w:right w:w="28" w:type="dxa"/>
                  </w:tcMar>
                  <w:vAlign w:val="center"/>
                </w:tcPr>
                <w:p w14:paraId="2BAAA97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无组织</w:t>
                  </w:r>
                </w:p>
              </w:tc>
              <w:tc>
                <w:tcPr>
                  <w:tcW w:w="249" w:type="pct"/>
                  <w:tcBorders>
                    <w:tl2br w:val="nil"/>
                    <w:tr2bl w:val="nil"/>
                  </w:tcBorders>
                  <w:tcMar>
                    <w:top w:w="0" w:type="dxa"/>
                    <w:left w:w="28" w:type="dxa"/>
                    <w:bottom w:w="0" w:type="dxa"/>
                    <w:right w:w="28" w:type="dxa"/>
                  </w:tcMar>
                  <w:vAlign w:val="center"/>
                </w:tcPr>
                <w:p w14:paraId="4D3360FE">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0.0049</w:t>
                  </w:r>
                </w:p>
              </w:tc>
              <w:tc>
                <w:tcPr>
                  <w:tcW w:w="292" w:type="pct"/>
                  <w:tcBorders>
                    <w:tl2br w:val="nil"/>
                    <w:tr2bl w:val="nil"/>
                  </w:tcBorders>
                  <w:tcMar>
                    <w:top w:w="0" w:type="dxa"/>
                    <w:left w:w="28" w:type="dxa"/>
                    <w:bottom w:w="0" w:type="dxa"/>
                    <w:right w:w="28" w:type="dxa"/>
                  </w:tcMar>
                  <w:vAlign w:val="center"/>
                </w:tcPr>
                <w:p w14:paraId="471CBD4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0.001</w:t>
                  </w:r>
                </w:p>
              </w:tc>
              <w:tc>
                <w:tcPr>
                  <w:tcW w:w="302" w:type="pct"/>
                  <w:tcBorders>
                    <w:tl2br w:val="nil"/>
                    <w:tr2bl w:val="nil"/>
                  </w:tcBorders>
                  <w:tcMar>
                    <w:top w:w="0" w:type="dxa"/>
                    <w:left w:w="28" w:type="dxa"/>
                    <w:bottom w:w="0" w:type="dxa"/>
                    <w:right w:w="28" w:type="dxa"/>
                  </w:tcMar>
                  <w:vAlign w:val="center"/>
                </w:tcPr>
                <w:p w14:paraId="3497025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734" w:type="pct"/>
                  <w:tcBorders>
                    <w:tl2br w:val="nil"/>
                    <w:tr2bl w:val="nil"/>
                  </w:tcBorders>
                  <w:tcMar>
                    <w:top w:w="0" w:type="dxa"/>
                    <w:left w:w="28" w:type="dxa"/>
                    <w:bottom w:w="0" w:type="dxa"/>
                    <w:right w:w="28" w:type="dxa"/>
                  </w:tcMar>
                  <w:vAlign w:val="center"/>
                </w:tcPr>
                <w:p w14:paraId="2040EB5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06" w:type="pct"/>
                  <w:tcBorders>
                    <w:tl2br w:val="nil"/>
                    <w:tr2bl w:val="nil"/>
                  </w:tcBorders>
                  <w:tcMar>
                    <w:top w:w="0" w:type="dxa"/>
                    <w:left w:w="28" w:type="dxa"/>
                    <w:bottom w:w="0" w:type="dxa"/>
                    <w:right w:w="28" w:type="dxa"/>
                  </w:tcMar>
                  <w:vAlign w:val="center"/>
                </w:tcPr>
                <w:p w14:paraId="7591437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64" w:type="pct"/>
                  <w:tcBorders>
                    <w:tl2br w:val="nil"/>
                    <w:tr2bl w:val="nil"/>
                  </w:tcBorders>
                  <w:tcMar>
                    <w:top w:w="0" w:type="dxa"/>
                    <w:left w:w="28" w:type="dxa"/>
                    <w:bottom w:w="0" w:type="dxa"/>
                    <w:right w:w="28" w:type="dxa"/>
                  </w:tcMar>
                  <w:vAlign w:val="center"/>
                </w:tcPr>
                <w:p w14:paraId="60D71F4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78" w:type="pct"/>
                  <w:tcBorders>
                    <w:tl2br w:val="nil"/>
                    <w:tr2bl w:val="nil"/>
                  </w:tcBorders>
                  <w:tcMar>
                    <w:top w:w="0" w:type="dxa"/>
                    <w:left w:w="28" w:type="dxa"/>
                    <w:bottom w:w="0" w:type="dxa"/>
                    <w:right w:w="28" w:type="dxa"/>
                  </w:tcMar>
                  <w:vAlign w:val="center"/>
                </w:tcPr>
                <w:p w14:paraId="37D7ACD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96" w:type="pct"/>
                  <w:tcBorders>
                    <w:tl2br w:val="nil"/>
                    <w:tr2bl w:val="nil"/>
                  </w:tcBorders>
                  <w:tcMar>
                    <w:top w:w="0" w:type="dxa"/>
                    <w:left w:w="28" w:type="dxa"/>
                    <w:bottom w:w="0" w:type="dxa"/>
                    <w:right w:w="28" w:type="dxa"/>
                  </w:tcMar>
                  <w:vAlign w:val="center"/>
                </w:tcPr>
                <w:p w14:paraId="680EFAA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34" w:type="pct"/>
                  <w:tcBorders>
                    <w:tl2br w:val="nil"/>
                    <w:tr2bl w:val="nil"/>
                  </w:tcBorders>
                  <w:tcMar>
                    <w:top w:w="0" w:type="dxa"/>
                    <w:left w:w="28" w:type="dxa"/>
                    <w:bottom w:w="0" w:type="dxa"/>
                    <w:right w:w="28" w:type="dxa"/>
                  </w:tcMar>
                  <w:vAlign w:val="center"/>
                </w:tcPr>
                <w:p w14:paraId="21B332F0">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0.00</w:t>
                  </w:r>
                </w:p>
                <w:p w14:paraId="72B5D93B">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49</w:t>
                  </w:r>
                </w:p>
              </w:tc>
              <w:tc>
                <w:tcPr>
                  <w:tcW w:w="225" w:type="pct"/>
                  <w:tcBorders>
                    <w:tl2br w:val="nil"/>
                    <w:tr2bl w:val="nil"/>
                  </w:tcBorders>
                  <w:tcMar>
                    <w:top w:w="0" w:type="dxa"/>
                    <w:left w:w="28" w:type="dxa"/>
                    <w:bottom w:w="0" w:type="dxa"/>
                    <w:right w:w="28" w:type="dxa"/>
                  </w:tcMar>
                  <w:vAlign w:val="center"/>
                </w:tcPr>
                <w:p w14:paraId="455BA78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0.001</w:t>
                  </w:r>
                </w:p>
              </w:tc>
              <w:tc>
                <w:tcPr>
                  <w:tcW w:w="302" w:type="pct"/>
                  <w:tcBorders>
                    <w:tl2br w:val="nil"/>
                    <w:tr2bl w:val="nil"/>
                  </w:tcBorders>
                  <w:tcMar>
                    <w:top w:w="0" w:type="dxa"/>
                    <w:left w:w="28" w:type="dxa"/>
                    <w:bottom w:w="0" w:type="dxa"/>
                    <w:right w:w="28" w:type="dxa"/>
                  </w:tcMar>
                  <w:vAlign w:val="center"/>
                </w:tcPr>
                <w:p w14:paraId="683743C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01" w:type="pct"/>
                  <w:tcBorders>
                    <w:tl2br w:val="nil"/>
                    <w:tr2bl w:val="nil"/>
                  </w:tcBorders>
                  <w:tcMar>
                    <w:top w:w="0" w:type="dxa"/>
                    <w:left w:w="28" w:type="dxa"/>
                    <w:bottom w:w="0" w:type="dxa"/>
                    <w:right w:w="28" w:type="dxa"/>
                  </w:tcMar>
                  <w:vAlign w:val="center"/>
                </w:tcPr>
                <w:p w14:paraId="2B2F2F29">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4320</w:t>
                  </w:r>
                </w:p>
              </w:tc>
              <w:tc>
                <w:tcPr>
                  <w:tcW w:w="245" w:type="pct"/>
                  <w:tcBorders>
                    <w:tl2br w:val="nil"/>
                    <w:tr2bl w:val="nil"/>
                  </w:tcBorders>
                  <w:tcMar>
                    <w:top w:w="0" w:type="dxa"/>
                    <w:left w:w="28" w:type="dxa"/>
                    <w:bottom w:w="0" w:type="dxa"/>
                    <w:right w:w="28" w:type="dxa"/>
                  </w:tcMar>
                  <w:vAlign w:val="center"/>
                </w:tcPr>
                <w:p w14:paraId="4C310EE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1114EFE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4.0</w:t>
                  </w:r>
                </w:p>
              </w:tc>
              <w:tc>
                <w:tcPr>
                  <w:tcW w:w="134" w:type="pct"/>
                  <w:tcBorders>
                    <w:tl2br w:val="nil"/>
                    <w:tr2bl w:val="nil"/>
                  </w:tcBorders>
                  <w:tcMar>
                    <w:top w:w="0" w:type="dxa"/>
                    <w:left w:w="28" w:type="dxa"/>
                    <w:bottom w:w="0" w:type="dxa"/>
                    <w:right w:w="28" w:type="dxa"/>
                  </w:tcMar>
                  <w:vAlign w:val="center"/>
                </w:tcPr>
                <w:p w14:paraId="6B438DA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0B7B8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15" w:type="pct"/>
                  <w:vMerge w:val="continue"/>
                  <w:tcBorders>
                    <w:tl2br w:val="nil"/>
                    <w:tr2bl w:val="nil"/>
                  </w:tcBorders>
                  <w:tcMar>
                    <w:top w:w="0" w:type="dxa"/>
                    <w:left w:w="28" w:type="dxa"/>
                    <w:bottom w:w="0" w:type="dxa"/>
                    <w:right w:w="28" w:type="dxa"/>
                  </w:tcMar>
                  <w:vAlign w:val="center"/>
                </w:tcPr>
                <w:p w14:paraId="4C26754F">
                  <w:pPr>
                    <w:jc w:val="center"/>
                    <w:rPr>
                      <w:rFonts w:ascii="Times New Roman" w:hAnsi="Times New Roman" w:eastAsia="宋体" w:cs="Times New Roman"/>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7A6F4158">
                  <w:pPr>
                    <w:jc w:val="center"/>
                    <w:rPr>
                      <w:rFonts w:ascii="Times New Roman" w:hAnsi="Times New Roman" w:eastAsia="宋体" w:cs="Times New Roman"/>
                      <w:color w:val="000000"/>
                      <w:szCs w:val="21"/>
                    </w:rPr>
                  </w:pPr>
                </w:p>
              </w:tc>
              <w:tc>
                <w:tcPr>
                  <w:tcW w:w="101" w:type="pct"/>
                  <w:tcBorders>
                    <w:tl2br w:val="nil"/>
                    <w:tr2bl w:val="nil"/>
                  </w:tcBorders>
                  <w:tcMar>
                    <w:top w:w="0" w:type="dxa"/>
                    <w:left w:w="28" w:type="dxa"/>
                    <w:bottom w:w="0" w:type="dxa"/>
                    <w:right w:w="28" w:type="dxa"/>
                  </w:tcMar>
                  <w:vAlign w:val="center"/>
                </w:tcPr>
                <w:p w14:paraId="192AD185">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动静密封点废气</w:t>
                  </w:r>
                </w:p>
              </w:tc>
              <w:tc>
                <w:tcPr>
                  <w:tcW w:w="268" w:type="pct"/>
                  <w:tcBorders>
                    <w:tl2br w:val="nil"/>
                    <w:tr2bl w:val="nil"/>
                  </w:tcBorders>
                  <w:tcMar>
                    <w:top w:w="0" w:type="dxa"/>
                    <w:left w:w="28" w:type="dxa"/>
                    <w:bottom w:w="0" w:type="dxa"/>
                    <w:right w:w="28" w:type="dxa"/>
                  </w:tcMar>
                  <w:vAlign w:val="center"/>
                </w:tcPr>
                <w:p w14:paraId="1AB49B3C">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非甲烷总烃</w:t>
                  </w:r>
                </w:p>
              </w:tc>
              <w:tc>
                <w:tcPr>
                  <w:tcW w:w="180" w:type="pct"/>
                  <w:tcBorders>
                    <w:tl2br w:val="nil"/>
                    <w:tr2bl w:val="nil"/>
                  </w:tcBorders>
                  <w:tcMar>
                    <w:top w:w="0" w:type="dxa"/>
                    <w:left w:w="28" w:type="dxa"/>
                    <w:bottom w:w="0" w:type="dxa"/>
                    <w:right w:w="28" w:type="dxa"/>
                  </w:tcMar>
                  <w:vAlign w:val="center"/>
                </w:tcPr>
                <w:p w14:paraId="1DB3FDF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无组织</w:t>
                  </w:r>
                </w:p>
              </w:tc>
              <w:tc>
                <w:tcPr>
                  <w:tcW w:w="249" w:type="pct"/>
                  <w:tcBorders>
                    <w:tl2br w:val="nil"/>
                    <w:tr2bl w:val="nil"/>
                  </w:tcBorders>
                  <w:tcMar>
                    <w:top w:w="0" w:type="dxa"/>
                    <w:left w:w="28" w:type="dxa"/>
                    <w:bottom w:w="0" w:type="dxa"/>
                    <w:right w:w="28" w:type="dxa"/>
                  </w:tcMar>
                  <w:vAlign w:val="center"/>
                </w:tcPr>
                <w:p w14:paraId="1D22331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0.0129</w:t>
                  </w:r>
                </w:p>
              </w:tc>
              <w:tc>
                <w:tcPr>
                  <w:tcW w:w="292" w:type="pct"/>
                  <w:tcBorders>
                    <w:tl2br w:val="nil"/>
                    <w:tr2bl w:val="nil"/>
                  </w:tcBorders>
                  <w:tcMar>
                    <w:top w:w="0" w:type="dxa"/>
                    <w:left w:w="28" w:type="dxa"/>
                    <w:bottom w:w="0" w:type="dxa"/>
                    <w:right w:w="28" w:type="dxa"/>
                  </w:tcMar>
                  <w:vAlign w:val="center"/>
                </w:tcPr>
                <w:p w14:paraId="440F9F3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0.003</w:t>
                  </w:r>
                </w:p>
              </w:tc>
              <w:tc>
                <w:tcPr>
                  <w:tcW w:w="302" w:type="pct"/>
                  <w:tcBorders>
                    <w:tl2br w:val="nil"/>
                    <w:tr2bl w:val="nil"/>
                  </w:tcBorders>
                  <w:tcMar>
                    <w:top w:w="0" w:type="dxa"/>
                    <w:left w:w="28" w:type="dxa"/>
                    <w:bottom w:w="0" w:type="dxa"/>
                    <w:right w:w="28" w:type="dxa"/>
                  </w:tcMar>
                  <w:vAlign w:val="center"/>
                </w:tcPr>
                <w:p w14:paraId="265C36A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734" w:type="pct"/>
                  <w:tcBorders>
                    <w:tl2br w:val="nil"/>
                    <w:tr2bl w:val="nil"/>
                  </w:tcBorders>
                  <w:tcMar>
                    <w:top w:w="0" w:type="dxa"/>
                    <w:left w:w="28" w:type="dxa"/>
                    <w:bottom w:w="0" w:type="dxa"/>
                    <w:right w:w="28" w:type="dxa"/>
                  </w:tcMar>
                  <w:vAlign w:val="center"/>
                </w:tcPr>
                <w:p w14:paraId="3AAA9D6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加强柴油储罐密封点的维护与保养</w:t>
                  </w:r>
                </w:p>
              </w:tc>
              <w:tc>
                <w:tcPr>
                  <w:tcW w:w="206" w:type="pct"/>
                  <w:tcBorders>
                    <w:tl2br w:val="nil"/>
                    <w:tr2bl w:val="nil"/>
                  </w:tcBorders>
                  <w:tcMar>
                    <w:top w:w="0" w:type="dxa"/>
                    <w:left w:w="28" w:type="dxa"/>
                    <w:bottom w:w="0" w:type="dxa"/>
                    <w:right w:w="28" w:type="dxa"/>
                  </w:tcMar>
                  <w:vAlign w:val="center"/>
                </w:tcPr>
                <w:p w14:paraId="3E6583B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64" w:type="pct"/>
                  <w:tcBorders>
                    <w:tl2br w:val="nil"/>
                    <w:tr2bl w:val="nil"/>
                  </w:tcBorders>
                  <w:tcMar>
                    <w:top w:w="0" w:type="dxa"/>
                    <w:left w:w="28" w:type="dxa"/>
                    <w:bottom w:w="0" w:type="dxa"/>
                    <w:right w:w="28" w:type="dxa"/>
                  </w:tcMar>
                  <w:vAlign w:val="center"/>
                </w:tcPr>
                <w:p w14:paraId="577AAA4B">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78" w:type="pct"/>
                  <w:tcBorders>
                    <w:tl2br w:val="nil"/>
                    <w:tr2bl w:val="nil"/>
                  </w:tcBorders>
                  <w:tcMar>
                    <w:top w:w="0" w:type="dxa"/>
                    <w:left w:w="28" w:type="dxa"/>
                    <w:bottom w:w="0" w:type="dxa"/>
                    <w:right w:w="28" w:type="dxa"/>
                  </w:tcMar>
                  <w:vAlign w:val="center"/>
                </w:tcPr>
                <w:p w14:paraId="17E3DC8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96" w:type="pct"/>
                  <w:tcBorders>
                    <w:tl2br w:val="nil"/>
                    <w:tr2bl w:val="nil"/>
                  </w:tcBorders>
                  <w:tcMar>
                    <w:top w:w="0" w:type="dxa"/>
                    <w:left w:w="28" w:type="dxa"/>
                    <w:bottom w:w="0" w:type="dxa"/>
                    <w:right w:w="28" w:type="dxa"/>
                  </w:tcMar>
                  <w:vAlign w:val="center"/>
                </w:tcPr>
                <w:p w14:paraId="1B902CB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是</w:t>
                  </w:r>
                </w:p>
              </w:tc>
              <w:tc>
                <w:tcPr>
                  <w:tcW w:w="234" w:type="pct"/>
                  <w:tcBorders>
                    <w:tl2br w:val="nil"/>
                    <w:tr2bl w:val="nil"/>
                  </w:tcBorders>
                  <w:tcMar>
                    <w:top w:w="0" w:type="dxa"/>
                    <w:left w:w="28" w:type="dxa"/>
                    <w:bottom w:w="0" w:type="dxa"/>
                    <w:right w:w="28" w:type="dxa"/>
                  </w:tcMar>
                  <w:vAlign w:val="center"/>
                </w:tcPr>
                <w:p w14:paraId="0510441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0.0129</w:t>
                  </w:r>
                </w:p>
              </w:tc>
              <w:tc>
                <w:tcPr>
                  <w:tcW w:w="225" w:type="pct"/>
                  <w:tcBorders>
                    <w:tl2br w:val="nil"/>
                    <w:tr2bl w:val="nil"/>
                  </w:tcBorders>
                  <w:tcMar>
                    <w:top w:w="0" w:type="dxa"/>
                    <w:left w:w="28" w:type="dxa"/>
                    <w:bottom w:w="0" w:type="dxa"/>
                    <w:right w:w="28" w:type="dxa"/>
                  </w:tcMar>
                  <w:vAlign w:val="center"/>
                </w:tcPr>
                <w:p w14:paraId="5C12125B">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0.003</w:t>
                  </w:r>
                </w:p>
              </w:tc>
              <w:tc>
                <w:tcPr>
                  <w:tcW w:w="302" w:type="pct"/>
                  <w:tcBorders>
                    <w:tl2br w:val="nil"/>
                    <w:tr2bl w:val="nil"/>
                  </w:tcBorders>
                  <w:tcMar>
                    <w:top w:w="0" w:type="dxa"/>
                    <w:left w:w="28" w:type="dxa"/>
                    <w:bottom w:w="0" w:type="dxa"/>
                    <w:right w:w="28" w:type="dxa"/>
                  </w:tcMar>
                  <w:vAlign w:val="center"/>
                </w:tcPr>
                <w:p w14:paraId="3C5716A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01" w:type="pct"/>
                  <w:tcBorders>
                    <w:tl2br w:val="nil"/>
                    <w:tr2bl w:val="nil"/>
                  </w:tcBorders>
                  <w:tcMar>
                    <w:top w:w="0" w:type="dxa"/>
                    <w:left w:w="28" w:type="dxa"/>
                    <w:bottom w:w="0" w:type="dxa"/>
                    <w:right w:w="28" w:type="dxa"/>
                  </w:tcMar>
                  <w:vAlign w:val="center"/>
                </w:tcPr>
                <w:p w14:paraId="740C1C11">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4320</w:t>
                  </w:r>
                </w:p>
              </w:tc>
              <w:tc>
                <w:tcPr>
                  <w:tcW w:w="245" w:type="pct"/>
                  <w:tcBorders>
                    <w:tl2br w:val="nil"/>
                    <w:tr2bl w:val="nil"/>
                  </w:tcBorders>
                  <w:tcMar>
                    <w:top w:w="0" w:type="dxa"/>
                    <w:left w:w="28" w:type="dxa"/>
                    <w:bottom w:w="0" w:type="dxa"/>
                    <w:right w:w="28" w:type="dxa"/>
                  </w:tcMar>
                  <w:vAlign w:val="center"/>
                </w:tcPr>
                <w:p w14:paraId="0F9DA28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2D6FD8C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4.0</w:t>
                  </w:r>
                </w:p>
              </w:tc>
              <w:tc>
                <w:tcPr>
                  <w:tcW w:w="134" w:type="pct"/>
                  <w:tcBorders>
                    <w:tl2br w:val="nil"/>
                    <w:tr2bl w:val="nil"/>
                  </w:tcBorders>
                  <w:tcMar>
                    <w:top w:w="0" w:type="dxa"/>
                    <w:left w:w="28" w:type="dxa"/>
                    <w:bottom w:w="0" w:type="dxa"/>
                    <w:right w:w="28" w:type="dxa"/>
                  </w:tcMar>
                  <w:vAlign w:val="center"/>
                </w:tcPr>
                <w:p w14:paraId="36DB05D5">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707D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15" w:type="pct"/>
                  <w:vMerge w:val="restart"/>
                  <w:tcBorders>
                    <w:tl2br w:val="nil"/>
                    <w:tr2bl w:val="nil"/>
                  </w:tcBorders>
                  <w:tcMar>
                    <w:top w:w="0" w:type="dxa"/>
                    <w:left w:w="28" w:type="dxa"/>
                    <w:bottom w:w="0" w:type="dxa"/>
                    <w:right w:w="28" w:type="dxa"/>
                  </w:tcMar>
                  <w:vAlign w:val="center"/>
                </w:tcPr>
                <w:p w14:paraId="1DBD8559">
                  <w:pPr>
                    <w:jc w:val="center"/>
                    <w:rPr>
                      <w:rFonts w:ascii="Times New Roman" w:hAnsi="Times New Roman" w:eastAsia="宋体" w:cs="Times New Roman"/>
                      <w:color w:val="000000"/>
                      <w:szCs w:val="21"/>
                    </w:rPr>
                  </w:pPr>
                  <w:r>
                    <w:rPr>
                      <w:rFonts w:ascii="Times New Roman Bold" w:hAnsi="Times New Roman Bold" w:eastAsia="宋体" w:cs="Times New Roman Bold"/>
                      <w:b/>
                      <w:bCs/>
                      <w:color w:val="000000"/>
                      <w:szCs w:val="21"/>
                    </w:rPr>
                    <w:t>8</w:t>
                  </w:r>
                </w:p>
              </w:tc>
              <w:tc>
                <w:tcPr>
                  <w:tcW w:w="106" w:type="pct"/>
                  <w:vMerge w:val="restart"/>
                  <w:tcBorders>
                    <w:tl2br w:val="nil"/>
                    <w:tr2bl w:val="nil"/>
                  </w:tcBorders>
                  <w:tcMar>
                    <w:top w:w="0" w:type="dxa"/>
                    <w:left w:w="28" w:type="dxa"/>
                    <w:bottom w:w="0" w:type="dxa"/>
                    <w:right w:w="28" w:type="dxa"/>
                  </w:tcMar>
                  <w:vAlign w:val="center"/>
                </w:tcPr>
                <w:p w14:paraId="0AB1697F">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DA0</w:t>
                  </w:r>
                </w:p>
                <w:p w14:paraId="5328EF86">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0</w:t>
                  </w:r>
                </w:p>
                <w:p w14:paraId="6479BEF8">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1</w:t>
                  </w:r>
                </w:p>
              </w:tc>
              <w:tc>
                <w:tcPr>
                  <w:tcW w:w="101" w:type="pct"/>
                  <w:vMerge w:val="restart"/>
                  <w:tcBorders>
                    <w:tl2br w:val="nil"/>
                    <w:tr2bl w:val="nil"/>
                  </w:tcBorders>
                  <w:tcMar>
                    <w:top w:w="0" w:type="dxa"/>
                    <w:left w:w="28" w:type="dxa"/>
                    <w:bottom w:w="0" w:type="dxa"/>
                    <w:right w:w="28" w:type="dxa"/>
                  </w:tcMar>
                  <w:vAlign w:val="center"/>
                </w:tcPr>
                <w:p w14:paraId="2DA0216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烘干燃烧器废气</w:t>
                  </w:r>
                </w:p>
              </w:tc>
              <w:tc>
                <w:tcPr>
                  <w:tcW w:w="268" w:type="pct"/>
                  <w:tcBorders>
                    <w:tl2br w:val="nil"/>
                    <w:tr2bl w:val="nil"/>
                  </w:tcBorders>
                  <w:tcMar>
                    <w:top w:w="0" w:type="dxa"/>
                    <w:left w:w="28" w:type="dxa"/>
                    <w:bottom w:w="0" w:type="dxa"/>
                    <w:right w:w="28" w:type="dxa"/>
                  </w:tcMar>
                  <w:vAlign w:val="center"/>
                </w:tcPr>
                <w:p w14:paraId="732D9F0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颗粒物</w:t>
                  </w:r>
                </w:p>
              </w:tc>
              <w:tc>
                <w:tcPr>
                  <w:tcW w:w="180" w:type="pct"/>
                  <w:vMerge w:val="restart"/>
                  <w:tcBorders>
                    <w:tl2br w:val="nil"/>
                    <w:tr2bl w:val="nil"/>
                  </w:tcBorders>
                  <w:tcMar>
                    <w:top w:w="0" w:type="dxa"/>
                    <w:left w:w="28" w:type="dxa"/>
                    <w:bottom w:w="0" w:type="dxa"/>
                    <w:right w:w="28" w:type="dxa"/>
                  </w:tcMar>
                  <w:vAlign w:val="center"/>
                </w:tcPr>
                <w:p w14:paraId="383A444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有组织</w:t>
                  </w:r>
                </w:p>
              </w:tc>
              <w:tc>
                <w:tcPr>
                  <w:tcW w:w="249" w:type="pct"/>
                  <w:tcBorders>
                    <w:tl2br w:val="nil"/>
                    <w:tr2bl w:val="nil"/>
                  </w:tcBorders>
                  <w:tcMar>
                    <w:top w:w="0" w:type="dxa"/>
                    <w:left w:w="28" w:type="dxa"/>
                    <w:bottom w:w="0" w:type="dxa"/>
                    <w:right w:w="28" w:type="dxa"/>
                  </w:tcMar>
                  <w:vAlign w:val="center"/>
                </w:tcPr>
                <w:p w14:paraId="2E5B34E3">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0.039</w:t>
                  </w:r>
                </w:p>
              </w:tc>
              <w:tc>
                <w:tcPr>
                  <w:tcW w:w="292" w:type="pct"/>
                  <w:tcBorders>
                    <w:tl2br w:val="nil"/>
                    <w:tr2bl w:val="nil"/>
                  </w:tcBorders>
                  <w:tcMar>
                    <w:top w:w="0" w:type="dxa"/>
                    <w:left w:w="28" w:type="dxa"/>
                    <w:bottom w:w="0" w:type="dxa"/>
                    <w:right w:w="28" w:type="dxa"/>
                  </w:tcMar>
                  <w:vAlign w:val="center"/>
                </w:tcPr>
                <w:p w14:paraId="7C08A60D">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0.027</w:t>
                  </w:r>
                </w:p>
              </w:tc>
              <w:tc>
                <w:tcPr>
                  <w:tcW w:w="302" w:type="pct"/>
                  <w:tcBorders>
                    <w:tl2br w:val="nil"/>
                    <w:tr2bl w:val="nil"/>
                  </w:tcBorders>
                  <w:tcMar>
                    <w:top w:w="0" w:type="dxa"/>
                    <w:left w:w="28" w:type="dxa"/>
                    <w:bottom w:w="0" w:type="dxa"/>
                    <w:right w:w="28" w:type="dxa"/>
                  </w:tcMar>
                  <w:vAlign w:val="center"/>
                </w:tcPr>
                <w:p w14:paraId="72D74CC3">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14.6</w:t>
                  </w:r>
                </w:p>
              </w:tc>
              <w:tc>
                <w:tcPr>
                  <w:tcW w:w="734" w:type="pct"/>
                  <w:vMerge w:val="restart"/>
                  <w:tcBorders>
                    <w:tl2br w:val="nil"/>
                    <w:tr2bl w:val="nil"/>
                  </w:tcBorders>
                  <w:tcMar>
                    <w:top w:w="0" w:type="dxa"/>
                    <w:left w:w="28" w:type="dxa"/>
                    <w:bottom w:w="0" w:type="dxa"/>
                    <w:right w:w="28" w:type="dxa"/>
                  </w:tcMar>
                  <w:vAlign w:val="center"/>
                </w:tcPr>
                <w:p w14:paraId="48A8C169">
                  <w:pPr>
                    <w:jc w:val="center"/>
                    <w:rPr>
                      <w:rFonts w:ascii="Times New Roman" w:hAnsi="Times New Roman" w:eastAsia="宋体" w:cs="Times New Roman"/>
                      <w:color w:val="000000"/>
                      <w:szCs w:val="21"/>
                    </w:rPr>
                  </w:pPr>
                  <w:r>
                    <w:rPr>
                      <w:rFonts w:hint="eastAsia" w:ascii="Times New Roman" w:hAnsi="Times New Roman" w:cs="Times New Roman"/>
                      <w:color w:val="FF0000"/>
                      <w:szCs w:val="21"/>
                    </w:rPr>
                    <w:t>密闭负压</w:t>
                  </w:r>
                  <w:r>
                    <w:rPr>
                      <w:rFonts w:hint="eastAsia" w:ascii="Times New Roman" w:hAnsi="Times New Roman" w:cs="Times New Roman"/>
                      <w:szCs w:val="21"/>
                    </w:rPr>
                    <w:t>引至</w:t>
                  </w:r>
                  <w:r>
                    <w:rPr>
                      <w:rFonts w:ascii="Times New Roman" w:hAnsi="Times New Roman" w:cs="Times New Roman"/>
                      <w:szCs w:val="21"/>
                    </w:rPr>
                    <w:t>蜗壳除尘</w:t>
                  </w:r>
                  <w:r>
                    <w:rPr>
                      <w:rFonts w:hint="eastAsia" w:ascii="Times New Roman" w:hAnsi="Times New Roman" w:cs="Times New Roman"/>
                      <w:szCs w:val="21"/>
                    </w:rPr>
                    <w:t>+</w:t>
                  </w:r>
                  <w:r>
                    <w:rPr>
                      <w:rFonts w:ascii="Times New Roman" w:hAnsi="Times New Roman" w:cs="Times New Roman"/>
                      <w:szCs w:val="21"/>
                    </w:rPr>
                    <w:t>布袋除尘（处理效率99%，风量</w:t>
                  </w:r>
                  <w:r>
                    <w:rPr>
                      <w:rFonts w:hint="eastAsia" w:ascii="Times New Roman" w:hAnsi="Times New Roman" w:cs="Times New Roman"/>
                      <w:szCs w:val="21"/>
                    </w:rPr>
                    <w:t>45000</w:t>
                  </w:r>
                  <w:r>
                    <w:rPr>
                      <w:rFonts w:ascii="Times New Roman" w:hAnsi="Times New Roman" w:cs="Times New Roman"/>
                      <w:szCs w:val="21"/>
                    </w:rPr>
                    <w:t>m³/h）+</w:t>
                  </w:r>
                  <w:r>
                    <w:rPr>
                      <w:rFonts w:hint="eastAsia" w:ascii="Times New Roman" w:hAnsi="Times New Roman" w:cs="Times New Roman"/>
                      <w:szCs w:val="21"/>
                    </w:rPr>
                    <w:t>22</w:t>
                  </w:r>
                  <w:r>
                    <w:rPr>
                      <w:rFonts w:ascii="Times New Roman" w:hAnsi="Times New Roman" w:cs="Times New Roman"/>
                      <w:szCs w:val="21"/>
                    </w:rPr>
                    <w:t>m高排气筒（DA001）排放</w:t>
                  </w:r>
                </w:p>
              </w:tc>
              <w:tc>
                <w:tcPr>
                  <w:tcW w:w="206" w:type="pct"/>
                  <w:vMerge w:val="restart"/>
                  <w:tcBorders>
                    <w:tl2br w:val="nil"/>
                    <w:tr2bl w:val="nil"/>
                  </w:tcBorders>
                  <w:tcMar>
                    <w:top w:w="0" w:type="dxa"/>
                    <w:left w:w="28" w:type="dxa"/>
                    <w:bottom w:w="0" w:type="dxa"/>
                    <w:right w:w="28" w:type="dxa"/>
                  </w:tcMar>
                  <w:vAlign w:val="center"/>
                </w:tcPr>
                <w:p w14:paraId="0D10BAA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45000</w:t>
                  </w:r>
                </w:p>
              </w:tc>
              <w:tc>
                <w:tcPr>
                  <w:tcW w:w="264" w:type="pct"/>
                  <w:vMerge w:val="restart"/>
                  <w:tcBorders>
                    <w:tl2br w:val="nil"/>
                    <w:tr2bl w:val="nil"/>
                  </w:tcBorders>
                  <w:tcMar>
                    <w:top w:w="0" w:type="dxa"/>
                    <w:left w:w="28" w:type="dxa"/>
                    <w:bottom w:w="0" w:type="dxa"/>
                    <w:right w:w="28" w:type="dxa"/>
                  </w:tcMar>
                  <w:vAlign w:val="center"/>
                </w:tcPr>
                <w:p w14:paraId="55D4720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100%</w:t>
                  </w:r>
                </w:p>
              </w:tc>
              <w:tc>
                <w:tcPr>
                  <w:tcW w:w="278" w:type="pct"/>
                  <w:vMerge w:val="restart"/>
                  <w:tcBorders>
                    <w:tl2br w:val="nil"/>
                    <w:tr2bl w:val="nil"/>
                  </w:tcBorders>
                  <w:tcMar>
                    <w:top w:w="0" w:type="dxa"/>
                    <w:left w:w="28" w:type="dxa"/>
                    <w:bottom w:w="0" w:type="dxa"/>
                    <w:right w:w="28" w:type="dxa"/>
                  </w:tcMar>
                  <w:vAlign w:val="center"/>
                </w:tcPr>
                <w:p w14:paraId="5227519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99%</w:t>
                  </w:r>
                </w:p>
              </w:tc>
              <w:tc>
                <w:tcPr>
                  <w:tcW w:w="196" w:type="pct"/>
                  <w:vMerge w:val="restart"/>
                  <w:tcBorders>
                    <w:tl2br w:val="nil"/>
                    <w:tr2bl w:val="nil"/>
                  </w:tcBorders>
                  <w:tcMar>
                    <w:top w:w="0" w:type="dxa"/>
                    <w:left w:w="28" w:type="dxa"/>
                    <w:bottom w:w="0" w:type="dxa"/>
                    <w:right w:w="28" w:type="dxa"/>
                  </w:tcMar>
                  <w:vAlign w:val="center"/>
                </w:tcPr>
                <w:p w14:paraId="49718F3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是</w:t>
                  </w:r>
                </w:p>
              </w:tc>
              <w:tc>
                <w:tcPr>
                  <w:tcW w:w="234" w:type="pct"/>
                  <w:tcBorders>
                    <w:tl2br w:val="nil"/>
                    <w:tr2bl w:val="nil"/>
                  </w:tcBorders>
                  <w:tcMar>
                    <w:top w:w="0" w:type="dxa"/>
                    <w:left w:w="28" w:type="dxa"/>
                    <w:bottom w:w="0" w:type="dxa"/>
                    <w:right w:w="28" w:type="dxa"/>
                  </w:tcMar>
                  <w:vAlign w:val="center"/>
                </w:tcPr>
                <w:p w14:paraId="248FA212">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0.00039</w:t>
                  </w:r>
                </w:p>
              </w:tc>
              <w:tc>
                <w:tcPr>
                  <w:tcW w:w="225" w:type="pct"/>
                  <w:tcBorders>
                    <w:tl2br w:val="nil"/>
                    <w:tr2bl w:val="nil"/>
                  </w:tcBorders>
                  <w:tcMar>
                    <w:top w:w="0" w:type="dxa"/>
                    <w:left w:w="28" w:type="dxa"/>
                    <w:bottom w:w="0" w:type="dxa"/>
                    <w:right w:w="28" w:type="dxa"/>
                  </w:tcMar>
                  <w:vAlign w:val="center"/>
                </w:tcPr>
                <w:p w14:paraId="354960C2">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0.0003</w:t>
                  </w:r>
                </w:p>
              </w:tc>
              <w:tc>
                <w:tcPr>
                  <w:tcW w:w="302" w:type="pct"/>
                  <w:tcBorders>
                    <w:tl2br w:val="nil"/>
                    <w:tr2bl w:val="nil"/>
                  </w:tcBorders>
                  <w:tcMar>
                    <w:top w:w="0" w:type="dxa"/>
                    <w:left w:w="28" w:type="dxa"/>
                    <w:bottom w:w="0" w:type="dxa"/>
                    <w:right w:w="28" w:type="dxa"/>
                  </w:tcMar>
                  <w:vAlign w:val="center"/>
                </w:tcPr>
                <w:p w14:paraId="5B11D29C">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0.14</w:t>
                  </w:r>
                </w:p>
              </w:tc>
              <w:tc>
                <w:tcPr>
                  <w:tcW w:w="201" w:type="pct"/>
                  <w:vMerge w:val="restart"/>
                  <w:tcBorders>
                    <w:tl2br w:val="nil"/>
                    <w:tr2bl w:val="nil"/>
                  </w:tcBorders>
                  <w:tcMar>
                    <w:top w:w="0" w:type="dxa"/>
                    <w:left w:w="28" w:type="dxa"/>
                    <w:bottom w:w="0" w:type="dxa"/>
                    <w:right w:w="28" w:type="dxa"/>
                  </w:tcMar>
                  <w:vAlign w:val="center"/>
                </w:tcPr>
                <w:p w14:paraId="55C9863C">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1440</w:t>
                  </w:r>
                </w:p>
              </w:tc>
              <w:tc>
                <w:tcPr>
                  <w:tcW w:w="245" w:type="pct"/>
                  <w:tcBorders>
                    <w:tl2br w:val="nil"/>
                    <w:tr2bl w:val="nil"/>
                  </w:tcBorders>
                  <w:tcMar>
                    <w:top w:w="0" w:type="dxa"/>
                    <w:left w:w="28" w:type="dxa"/>
                    <w:bottom w:w="0" w:type="dxa"/>
                    <w:right w:w="28" w:type="dxa"/>
                  </w:tcMar>
                  <w:vAlign w:val="center"/>
                </w:tcPr>
                <w:p w14:paraId="2F2F844A">
                  <w:pPr>
                    <w:jc w:val="center"/>
                    <w:rPr>
                      <w:rFonts w:ascii="Times New Roman" w:hAnsi="Times New Roman" w:eastAsia="宋体" w:cs="Times New Roman"/>
                      <w:color w:val="FF0000"/>
                      <w:szCs w:val="21"/>
                    </w:rPr>
                  </w:pPr>
                  <w:r>
                    <w:rPr>
                      <w:rFonts w:ascii="Times New Roman" w:hAnsi="Times New Roman" w:eastAsia="宋体" w:cs="Times New Roman"/>
                      <w:color w:val="FF0000"/>
                      <w:szCs w:val="21"/>
                    </w:rPr>
                    <w:t>4.66</w:t>
                  </w:r>
                </w:p>
              </w:tc>
              <w:tc>
                <w:tcPr>
                  <w:tcW w:w="358" w:type="pct"/>
                  <w:tcBorders>
                    <w:tl2br w:val="nil"/>
                    <w:tr2bl w:val="nil"/>
                  </w:tcBorders>
                  <w:tcMar>
                    <w:top w:w="0" w:type="dxa"/>
                    <w:left w:w="28" w:type="dxa"/>
                    <w:bottom w:w="0" w:type="dxa"/>
                    <w:right w:w="28" w:type="dxa"/>
                  </w:tcMar>
                  <w:vAlign w:val="center"/>
                </w:tcPr>
                <w:p w14:paraId="4CF2D237">
                  <w:pPr>
                    <w:jc w:val="center"/>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120</w:t>
                  </w:r>
                </w:p>
              </w:tc>
              <w:tc>
                <w:tcPr>
                  <w:tcW w:w="134" w:type="pct"/>
                  <w:tcBorders>
                    <w:tl2br w:val="nil"/>
                    <w:tr2bl w:val="nil"/>
                  </w:tcBorders>
                  <w:tcMar>
                    <w:top w:w="0" w:type="dxa"/>
                    <w:left w:w="28" w:type="dxa"/>
                    <w:bottom w:w="0" w:type="dxa"/>
                    <w:right w:w="28" w:type="dxa"/>
                  </w:tcMar>
                  <w:vAlign w:val="center"/>
                </w:tcPr>
                <w:p w14:paraId="1A775ED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0546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15" w:type="pct"/>
                  <w:vMerge w:val="continue"/>
                  <w:tcBorders>
                    <w:tl2br w:val="nil"/>
                    <w:tr2bl w:val="nil"/>
                  </w:tcBorders>
                  <w:tcMar>
                    <w:top w:w="0" w:type="dxa"/>
                    <w:left w:w="28" w:type="dxa"/>
                    <w:bottom w:w="0" w:type="dxa"/>
                    <w:right w:w="28" w:type="dxa"/>
                  </w:tcMar>
                  <w:vAlign w:val="center"/>
                </w:tcPr>
                <w:p w14:paraId="1B75D922">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1317ACAB">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0E47E242">
                  <w:pPr>
                    <w:jc w:val="center"/>
                    <w:rPr>
                      <w:rFonts w:ascii="Times New Roman" w:hAnsi="Times New Roman" w:eastAsia="宋体" w:cs="Times New Roman"/>
                      <w:color w:val="000000"/>
                      <w:szCs w:val="21"/>
                    </w:rPr>
                  </w:pPr>
                </w:p>
              </w:tc>
              <w:tc>
                <w:tcPr>
                  <w:tcW w:w="268" w:type="pct"/>
                  <w:tcBorders>
                    <w:tl2br w:val="nil"/>
                    <w:tr2bl w:val="nil"/>
                  </w:tcBorders>
                  <w:tcMar>
                    <w:top w:w="0" w:type="dxa"/>
                    <w:left w:w="28" w:type="dxa"/>
                    <w:bottom w:w="0" w:type="dxa"/>
                    <w:right w:w="28" w:type="dxa"/>
                  </w:tcMar>
                  <w:vAlign w:val="center"/>
                </w:tcPr>
                <w:p w14:paraId="76BFB20C">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二氧</w:t>
                  </w:r>
                </w:p>
                <w:p w14:paraId="331E7FC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化硫</w:t>
                  </w:r>
                </w:p>
              </w:tc>
              <w:tc>
                <w:tcPr>
                  <w:tcW w:w="180" w:type="pct"/>
                  <w:vMerge w:val="continue"/>
                  <w:tcBorders>
                    <w:tl2br w:val="nil"/>
                    <w:tr2bl w:val="nil"/>
                  </w:tcBorders>
                  <w:tcMar>
                    <w:top w:w="0" w:type="dxa"/>
                    <w:left w:w="28" w:type="dxa"/>
                    <w:bottom w:w="0" w:type="dxa"/>
                    <w:right w:w="28" w:type="dxa"/>
                  </w:tcMar>
                  <w:vAlign w:val="center"/>
                </w:tcPr>
                <w:p w14:paraId="3418D43A">
                  <w:pPr>
                    <w:jc w:val="center"/>
                    <w:rPr>
                      <w:rFonts w:ascii="Times New Roman" w:hAnsi="Times New Roman" w:eastAsia="宋体" w:cs="Times New Roman"/>
                      <w:color w:val="000000"/>
                      <w:szCs w:val="21"/>
                    </w:rPr>
                  </w:pPr>
                </w:p>
              </w:tc>
              <w:tc>
                <w:tcPr>
                  <w:tcW w:w="249" w:type="pct"/>
                  <w:tcBorders>
                    <w:tl2br w:val="nil"/>
                    <w:tr2bl w:val="nil"/>
                  </w:tcBorders>
                  <w:tcMar>
                    <w:top w:w="0" w:type="dxa"/>
                    <w:left w:w="28" w:type="dxa"/>
                    <w:bottom w:w="0" w:type="dxa"/>
                    <w:right w:w="28" w:type="dxa"/>
                  </w:tcMar>
                  <w:vAlign w:val="center"/>
                </w:tcPr>
                <w:p w14:paraId="3792943B">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0.0029</w:t>
                  </w:r>
                </w:p>
              </w:tc>
              <w:tc>
                <w:tcPr>
                  <w:tcW w:w="292" w:type="pct"/>
                  <w:tcBorders>
                    <w:tl2br w:val="nil"/>
                    <w:tr2bl w:val="nil"/>
                  </w:tcBorders>
                  <w:tcMar>
                    <w:top w:w="0" w:type="dxa"/>
                    <w:left w:w="28" w:type="dxa"/>
                    <w:bottom w:w="0" w:type="dxa"/>
                    <w:right w:w="28" w:type="dxa"/>
                  </w:tcMar>
                  <w:vAlign w:val="center"/>
                </w:tcPr>
                <w:p w14:paraId="0D4D6923">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0.002</w:t>
                  </w:r>
                </w:p>
              </w:tc>
              <w:tc>
                <w:tcPr>
                  <w:tcW w:w="302" w:type="pct"/>
                  <w:tcBorders>
                    <w:tl2br w:val="nil"/>
                    <w:tr2bl w:val="nil"/>
                  </w:tcBorders>
                  <w:tcMar>
                    <w:top w:w="0" w:type="dxa"/>
                    <w:left w:w="28" w:type="dxa"/>
                    <w:bottom w:w="0" w:type="dxa"/>
                    <w:right w:w="28" w:type="dxa"/>
                  </w:tcMar>
                  <w:vAlign w:val="center"/>
                </w:tcPr>
                <w:p w14:paraId="6DC7250D">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1.08</w:t>
                  </w:r>
                </w:p>
              </w:tc>
              <w:tc>
                <w:tcPr>
                  <w:tcW w:w="734" w:type="pct"/>
                  <w:vMerge w:val="continue"/>
                  <w:tcBorders>
                    <w:tl2br w:val="nil"/>
                    <w:tr2bl w:val="nil"/>
                  </w:tcBorders>
                  <w:tcMar>
                    <w:top w:w="0" w:type="dxa"/>
                    <w:left w:w="28" w:type="dxa"/>
                    <w:bottom w:w="0" w:type="dxa"/>
                    <w:right w:w="28" w:type="dxa"/>
                  </w:tcMar>
                  <w:vAlign w:val="center"/>
                </w:tcPr>
                <w:p w14:paraId="0BE54C8D">
                  <w:pPr>
                    <w:jc w:val="center"/>
                    <w:rPr>
                      <w:rFonts w:ascii="Times New Roman" w:hAnsi="Times New Roman" w:eastAsia="宋体" w:cs="Times New Roman"/>
                      <w:color w:val="000000"/>
                      <w:szCs w:val="21"/>
                    </w:rPr>
                  </w:pPr>
                </w:p>
              </w:tc>
              <w:tc>
                <w:tcPr>
                  <w:tcW w:w="206" w:type="pct"/>
                  <w:vMerge w:val="continue"/>
                  <w:tcBorders>
                    <w:tl2br w:val="nil"/>
                    <w:tr2bl w:val="nil"/>
                  </w:tcBorders>
                  <w:tcMar>
                    <w:top w:w="0" w:type="dxa"/>
                    <w:left w:w="28" w:type="dxa"/>
                    <w:bottom w:w="0" w:type="dxa"/>
                    <w:right w:w="28" w:type="dxa"/>
                  </w:tcMar>
                  <w:vAlign w:val="center"/>
                </w:tcPr>
                <w:p w14:paraId="76B67531">
                  <w:pPr>
                    <w:jc w:val="center"/>
                    <w:rPr>
                      <w:rFonts w:ascii="Times New Roman" w:hAnsi="Times New Roman" w:eastAsia="宋体" w:cs="Times New Roman"/>
                      <w:color w:val="000000"/>
                      <w:szCs w:val="21"/>
                    </w:rPr>
                  </w:pPr>
                </w:p>
              </w:tc>
              <w:tc>
                <w:tcPr>
                  <w:tcW w:w="264" w:type="pct"/>
                  <w:vMerge w:val="continue"/>
                  <w:tcBorders>
                    <w:tl2br w:val="nil"/>
                    <w:tr2bl w:val="nil"/>
                  </w:tcBorders>
                  <w:tcMar>
                    <w:top w:w="0" w:type="dxa"/>
                    <w:left w:w="28" w:type="dxa"/>
                    <w:bottom w:w="0" w:type="dxa"/>
                    <w:right w:w="28" w:type="dxa"/>
                  </w:tcMar>
                  <w:vAlign w:val="center"/>
                </w:tcPr>
                <w:p w14:paraId="50BACCF0">
                  <w:pPr>
                    <w:jc w:val="center"/>
                    <w:rPr>
                      <w:rFonts w:ascii="Times New Roman" w:hAnsi="Times New Roman" w:eastAsia="宋体" w:cs="Times New Roman"/>
                      <w:color w:val="000000"/>
                      <w:szCs w:val="21"/>
                    </w:rPr>
                  </w:pPr>
                </w:p>
              </w:tc>
              <w:tc>
                <w:tcPr>
                  <w:tcW w:w="278" w:type="pct"/>
                  <w:vMerge w:val="continue"/>
                  <w:tcBorders>
                    <w:tl2br w:val="nil"/>
                    <w:tr2bl w:val="nil"/>
                  </w:tcBorders>
                  <w:tcMar>
                    <w:top w:w="0" w:type="dxa"/>
                    <w:left w:w="28" w:type="dxa"/>
                    <w:bottom w:w="0" w:type="dxa"/>
                    <w:right w:w="28" w:type="dxa"/>
                  </w:tcMar>
                  <w:vAlign w:val="center"/>
                </w:tcPr>
                <w:p w14:paraId="29550202">
                  <w:pPr>
                    <w:jc w:val="center"/>
                    <w:rPr>
                      <w:rFonts w:ascii="Times New Roman" w:hAnsi="Times New Roman" w:eastAsia="宋体" w:cs="Times New Roman"/>
                      <w:color w:val="000000"/>
                      <w:szCs w:val="21"/>
                    </w:rPr>
                  </w:pPr>
                </w:p>
              </w:tc>
              <w:tc>
                <w:tcPr>
                  <w:tcW w:w="196" w:type="pct"/>
                  <w:vMerge w:val="continue"/>
                  <w:tcBorders>
                    <w:tl2br w:val="nil"/>
                    <w:tr2bl w:val="nil"/>
                  </w:tcBorders>
                  <w:tcMar>
                    <w:top w:w="0" w:type="dxa"/>
                    <w:left w:w="28" w:type="dxa"/>
                    <w:bottom w:w="0" w:type="dxa"/>
                    <w:right w:w="28" w:type="dxa"/>
                  </w:tcMar>
                  <w:vAlign w:val="center"/>
                </w:tcPr>
                <w:p w14:paraId="3D3AD301">
                  <w:pPr>
                    <w:jc w:val="center"/>
                    <w:rPr>
                      <w:rFonts w:ascii="Times New Roman" w:hAnsi="Times New Roman" w:eastAsia="宋体" w:cs="Times New Roman"/>
                      <w:color w:val="000000"/>
                      <w:szCs w:val="21"/>
                    </w:rPr>
                  </w:pPr>
                </w:p>
              </w:tc>
              <w:tc>
                <w:tcPr>
                  <w:tcW w:w="234" w:type="pct"/>
                  <w:tcBorders>
                    <w:tl2br w:val="nil"/>
                    <w:tr2bl w:val="nil"/>
                  </w:tcBorders>
                  <w:tcMar>
                    <w:top w:w="0" w:type="dxa"/>
                    <w:left w:w="28" w:type="dxa"/>
                    <w:bottom w:w="0" w:type="dxa"/>
                    <w:right w:w="28" w:type="dxa"/>
                  </w:tcMar>
                  <w:vAlign w:val="center"/>
                </w:tcPr>
                <w:p w14:paraId="14BDA3C2">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0.0029</w:t>
                  </w:r>
                </w:p>
              </w:tc>
              <w:tc>
                <w:tcPr>
                  <w:tcW w:w="225" w:type="pct"/>
                  <w:tcBorders>
                    <w:tl2br w:val="nil"/>
                    <w:tr2bl w:val="nil"/>
                  </w:tcBorders>
                  <w:tcMar>
                    <w:top w:w="0" w:type="dxa"/>
                    <w:left w:w="28" w:type="dxa"/>
                    <w:bottom w:w="0" w:type="dxa"/>
                    <w:right w:w="28" w:type="dxa"/>
                  </w:tcMar>
                  <w:vAlign w:val="center"/>
                </w:tcPr>
                <w:p w14:paraId="4A400D83">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0.002</w:t>
                  </w:r>
                </w:p>
              </w:tc>
              <w:tc>
                <w:tcPr>
                  <w:tcW w:w="302" w:type="pct"/>
                  <w:tcBorders>
                    <w:tl2br w:val="nil"/>
                    <w:tr2bl w:val="nil"/>
                  </w:tcBorders>
                  <w:tcMar>
                    <w:top w:w="0" w:type="dxa"/>
                    <w:left w:w="28" w:type="dxa"/>
                    <w:bottom w:w="0" w:type="dxa"/>
                    <w:right w:w="28" w:type="dxa"/>
                  </w:tcMar>
                  <w:vAlign w:val="center"/>
                </w:tcPr>
                <w:p w14:paraId="165331BC">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1.08</w:t>
                  </w:r>
                </w:p>
              </w:tc>
              <w:tc>
                <w:tcPr>
                  <w:tcW w:w="201" w:type="pct"/>
                  <w:vMerge w:val="continue"/>
                  <w:tcBorders>
                    <w:tl2br w:val="nil"/>
                    <w:tr2bl w:val="nil"/>
                  </w:tcBorders>
                  <w:tcMar>
                    <w:top w:w="0" w:type="dxa"/>
                    <w:left w:w="28" w:type="dxa"/>
                    <w:bottom w:w="0" w:type="dxa"/>
                    <w:right w:w="28" w:type="dxa"/>
                  </w:tcMar>
                  <w:vAlign w:val="center"/>
                </w:tcPr>
                <w:p w14:paraId="10A7B64B">
                  <w:pPr>
                    <w:jc w:val="center"/>
                    <w:rPr>
                      <w:rFonts w:ascii="Times New Roman" w:hAnsi="Times New Roman" w:eastAsia="宋体" w:cs="Times New Roman"/>
                      <w:color w:val="000000"/>
                      <w:szCs w:val="21"/>
                    </w:rPr>
                  </w:pPr>
                </w:p>
              </w:tc>
              <w:tc>
                <w:tcPr>
                  <w:tcW w:w="245" w:type="pct"/>
                  <w:tcBorders>
                    <w:tl2br w:val="nil"/>
                    <w:tr2bl w:val="nil"/>
                  </w:tcBorders>
                  <w:tcMar>
                    <w:top w:w="0" w:type="dxa"/>
                    <w:left w:w="28" w:type="dxa"/>
                    <w:bottom w:w="0" w:type="dxa"/>
                    <w:right w:w="28" w:type="dxa"/>
                  </w:tcMar>
                  <w:vAlign w:val="center"/>
                </w:tcPr>
                <w:p w14:paraId="0D09092E">
                  <w:pPr>
                    <w:jc w:val="center"/>
                    <w:rPr>
                      <w:rFonts w:ascii="Times New Roman" w:hAnsi="Times New Roman" w:eastAsia="宋体" w:cs="Times New Roman"/>
                      <w:color w:val="FF0000"/>
                      <w:szCs w:val="21"/>
                    </w:rPr>
                  </w:pPr>
                  <w:r>
                    <w:rPr>
                      <w:rFonts w:hint="eastAsia" w:ascii="Times New Roman" w:hAnsi="Times New Roman" w:cs="Times New Roman"/>
                      <w:color w:val="FF0000"/>
                      <w:szCs w:val="21"/>
                    </w:rPr>
                    <w:t>2.69</w:t>
                  </w:r>
                </w:p>
              </w:tc>
              <w:tc>
                <w:tcPr>
                  <w:tcW w:w="358" w:type="pct"/>
                  <w:tcBorders>
                    <w:tl2br w:val="nil"/>
                    <w:tr2bl w:val="nil"/>
                  </w:tcBorders>
                  <w:tcMar>
                    <w:top w:w="0" w:type="dxa"/>
                    <w:left w:w="28" w:type="dxa"/>
                    <w:bottom w:w="0" w:type="dxa"/>
                    <w:right w:w="28" w:type="dxa"/>
                  </w:tcMar>
                  <w:vAlign w:val="center"/>
                </w:tcPr>
                <w:p w14:paraId="2EB1EA73">
                  <w:pPr>
                    <w:jc w:val="center"/>
                    <w:rPr>
                      <w:rFonts w:ascii="Times New Roman" w:hAnsi="Times New Roman" w:eastAsia="宋体" w:cs="Times New Roman"/>
                      <w:color w:val="FF0000"/>
                      <w:szCs w:val="21"/>
                      <w:highlight w:val="yellow"/>
                    </w:rPr>
                  </w:pPr>
                  <w:r>
                    <w:rPr>
                      <w:rFonts w:ascii="Times New Roman" w:hAnsi="Times New Roman" w:eastAsia="宋体" w:cs="Times New Roman"/>
                      <w:color w:val="FF0000"/>
                      <w:szCs w:val="21"/>
                    </w:rPr>
                    <w:t>550</w:t>
                  </w:r>
                </w:p>
              </w:tc>
              <w:tc>
                <w:tcPr>
                  <w:tcW w:w="134" w:type="pct"/>
                  <w:tcBorders>
                    <w:tl2br w:val="nil"/>
                    <w:tr2bl w:val="nil"/>
                  </w:tcBorders>
                  <w:tcMar>
                    <w:top w:w="0" w:type="dxa"/>
                    <w:left w:w="28" w:type="dxa"/>
                    <w:bottom w:w="0" w:type="dxa"/>
                    <w:right w:w="28" w:type="dxa"/>
                  </w:tcMar>
                  <w:vAlign w:val="center"/>
                </w:tcPr>
                <w:p w14:paraId="7A7C153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1363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 w:type="pct"/>
                  <w:vMerge w:val="continue"/>
                  <w:tcBorders>
                    <w:tl2br w:val="nil"/>
                    <w:tr2bl w:val="nil"/>
                  </w:tcBorders>
                  <w:tcMar>
                    <w:top w:w="0" w:type="dxa"/>
                    <w:left w:w="28" w:type="dxa"/>
                    <w:bottom w:w="0" w:type="dxa"/>
                    <w:right w:w="28" w:type="dxa"/>
                  </w:tcMar>
                  <w:vAlign w:val="center"/>
                </w:tcPr>
                <w:p w14:paraId="0AC78195">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22C2DAF1">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285610AA">
                  <w:pPr>
                    <w:jc w:val="center"/>
                    <w:rPr>
                      <w:rFonts w:ascii="Times New Roman" w:hAnsi="Times New Roman" w:eastAsia="宋体" w:cs="Times New Roman"/>
                      <w:color w:val="000000"/>
                      <w:szCs w:val="21"/>
                    </w:rPr>
                  </w:pPr>
                </w:p>
              </w:tc>
              <w:tc>
                <w:tcPr>
                  <w:tcW w:w="268" w:type="pct"/>
                  <w:tcBorders>
                    <w:tl2br w:val="nil"/>
                    <w:tr2bl w:val="nil"/>
                  </w:tcBorders>
                  <w:tcMar>
                    <w:top w:w="0" w:type="dxa"/>
                    <w:left w:w="28" w:type="dxa"/>
                    <w:bottom w:w="0" w:type="dxa"/>
                    <w:right w:w="28" w:type="dxa"/>
                  </w:tcMar>
                  <w:vAlign w:val="center"/>
                </w:tcPr>
                <w:p w14:paraId="08CA1DA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氮氧</w:t>
                  </w:r>
                </w:p>
                <w:p w14:paraId="4CE1607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化物</w:t>
                  </w:r>
                </w:p>
              </w:tc>
              <w:tc>
                <w:tcPr>
                  <w:tcW w:w="180" w:type="pct"/>
                  <w:vMerge w:val="continue"/>
                  <w:tcBorders>
                    <w:tl2br w:val="nil"/>
                    <w:tr2bl w:val="nil"/>
                  </w:tcBorders>
                  <w:tcMar>
                    <w:top w:w="0" w:type="dxa"/>
                    <w:left w:w="28" w:type="dxa"/>
                    <w:bottom w:w="0" w:type="dxa"/>
                    <w:right w:w="28" w:type="dxa"/>
                  </w:tcMar>
                  <w:vAlign w:val="center"/>
                </w:tcPr>
                <w:p w14:paraId="7D3EC7A3">
                  <w:pPr>
                    <w:jc w:val="center"/>
                    <w:rPr>
                      <w:rFonts w:ascii="Times New Roman" w:hAnsi="Times New Roman" w:eastAsia="宋体" w:cs="Times New Roman"/>
                      <w:color w:val="000000"/>
                      <w:szCs w:val="21"/>
                    </w:rPr>
                  </w:pPr>
                </w:p>
              </w:tc>
              <w:tc>
                <w:tcPr>
                  <w:tcW w:w="249" w:type="pct"/>
                  <w:tcBorders>
                    <w:tl2br w:val="nil"/>
                    <w:tr2bl w:val="nil"/>
                  </w:tcBorders>
                  <w:tcMar>
                    <w:top w:w="0" w:type="dxa"/>
                    <w:left w:w="28" w:type="dxa"/>
                    <w:bottom w:w="0" w:type="dxa"/>
                    <w:right w:w="28" w:type="dxa"/>
                  </w:tcMar>
                  <w:vAlign w:val="center"/>
                </w:tcPr>
                <w:p w14:paraId="6C7DB591">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0.454</w:t>
                  </w:r>
                </w:p>
              </w:tc>
              <w:tc>
                <w:tcPr>
                  <w:tcW w:w="292" w:type="pct"/>
                  <w:tcBorders>
                    <w:tl2br w:val="nil"/>
                    <w:tr2bl w:val="nil"/>
                  </w:tcBorders>
                  <w:tcMar>
                    <w:top w:w="0" w:type="dxa"/>
                    <w:left w:w="28" w:type="dxa"/>
                    <w:bottom w:w="0" w:type="dxa"/>
                    <w:right w:w="28" w:type="dxa"/>
                  </w:tcMar>
                  <w:vAlign w:val="center"/>
                </w:tcPr>
                <w:p w14:paraId="2DAB7789">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0.316</w:t>
                  </w:r>
                </w:p>
              </w:tc>
              <w:tc>
                <w:tcPr>
                  <w:tcW w:w="302" w:type="pct"/>
                  <w:tcBorders>
                    <w:tl2br w:val="nil"/>
                    <w:tr2bl w:val="nil"/>
                  </w:tcBorders>
                  <w:tcMar>
                    <w:top w:w="0" w:type="dxa"/>
                    <w:left w:w="28" w:type="dxa"/>
                    <w:bottom w:w="0" w:type="dxa"/>
                    <w:right w:w="28" w:type="dxa"/>
                  </w:tcMar>
                  <w:vAlign w:val="center"/>
                </w:tcPr>
                <w:p w14:paraId="26157FFD">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169.99</w:t>
                  </w:r>
                </w:p>
              </w:tc>
              <w:tc>
                <w:tcPr>
                  <w:tcW w:w="734" w:type="pct"/>
                  <w:vMerge w:val="continue"/>
                  <w:tcBorders>
                    <w:tl2br w:val="nil"/>
                    <w:tr2bl w:val="nil"/>
                  </w:tcBorders>
                  <w:tcMar>
                    <w:top w:w="0" w:type="dxa"/>
                    <w:left w:w="28" w:type="dxa"/>
                    <w:bottom w:w="0" w:type="dxa"/>
                    <w:right w:w="28" w:type="dxa"/>
                  </w:tcMar>
                  <w:vAlign w:val="center"/>
                </w:tcPr>
                <w:p w14:paraId="21DBCFC0">
                  <w:pPr>
                    <w:jc w:val="center"/>
                    <w:rPr>
                      <w:rFonts w:ascii="Times New Roman" w:hAnsi="Times New Roman" w:eastAsia="宋体" w:cs="Times New Roman"/>
                      <w:color w:val="000000"/>
                      <w:szCs w:val="21"/>
                    </w:rPr>
                  </w:pPr>
                </w:p>
              </w:tc>
              <w:tc>
                <w:tcPr>
                  <w:tcW w:w="206" w:type="pct"/>
                  <w:vMerge w:val="continue"/>
                  <w:tcBorders>
                    <w:tl2br w:val="nil"/>
                    <w:tr2bl w:val="nil"/>
                  </w:tcBorders>
                  <w:tcMar>
                    <w:top w:w="0" w:type="dxa"/>
                    <w:left w:w="28" w:type="dxa"/>
                    <w:bottom w:w="0" w:type="dxa"/>
                    <w:right w:w="28" w:type="dxa"/>
                  </w:tcMar>
                  <w:vAlign w:val="center"/>
                </w:tcPr>
                <w:p w14:paraId="08BDAD21">
                  <w:pPr>
                    <w:jc w:val="center"/>
                    <w:rPr>
                      <w:rFonts w:ascii="Times New Roman" w:hAnsi="Times New Roman" w:eastAsia="宋体" w:cs="Times New Roman"/>
                      <w:color w:val="000000"/>
                      <w:szCs w:val="21"/>
                    </w:rPr>
                  </w:pPr>
                </w:p>
              </w:tc>
              <w:tc>
                <w:tcPr>
                  <w:tcW w:w="264" w:type="pct"/>
                  <w:vMerge w:val="continue"/>
                  <w:tcBorders>
                    <w:tl2br w:val="nil"/>
                    <w:tr2bl w:val="nil"/>
                  </w:tcBorders>
                  <w:tcMar>
                    <w:top w:w="0" w:type="dxa"/>
                    <w:left w:w="28" w:type="dxa"/>
                    <w:bottom w:w="0" w:type="dxa"/>
                    <w:right w:w="28" w:type="dxa"/>
                  </w:tcMar>
                  <w:vAlign w:val="center"/>
                </w:tcPr>
                <w:p w14:paraId="6FA77D30">
                  <w:pPr>
                    <w:jc w:val="center"/>
                    <w:rPr>
                      <w:rFonts w:ascii="Times New Roman" w:hAnsi="Times New Roman" w:eastAsia="宋体" w:cs="Times New Roman"/>
                      <w:color w:val="000000"/>
                      <w:szCs w:val="21"/>
                    </w:rPr>
                  </w:pPr>
                </w:p>
              </w:tc>
              <w:tc>
                <w:tcPr>
                  <w:tcW w:w="278" w:type="pct"/>
                  <w:vMerge w:val="continue"/>
                  <w:tcBorders>
                    <w:tl2br w:val="nil"/>
                    <w:tr2bl w:val="nil"/>
                  </w:tcBorders>
                  <w:tcMar>
                    <w:top w:w="0" w:type="dxa"/>
                    <w:left w:w="28" w:type="dxa"/>
                    <w:bottom w:w="0" w:type="dxa"/>
                    <w:right w:w="28" w:type="dxa"/>
                  </w:tcMar>
                  <w:vAlign w:val="center"/>
                </w:tcPr>
                <w:p w14:paraId="077A8F1B">
                  <w:pPr>
                    <w:jc w:val="center"/>
                    <w:rPr>
                      <w:rFonts w:ascii="Times New Roman" w:hAnsi="Times New Roman" w:eastAsia="宋体" w:cs="Times New Roman"/>
                      <w:color w:val="000000"/>
                      <w:szCs w:val="21"/>
                    </w:rPr>
                  </w:pPr>
                </w:p>
              </w:tc>
              <w:tc>
                <w:tcPr>
                  <w:tcW w:w="196" w:type="pct"/>
                  <w:vMerge w:val="continue"/>
                  <w:tcBorders>
                    <w:tl2br w:val="nil"/>
                    <w:tr2bl w:val="nil"/>
                  </w:tcBorders>
                  <w:tcMar>
                    <w:top w:w="0" w:type="dxa"/>
                    <w:left w:w="28" w:type="dxa"/>
                    <w:bottom w:w="0" w:type="dxa"/>
                    <w:right w:w="28" w:type="dxa"/>
                  </w:tcMar>
                  <w:vAlign w:val="center"/>
                </w:tcPr>
                <w:p w14:paraId="03D0AB3F">
                  <w:pPr>
                    <w:jc w:val="center"/>
                    <w:rPr>
                      <w:rFonts w:ascii="Times New Roman" w:hAnsi="Times New Roman" w:eastAsia="宋体" w:cs="Times New Roman"/>
                      <w:color w:val="000000"/>
                      <w:szCs w:val="21"/>
                    </w:rPr>
                  </w:pPr>
                </w:p>
              </w:tc>
              <w:tc>
                <w:tcPr>
                  <w:tcW w:w="234" w:type="pct"/>
                  <w:tcBorders>
                    <w:tl2br w:val="nil"/>
                    <w:tr2bl w:val="nil"/>
                  </w:tcBorders>
                  <w:tcMar>
                    <w:top w:w="0" w:type="dxa"/>
                    <w:left w:w="28" w:type="dxa"/>
                    <w:bottom w:w="0" w:type="dxa"/>
                    <w:right w:w="28" w:type="dxa"/>
                  </w:tcMar>
                  <w:vAlign w:val="center"/>
                </w:tcPr>
                <w:p w14:paraId="77463858">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0.454</w:t>
                  </w:r>
                </w:p>
              </w:tc>
              <w:tc>
                <w:tcPr>
                  <w:tcW w:w="225" w:type="pct"/>
                  <w:tcBorders>
                    <w:tl2br w:val="nil"/>
                    <w:tr2bl w:val="nil"/>
                  </w:tcBorders>
                  <w:tcMar>
                    <w:top w:w="0" w:type="dxa"/>
                    <w:left w:w="28" w:type="dxa"/>
                    <w:bottom w:w="0" w:type="dxa"/>
                    <w:right w:w="28" w:type="dxa"/>
                  </w:tcMar>
                  <w:vAlign w:val="center"/>
                </w:tcPr>
                <w:p w14:paraId="5BEC8B77">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0.316</w:t>
                  </w:r>
                </w:p>
              </w:tc>
              <w:tc>
                <w:tcPr>
                  <w:tcW w:w="302" w:type="pct"/>
                  <w:tcBorders>
                    <w:tl2br w:val="nil"/>
                    <w:tr2bl w:val="nil"/>
                  </w:tcBorders>
                  <w:tcMar>
                    <w:top w:w="0" w:type="dxa"/>
                    <w:left w:w="28" w:type="dxa"/>
                    <w:bottom w:w="0" w:type="dxa"/>
                    <w:right w:w="28" w:type="dxa"/>
                  </w:tcMar>
                  <w:vAlign w:val="center"/>
                </w:tcPr>
                <w:p w14:paraId="1CAF4C0B">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169.99</w:t>
                  </w:r>
                </w:p>
              </w:tc>
              <w:tc>
                <w:tcPr>
                  <w:tcW w:w="201" w:type="pct"/>
                  <w:vMerge w:val="continue"/>
                  <w:tcBorders>
                    <w:tl2br w:val="nil"/>
                    <w:tr2bl w:val="nil"/>
                  </w:tcBorders>
                  <w:tcMar>
                    <w:top w:w="0" w:type="dxa"/>
                    <w:left w:w="28" w:type="dxa"/>
                    <w:bottom w:w="0" w:type="dxa"/>
                    <w:right w:w="28" w:type="dxa"/>
                  </w:tcMar>
                  <w:vAlign w:val="center"/>
                </w:tcPr>
                <w:p w14:paraId="0C05067C">
                  <w:pPr>
                    <w:jc w:val="center"/>
                    <w:rPr>
                      <w:rFonts w:ascii="Times New Roman" w:hAnsi="Times New Roman" w:eastAsia="宋体" w:cs="Times New Roman"/>
                      <w:color w:val="000000"/>
                      <w:szCs w:val="21"/>
                    </w:rPr>
                  </w:pPr>
                </w:p>
              </w:tc>
              <w:tc>
                <w:tcPr>
                  <w:tcW w:w="245" w:type="pct"/>
                  <w:tcBorders>
                    <w:tl2br w:val="nil"/>
                    <w:tr2bl w:val="nil"/>
                  </w:tcBorders>
                  <w:tcMar>
                    <w:top w:w="0" w:type="dxa"/>
                    <w:left w:w="28" w:type="dxa"/>
                    <w:bottom w:w="0" w:type="dxa"/>
                    <w:right w:w="28" w:type="dxa"/>
                  </w:tcMar>
                  <w:vAlign w:val="center"/>
                </w:tcPr>
                <w:p w14:paraId="37D67746">
                  <w:pPr>
                    <w:jc w:val="center"/>
                    <w:rPr>
                      <w:rFonts w:ascii="Times New Roman" w:hAnsi="Times New Roman" w:eastAsia="宋体" w:cs="Times New Roman"/>
                      <w:color w:val="FF0000"/>
                      <w:szCs w:val="21"/>
                    </w:rPr>
                  </w:pPr>
                  <w:r>
                    <w:rPr>
                      <w:rFonts w:ascii="Times New Roman" w:hAnsi="Times New Roman" w:eastAsia="宋体" w:cs="Times New Roman"/>
                      <w:color w:val="FF0000"/>
                      <w:szCs w:val="21"/>
                    </w:rPr>
                    <w:t>0.96</w:t>
                  </w:r>
                </w:p>
              </w:tc>
              <w:tc>
                <w:tcPr>
                  <w:tcW w:w="358" w:type="pct"/>
                  <w:tcBorders>
                    <w:tl2br w:val="nil"/>
                    <w:tr2bl w:val="nil"/>
                  </w:tcBorders>
                  <w:tcMar>
                    <w:top w:w="0" w:type="dxa"/>
                    <w:left w:w="28" w:type="dxa"/>
                    <w:bottom w:w="0" w:type="dxa"/>
                    <w:right w:w="28" w:type="dxa"/>
                  </w:tcMar>
                  <w:vAlign w:val="center"/>
                </w:tcPr>
                <w:p w14:paraId="39AA830F">
                  <w:pPr>
                    <w:jc w:val="center"/>
                    <w:rPr>
                      <w:rFonts w:ascii="Times New Roman" w:hAnsi="Times New Roman" w:eastAsia="宋体" w:cs="Times New Roman"/>
                      <w:color w:val="FF0000"/>
                      <w:szCs w:val="21"/>
                      <w:highlight w:val="yellow"/>
                    </w:rPr>
                  </w:pPr>
                  <w:r>
                    <w:rPr>
                      <w:rFonts w:hint="eastAsia" w:ascii="Times New Roman" w:hAnsi="Times New Roman" w:eastAsia="宋体" w:cs="Times New Roman"/>
                      <w:color w:val="FF0000"/>
                      <w:szCs w:val="21"/>
                    </w:rPr>
                    <w:t>240</w:t>
                  </w:r>
                </w:p>
              </w:tc>
              <w:tc>
                <w:tcPr>
                  <w:tcW w:w="134" w:type="pct"/>
                  <w:tcBorders>
                    <w:tl2br w:val="nil"/>
                    <w:tr2bl w:val="nil"/>
                  </w:tcBorders>
                  <w:tcMar>
                    <w:top w:w="0" w:type="dxa"/>
                    <w:left w:w="28" w:type="dxa"/>
                    <w:bottom w:w="0" w:type="dxa"/>
                    <w:right w:w="28" w:type="dxa"/>
                  </w:tcMar>
                  <w:vAlign w:val="center"/>
                </w:tcPr>
                <w:p w14:paraId="5D72ACF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536E4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15" w:type="pct"/>
                  <w:vMerge w:val="continue"/>
                  <w:tcBorders>
                    <w:tl2br w:val="nil"/>
                    <w:tr2bl w:val="nil"/>
                  </w:tcBorders>
                  <w:tcMar>
                    <w:top w:w="0" w:type="dxa"/>
                    <w:left w:w="28" w:type="dxa"/>
                    <w:bottom w:w="0" w:type="dxa"/>
                    <w:right w:w="28" w:type="dxa"/>
                  </w:tcMar>
                  <w:vAlign w:val="center"/>
                </w:tcPr>
                <w:p w14:paraId="662365C9">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7704B41F">
                  <w:pPr>
                    <w:jc w:val="center"/>
                    <w:rPr>
                      <w:rFonts w:ascii="Times New Roman" w:hAnsi="Times New Roman" w:eastAsia="宋体" w:cs="Times New Roman"/>
                      <w:color w:val="000000"/>
                      <w:szCs w:val="21"/>
                    </w:rPr>
                  </w:pPr>
                </w:p>
              </w:tc>
              <w:tc>
                <w:tcPr>
                  <w:tcW w:w="101" w:type="pct"/>
                  <w:vMerge w:val="restart"/>
                  <w:tcBorders>
                    <w:tl2br w:val="nil"/>
                    <w:tr2bl w:val="nil"/>
                  </w:tcBorders>
                  <w:tcMar>
                    <w:top w:w="0" w:type="dxa"/>
                    <w:left w:w="28" w:type="dxa"/>
                    <w:bottom w:w="0" w:type="dxa"/>
                    <w:right w:w="28" w:type="dxa"/>
                  </w:tcMar>
                  <w:vAlign w:val="center"/>
                </w:tcPr>
                <w:p w14:paraId="0A7EFCE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烘干筛分热骨料仓粉尘</w:t>
                  </w:r>
                </w:p>
              </w:tc>
              <w:tc>
                <w:tcPr>
                  <w:tcW w:w="268" w:type="pct"/>
                  <w:tcBorders>
                    <w:tl2br w:val="nil"/>
                    <w:tr2bl w:val="nil"/>
                  </w:tcBorders>
                  <w:tcMar>
                    <w:top w:w="0" w:type="dxa"/>
                    <w:left w:w="28" w:type="dxa"/>
                    <w:bottom w:w="0" w:type="dxa"/>
                    <w:right w:w="28" w:type="dxa"/>
                  </w:tcMar>
                  <w:vAlign w:val="center"/>
                </w:tcPr>
                <w:p w14:paraId="44B801B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颗粒物</w:t>
                  </w:r>
                </w:p>
              </w:tc>
              <w:tc>
                <w:tcPr>
                  <w:tcW w:w="180" w:type="pct"/>
                  <w:tcBorders>
                    <w:tl2br w:val="nil"/>
                    <w:tr2bl w:val="nil"/>
                  </w:tcBorders>
                  <w:tcMar>
                    <w:top w:w="0" w:type="dxa"/>
                    <w:left w:w="28" w:type="dxa"/>
                    <w:bottom w:w="0" w:type="dxa"/>
                    <w:right w:w="28" w:type="dxa"/>
                  </w:tcMar>
                  <w:vAlign w:val="center"/>
                </w:tcPr>
                <w:p w14:paraId="6226388C">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有组织</w:t>
                  </w:r>
                </w:p>
              </w:tc>
              <w:tc>
                <w:tcPr>
                  <w:tcW w:w="249" w:type="pct"/>
                  <w:tcBorders>
                    <w:tl2br w:val="nil"/>
                    <w:tr2bl w:val="nil"/>
                  </w:tcBorders>
                  <w:tcMar>
                    <w:top w:w="0" w:type="dxa"/>
                    <w:left w:w="28" w:type="dxa"/>
                    <w:bottom w:w="0" w:type="dxa"/>
                    <w:right w:w="28" w:type="dxa"/>
                  </w:tcMar>
                  <w:vAlign w:val="center"/>
                </w:tcPr>
                <w:p w14:paraId="6F542ABF">
                  <w:pPr>
                    <w:jc w:val="center"/>
                    <w:rPr>
                      <w:rFonts w:ascii="Times New Roman" w:hAnsi="Times New Roman" w:eastAsia="宋体" w:cs="Times New Roman"/>
                      <w:szCs w:val="21"/>
                    </w:rPr>
                  </w:pPr>
                  <w:r>
                    <w:rPr>
                      <w:rFonts w:hint="eastAsia" w:ascii="Times New Roman" w:hAnsi="Times New Roman" w:cs="Times New Roman"/>
                      <w:szCs w:val="21"/>
                    </w:rPr>
                    <w:t>40.65</w:t>
                  </w:r>
                </w:p>
              </w:tc>
              <w:tc>
                <w:tcPr>
                  <w:tcW w:w="292" w:type="pct"/>
                  <w:tcBorders>
                    <w:tl2br w:val="nil"/>
                    <w:tr2bl w:val="nil"/>
                  </w:tcBorders>
                  <w:tcMar>
                    <w:top w:w="0" w:type="dxa"/>
                    <w:left w:w="28" w:type="dxa"/>
                    <w:bottom w:w="0" w:type="dxa"/>
                    <w:right w:w="28" w:type="dxa"/>
                  </w:tcMar>
                  <w:vAlign w:val="center"/>
                </w:tcPr>
                <w:p w14:paraId="0AF8E411">
                  <w:pPr>
                    <w:jc w:val="center"/>
                    <w:rPr>
                      <w:rFonts w:ascii="Times New Roman" w:hAnsi="Times New Roman" w:eastAsia="宋体" w:cs="Times New Roman"/>
                      <w:szCs w:val="21"/>
                    </w:rPr>
                  </w:pPr>
                  <w:r>
                    <w:rPr>
                      <w:rFonts w:hint="eastAsia" w:ascii="Times New Roman" w:hAnsi="Times New Roman" w:cs="Times New Roman"/>
                      <w:szCs w:val="21"/>
                    </w:rPr>
                    <w:t>28.23</w:t>
                  </w:r>
                </w:p>
              </w:tc>
              <w:tc>
                <w:tcPr>
                  <w:tcW w:w="302" w:type="pct"/>
                  <w:tcBorders>
                    <w:tl2br w:val="nil"/>
                    <w:tr2bl w:val="nil"/>
                  </w:tcBorders>
                  <w:tcMar>
                    <w:top w:w="0" w:type="dxa"/>
                    <w:left w:w="28" w:type="dxa"/>
                    <w:bottom w:w="0" w:type="dxa"/>
                    <w:right w:w="28" w:type="dxa"/>
                  </w:tcMar>
                  <w:vAlign w:val="center"/>
                </w:tcPr>
                <w:p w14:paraId="09520B43">
                  <w:pPr>
                    <w:jc w:val="center"/>
                    <w:rPr>
                      <w:rFonts w:ascii="Times New Roman" w:hAnsi="Times New Roman" w:eastAsia="宋体" w:cs="Times New Roman"/>
                      <w:szCs w:val="21"/>
                    </w:rPr>
                  </w:pPr>
                  <w:r>
                    <w:rPr>
                      <w:rFonts w:hint="eastAsia" w:ascii="Times New Roman" w:hAnsi="Times New Roman" w:cs="Times New Roman"/>
                      <w:szCs w:val="21"/>
                    </w:rPr>
                    <w:t>627</w:t>
                  </w:r>
                </w:p>
              </w:tc>
              <w:tc>
                <w:tcPr>
                  <w:tcW w:w="734" w:type="pct"/>
                  <w:vMerge w:val="continue"/>
                  <w:tcBorders>
                    <w:tl2br w:val="nil"/>
                    <w:tr2bl w:val="nil"/>
                  </w:tcBorders>
                  <w:tcMar>
                    <w:top w:w="0" w:type="dxa"/>
                    <w:left w:w="28" w:type="dxa"/>
                    <w:bottom w:w="0" w:type="dxa"/>
                    <w:right w:w="28" w:type="dxa"/>
                  </w:tcMar>
                  <w:vAlign w:val="center"/>
                </w:tcPr>
                <w:p w14:paraId="2B86CDD3">
                  <w:pPr>
                    <w:jc w:val="center"/>
                    <w:rPr>
                      <w:rFonts w:ascii="Times New Roman" w:hAnsi="Times New Roman" w:eastAsia="宋体" w:cs="Times New Roman"/>
                      <w:color w:val="000000"/>
                      <w:szCs w:val="21"/>
                    </w:rPr>
                  </w:pPr>
                </w:p>
              </w:tc>
              <w:tc>
                <w:tcPr>
                  <w:tcW w:w="206" w:type="pct"/>
                  <w:vMerge w:val="continue"/>
                  <w:tcBorders>
                    <w:tl2br w:val="nil"/>
                    <w:tr2bl w:val="nil"/>
                  </w:tcBorders>
                  <w:tcMar>
                    <w:top w:w="0" w:type="dxa"/>
                    <w:left w:w="28" w:type="dxa"/>
                    <w:bottom w:w="0" w:type="dxa"/>
                    <w:right w:w="28" w:type="dxa"/>
                  </w:tcMar>
                  <w:vAlign w:val="center"/>
                </w:tcPr>
                <w:p w14:paraId="6D92F23D">
                  <w:pPr>
                    <w:jc w:val="center"/>
                    <w:rPr>
                      <w:rFonts w:ascii="Times New Roman" w:hAnsi="Times New Roman" w:eastAsia="宋体" w:cs="Times New Roman"/>
                      <w:color w:val="000000"/>
                      <w:szCs w:val="21"/>
                    </w:rPr>
                  </w:pPr>
                </w:p>
              </w:tc>
              <w:tc>
                <w:tcPr>
                  <w:tcW w:w="264" w:type="pct"/>
                  <w:tcBorders>
                    <w:tl2br w:val="nil"/>
                    <w:tr2bl w:val="nil"/>
                  </w:tcBorders>
                  <w:tcMar>
                    <w:top w:w="0" w:type="dxa"/>
                    <w:left w:w="28" w:type="dxa"/>
                    <w:bottom w:w="0" w:type="dxa"/>
                    <w:right w:w="28" w:type="dxa"/>
                  </w:tcMar>
                  <w:vAlign w:val="center"/>
                </w:tcPr>
                <w:p w14:paraId="3963FF2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99.9%</w:t>
                  </w:r>
                </w:p>
              </w:tc>
              <w:tc>
                <w:tcPr>
                  <w:tcW w:w="278" w:type="pct"/>
                  <w:vMerge w:val="continue"/>
                  <w:tcBorders>
                    <w:tl2br w:val="nil"/>
                    <w:tr2bl w:val="nil"/>
                  </w:tcBorders>
                  <w:tcMar>
                    <w:top w:w="0" w:type="dxa"/>
                    <w:left w:w="28" w:type="dxa"/>
                    <w:bottom w:w="0" w:type="dxa"/>
                    <w:right w:w="28" w:type="dxa"/>
                  </w:tcMar>
                  <w:vAlign w:val="center"/>
                </w:tcPr>
                <w:p w14:paraId="4C4051B6">
                  <w:pPr>
                    <w:jc w:val="center"/>
                    <w:rPr>
                      <w:rFonts w:ascii="Times New Roman" w:hAnsi="Times New Roman" w:eastAsia="宋体" w:cs="Times New Roman"/>
                      <w:color w:val="000000"/>
                      <w:szCs w:val="21"/>
                    </w:rPr>
                  </w:pPr>
                </w:p>
              </w:tc>
              <w:tc>
                <w:tcPr>
                  <w:tcW w:w="196" w:type="pct"/>
                  <w:tcBorders>
                    <w:tl2br w:val="nil"/>
                    <w:tr2bl w:val="nil"/>
                  </w:tcBorders>
                  <w:tcMar>
                    <w:top w:w="0" w:type="dxa"/>
                    <w:left w:w="28" w:type="dxa"/>
                    <w:bottom w:w="0" w:type="dxa"/>
                    <w:right w:w="28" w:type="dxa"/>
                  </w:tcMar>
                  <w:vAlign w:val="center"/>
                </w:tcPr>
                <w:p w14:paraId="5A8B851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是</w:t>
                  </w:r>
                </w:p>
              </w:tc>
              <w:tc>
                <w:tcPr>
                  <w:tcW w:w="234" w:type="pct"/>
                  <w:tcBorders>
                    <w:tl2br w:val="nil"/>
                    <w:tr2bl w:val="nil"/>
                  </w:tcBorders>
                  <w:tcMar>
                    <w:top w:w="0" w:type="dxa"/>
                    <w:left w:w="28" w:type="dxa"/>
                    <w:bottom w:w="0" w:type="dxa"/>
                    <w:right w:w="28" w:type="dxa"/>
                  </w:tcMar>
                  <w:vAlign w:val="center"/>
                </w:tcPr>
                <w:p w14:paraId="357D9242">
                  <w:pPr>
                    <w:jc w:val="center"/>
                    <w:rPr>
                      <w:rFonts w:ascii="Times New Roman" w:hAnsi="Times New Roman" w:eastAsia="宋体" w:cs="Times New Roman"/>
                      <w:szCs w:val="21"/>
                    </w:rPr>
                  </w:pPr>
                  <w:r>
                    <w:rPr>
                      <w:rFonts w:hint="eastAsia" w:ascii="Times New Roman" w:hAnsi="Times New Roman" w:cs="Times New Roman"/>
                      <w:szCs w:val="21"/>
                    </w:rPr>
                    <w:t>0.407</w:t>
                  </w:r>
                </w:p>
              </w:tc>
              <w:tc>
                <w:tcPr>
                  <w:tcW w:w="225" w:type="pct"/>
                  <w:tcBorders>
                    <w:tl2br w:val="nil"/>
                    <w:tr2bl w:val="nil"/>
                  </w:tcBorders>
                  <w:tcMar>
                    <w:top w:w="0" w:type="dxa"/>
                    <w:left w:w="28" w:type="dxa"/>
                    <w:bottom w:w="0" w:type="dxa"/>
                    <w:right w:w="28" w:type="dxa"/>
                  </w:tcMar>
                  <w:vAlign w:val="center"/>
                </w:tcPr>
                <w:p w14:paraId="2D60ABB8">
                  <w:pPr>
                    <w:jc w:val="center"/>
                    <w:rPr>
                      <w:rFonts w:ascii="Times New Roman" w:hAnsi="Times New Roman" w:eastAsia="宋体" w:cs="Times New Roman"/>
                      <w:szCs w:val="21"/>
                    </w:rPr>
                  </w:pPr>
                  <w:r>
                    <w:rPr>
                      <w:rFonts w:hint="eastAsia" w:ascii="Times New Roman" w:hAnsi="Times New Roman" w:cs="Times New Roman"/>
                      <w:szCs w:val="21"/>
                    </w:rPr>
                    <w:t>0.283</w:t>
                  </w:r>
                </w:p>
              </w:tc>
              <w:tc>
                <w:tcPr>
                  <w:tcW w:w="302" w:type="pct"/>
                  <w:tcBorders>
                    <w:tl2br w:val="nil"/>
                    <w:tr2bl w:val="nil"/>
                  </w:tcBorders>
                  <w:tcMar>
                    <w:top w:w="0" w:type="dxa"/>
                    <w:left w:w="28" w:type="dxa"/>
                    <w:bottom w:w="0" w:type="dxa"/>
                    <w:right w:w="28" w:type="dxa"/>
                  </w:tcMar>
                  <w:vAlign w:val="center"/>
                </w:tcPr>
                <w:p w14:paraId="70A87F18">
                  <w:pPr>
                    <w:jc w:val="center"/>
                    <w:rPr>
                      <w:rFonts w:ascii="Times New Roman" w:hAnsi="Times New Roman" w:eastAsia="宋体" w:cs="Times New Roman"/>
                      <w:szCs w:val="21"/>
                    </w:rPr>
                  </w:pPr>
                  <w:r>
                    <w:rPr>
                      <w:rFonts w:hint="eastAsia" w:ascii="Times New Roman" w:hAnsi="Times New Roman" w:cs="Times New Roman"/>
                      <w:szCs w:val="21"/>
                    </w:rPr>
                    <w:t>6.29</w:t>
                  </w:r>
                </w:p>
              </w:tc>
              <w:tc>
                <w:tcPr>
                  <w:tcW w:w="201" w:type="pct"/>
                  <w:vMerge w:val="continue"/>
                  <w:tcBorders>
                    <w:tl2br w:val="nil"/>
                    <w:tr2bl w:val="nil"/>
                  </w:tcBorders>
                  <w:tcMar>
                    <w:top w:w="0" w:type="dxa"/>
                    <w:left w:w="28" w:type="dxa"/>
                    <w:bottom w:w="0" w:type="dxa"/>
                    <w:right w:w="28" w:type="dxa"/>
                  </w:tcMar>
                  <w:vAlign w:val="center"/>
                </w:tcPr>
                <w:p w14:paraId="0B209FFA">
                  <w:pPr>
                    <w:jc w:val="center"/>
                    <w:rPr>
                      <w:rFonts w:ascii="Times New Roman" w:hAnsi="Times New Roman" w:eastAsia="宋体" w:cs="Times New Roman"/>
                      <w:color w:val="000000"/>
                      <w:szCs w:val="21"/>
                    </w:rPr>
                  </w:pPr>
                </w:p>
              </w:tc>
              <w:tc>
                <w:tcPr>
                  <w:tcW w:w="245" w:type="pct"/>
                  <w:tcBorders>
                    <w:tl2br w:val="nil"/>
                    <w:tr2bl w:val="nil"/>
                  </w:tcBorders>
                  <w:tcMar>
                    <w:top w:w="0" w:type="dxa"/>
                    <w:left w:w="28" w:type="dxa"/>
                    <w:bottom w:w="0" w:type="dxa"/>
                    <w:right w:w="28" w:type="dxa"/>
                  </w:tcMar>
                  <w:vAlign w:val="center"/>
                </w:tcPr>
                <w:p w14:paraId="7DA5EECB">
                  <w:pPr>
                    <w:jc w:val="center"/>
                    <w:rPr>
                      <w:rFonts w:ascii="Times New Roman" w:hAnsi="Times New Roman" w:eastAsia="宋体" w:cs="Times New Roman"/>
                      <w:color w:val="000000"/>
                      <w:szCs w:val="21"/>
                    </w:rPr>
                  </w:pPr>
                  <w:r>
                    <w:rPr>
                      <w:rFonts w:ascii="Times New Roman" w:hAnsi="Times New Roman" w:eastAsia="宋体" w:cs="Times New Roman"/>
                      <w:color w:val="FF0000"/>
                      <w:szCs w:val="21"/>
                    </w:rPr>
                    <w:t>4.66</w:t>
                  </w:r>
                </w:p>
              </w:tc>
              <w:tc>
                <w:tcPr>
                  <w:tcW w:w="358" w:type="pct"/>
                  <w:tcBorders>
                    <w:tl2br w:val="nil"/>
                    <w:tr2bl w:val="nil"/>
                  </w:tcBorders>
                  <w:tcMar>
                    <w:top w:w="0" w:type="dxa"/>
                    <w:left w:w="28" w:type="dxa"/>
                    <w:bottom w:w="0" w:type="dxa"/>
                    <w:right w:w="28" w:type="dxa"/>
                  </w:tcMar>
                  <w:vAlign w:val="center"/>
                </w:tcPr>
                <w:p w14:paraId="61C6CBB1">
                  <w:pPr>
                    <w:jc w:val="center"/>
                    <w:rPr>
                      <w:rFonts w:ascii="Times New Roman" w:hAnsi="Times New Roman" w:eastAsia="宋体" w:cs="Times New Roman"/>
                      <w:color w:val="000000"/>
                      <w:szCs w:val="21"/>
                    </w:rPr>
                  </w:pPr>
                  <w:r>
                    <w:rPr>
                      <w:rFonts w:hint="eastAsia" w:ascii="Times New Roman" w:hAnsi="Times New Roman" w:eastAsia="宋体" w:cs="Times New Roman"/>
                      <w:color w:val="FF0000"/>
                      <w:szCs w:val="21"/>
                    </w:rPr>
                    <w:t>120</w:t>
                  </w:r>
                </w:p>
              </w:tc>
              <w:tc>
                <w:tcPr>
                  <w:tcW w:w="134" w:type="pct"/>
                  <w:tcBorders>
                    <w:tl2br w:val="nil"/>
                    <w:tr2bl w:val="nil"/>
                  </w:tcBorders>
                  <w:tcMar>
                    <w:top w:w="0" w:type="dxa"/>
                    <w:left w:w="28" w:type="dxa"/>
                    <w:bottom w:w="0" w:type="dxa"/>
                    <w:right w:w="28" w:type="dxa"/>
                  </w:tcMar>
                  <w:vAlign w:val="center"/>
                </w:tcPr>
                <w:p w14:paraId="22813F8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7E26A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15" w:type="pct"/>
                  <w:vMerge w:val="continue"/>
                  <w:tcBorders>
                    <w:tl2br w:val="nil"/>
                    <w:tr2bl w:val="nil"/>
                  </w:tcBorders>
                  <w:tcMar>
                    <w:top w:w="0" w:type="dxa"/>
                    <w:left w:w="28" w:type="dxa"/>
                    <w:bottom w:w="0" w:type="dxa"/>
                    <w:right w:w="28" w:type="dxa"/>
                  </w:tcMar>
                  <w:vAlign w:val="center"/>
                </w:tcPr>
                <w:p w14:paraId="47E244E8">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4E7A4EE6">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4531A67F">
                  <w:pPr>
                    <w:jc w:val="center"/>
                    <w:rPr>
                      <w:rFonts w:ascii="Times New Roman" w:hAnsi="Times New Roman" w:eastAsia="宋体" w:cs="Times New Roman"/>
                      <w:color w:val="000000"/>
                      <w:szCs w:val="21"/>
                    </w:rPr>
                  </w:pPr>
                </w:p>
              </w:tc>
              <w:tc>
                <w:tcPr>
                  <w:tcW w:w="268" w:type="pct"/>
                  <w:tcBorders>
                    <w:tl2br w:val="nil"/>
                    <w:tr2bl w:val="nil"/>
                  </w:tcBorders>
                  <w:tcMar>
                    <w:top w:w="0" w:type="dxa"/>
                    <w:left w:w="28" w:type="dxa"/>
                    <w:bottom w:w="0" w:type="dxa"/>
                    <w:right w:w="28" w:type="dxa"/>
                  </w:tcMar>
                  <w:vAlign w:val="center"/>
                </w:tcPr>
                <w:p w14:paraId="1CCD20EB">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颗粒物</w:t>
                  </w:r>
                </w:p>
              </w:tc>
              <w:tc>
                <w:tcPr>
                  <w:tcW w:w="180" w:type="pct"/>
                  <w:tcBorders>
                    <w:tl2br w:val="nil"/>
                    <w:tr2bl w:val="nil"/>
                  </w:tcBorders>
                  <w:tcMar>
                    <w:top w:w="0" w:type="dxa"/>
                    <w:left w:w="28" w:type="dxa"/>
                    <w:bottom w:w="0" w:type="dxa"/>
                    <w:right w:w="28" w:type="dxa"/>
                  </w:tcMar>
                  <w:vAlign w:val="center"/>
                </w:tcPr>
                <w:p w14:paraId="0474957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无组织</w:t>
                  </w:r>
                </w:p>
              </w:tc>
              <w:tc>
                <w:tcPr>
                  <w:tcW w:w="249" w:type="pct"/>
                  <w:tcBorders>
                    <w:tl2br w:val="nil"/>
                    <w:tr2bl w:val="nil"/>
                  </w:tcBorders>
                  <w:tcMar>
                    <w:top w:w="0" w:type="dxa"/>
                    <w:left w:w="28" w:type="dxa"/>
                    <w:bottom w:w="0" w:type="dxa"/>
                    <w:right w:w="28" w:type="dxa"/>
                  </w:tcMar>
                  <w:vAlign w:val="center"/>
                </w:tcPr>
                <w:p w14:paraId="0797A625">
                  <w:pPr>
                    <w:jc w:val="center"/>
                    <w:rPr>
                      <w:rFonts w:ascii="Times New Roman" w:hAnsi="Times New Roman" w:eastAsia="宋体" w:cs="Times New Roman"/>
                      <w:szCs w:val="21"/>
                    </w:rPr>
                  </w:pPr>
                  <w:r>
                    <w:rPr>
                      <w:rFonts w:hint="eastAsia" w:ascii="Times New Roman" w:hAnsi="Times New Roman" w:cs="Times New Roman"/>
                      <w:szCs w:val="21"/>
                    </w:rPr>
                    <w:t>0.04</w:t>
                  </w:r>
                </w:p>
              </w:tc>
              <w:tc>
                <w:tcPr>
                  <w:tcW w:w="292" w:type="pct"/>
                  <w:tcBorders>
                    <w:tl2br w:val="nil"/>
                    <w:tr2bl w:val="nil"/>
                  </w:tcBorders>
                  <w:tcMar>
                    <w:top w:w="0" w:type="dxa"/>
                    <w:left w:w="28" w:type="dxa"/>
                    <w:bottom w:w="0" w:type="dxa"/>
                    <w:right w:w="28" w:type="dxa"/>
                  </w:tcMar>
                  <w:vAlign w:val="center"/>
                </w:tcPr>
                <w:p w14:paraId="5FCD82BA">
                  <w:pPr>
                    <w:jc w:val="center"/>
                    <w:rPr>
                      <w:rFonts w:ascii="Times New Roman" w:hAnsi="Times New Roman" w:eastAsia="宋体" w:cs="Times New Roman"/>
                      <w:szCs w:val="21"/>
                    </w:rPr>
                  </w:pPr>
                  <w:r>
                    <w:rPr>
                      <w:rFonts w:hint="eastAsia" w:ascii="Times New Roman" w:hAnsi="Times New Roman" w:cs="Times New Roman"/>
                      <w:szCs w:val="21"/>
                    </w:rPr>
                    <w:t>0.028</w:t>
                  </w:r>
                </w:p>
              </w:tc>
              <w:tc>
                <w:tcPr>
                  <w:tcW w:w="302" w:type="pct"/>
                  <w:tcBorders>
                    <w:tl2br w:val="nil"/>
                    <w:tr2bl w:val="nil"/>
                  </w:tcBorders>
                  <w:tcMar>
                    <w:top w:w="0" w:type="dxa"/>
                    <w:left w:w="28" w:type="dxa"/>
                    <w:bottom w:w="0" w:type="dxa"/>
                    <w:right w:w="28" w:type="dxa"/>
                  </w:tcMar>
                  <w:vAlign w:val="center"/>
                </w:tcPr>
                <w:p w14:paraId="6A1CF6A1">
                  <w:pPr>
                    <w:jc w:val="center"/>
                    <w:rPr>
                      <w:rFonts w:ascii="Times New Roman" w:hAnsi="Times New Roman" w:eastAsia="宋体" w:cs="Times New Roman"/>
                      <w:szCs w:val="21"/>
                    </w:rPr>
                  </w:pPr>
                  <w:r>
                    <w:rPr>
                      <w:rFonts w:hint="eastAsia" w:ascii="Times New Roman" w:hAnsi="Times New Roman" w:cs="Times New Roman"/>
                      <w:szCs w:val="21"/>
                    </w:rPr>
                    <w:t>/</w:t>
                  </w:r>
                </w:p>
              </w:tc>
              <w:tc>
                <w:tcPr>
                  <w:tcW w:w="734" w:type="pct"/>
                  <w:tcBorders>
                    <w:tl2br w:val="nil"/>
                    <w:tr2bl w:val="nil"/>
                  </w:tcBorders>
                  <w:tcMar>
                    <w:top w:w="0" w:type="dxa"/>
                    <w:left w:w="28" w:type="dxa"/>
                    <w:bottom w:w="0" w:type="dxa"/>
                    <w:right w:w="28" w:type="dxa"/>
                  </w:tcMar>
                  <w:vAlign w:val="center"/>
                </w:tcPr>
                <w:p w14:paraId="742E6F41">
                  <w:pPr>
                    <w:jc w:val="center"/>
                    <w:rPr>
                      <w:rFonts w:ascii="Times New Roman" w:hAnsi="Times New Roman" w:eastAsia="宋体" w:cs="Times New Roman"/>
                      <w:color w:val="000000"/>
                      <w:szCs w:val="21"/>
                    </w:rPr>
                  </w:pPr>
                  <w:r>
                    <w:rPr>
                      <w:rFonts w:hint="eastAsia" w:ascii="Times New Roman" w:hAnsi="Times New Roman" w:cs="Times New Roman"/>
                      <w:szCs w:val="21"/>
                    </w:rPr>
                    <w:t>未收集呈无组织排放的粉尘</w:t>
                  </w:r>
                </w:p>
              </w:tc>
              <w:tc>
                <w:tcPr>
                  <w:tcW w:w="206" w:type="pct"/>
                  <w:tcBorders>
                    <w:tl2br w:val="nil"/>
                    <w:tr2bl w:val="nil"/>
                  </w:tcBorders>
                  <w:tcMar>
                    <w:top w:w="0" w:type="dxa"/>
                    <w:left w:w="28" w:type="dxa"/>
                    <w:bottom w:w="0" w:type="dxa"/>
                    <w:right w:w="28" w:type="dxa"/>
                  </w:tcMar>
                  <w:vAlign w:val="center"/>
                </w:tcPr>
                <w:p w14:paraId="346EF89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64" w:type="pct"/>
                  <w:tcBorders>
                    <w:tl2br w:val="nil"/>
                    <w:tr2bl w:val="nil"/>
                  </w:tcBorders>
                  <w:tcMar>
                    <w:top w:w="0" w:type="dxa"/>
                    <w:left w:w="28" w:type="dxa"/>
                    <w:bottom w:w="0" w:type="dxa"/>
                    <w:right w:w="28" w:type="dxa"/>
                  </w:tcMar>
                  <w:vAlign w:val="center"/>
                </w:tcPr>
                <w:p w14:paraId="20447D5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78" w:type="pct"/>
                  <w:tcBorders>
                    <w:tl2br w:val="nil"/>
                    <w:tr2bl w:val="nil"/>
                  </w:tcBorders>
                  <w:tcMar>
                    <w:top w:w="0" w:type="dxa"/>
                    <w:left w:w="28" w:type="dxa"/>
                    <w:bottom w:w="0" w:type="dxa"/>
                    <w:right w:w="28" w:type="dxa"/>
                  </w:tcMar>
                  <w:vAlign w:val="center"/>
                </w:tcPr>
                <w:p w14:paraId="7E8A734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96" w:type="pct"/>
                  <w:tcBorders>
                    <w:tl2br w:val="nil"/>
                    <w:tr2bl w:val="nil"/>
                  </w:tcBorders>
                  <w:tcMar>
                    <w:top w:w="0" w:type="dxa"/>
                    <w:left w:w="28" w:type="dxa"/>
                    <w:bottom w:w="0" w:type="dxa"/>
                    <w:right w:w="28" w:type="dxa"/>
                  </w:tcMar>
                  <w:vAlign w:val="center"/>
                </w:tcPr>
                <w:p w14:paraId="2075A63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34" w:type="pct"/>
                  <w:tcBorders>
                    <w:tl2br w:val="nil"/>
                    <w:tr2bl w:val="nil"/>
                  </w:tcBorders>
                  <w:tcMar>
                    <w:top w:w="0" w:type="dxa"/>
                    <w:left w:w="28" w:type="dxa"/>
                    <w:bottom w:w="0" w:type="dxa"/>
                    <w:right w:w="28" w:type="dxa"/>
                  </w:tcMar>
                  <w:vAlign w:val="center"/>
                </w:tcPr>
                <w:p w14:paraId="5C756437">
                  <w:pPr>
                    <w:jc w:val="center"/>
                    <w:rPr>
                      <w:rFonts w:ascii="Times New Roman" w:hAnsi="Times New Roman" w:eastAsia="宋体" w:cs="Times New Roman"/>
                      <w:szCs w:val="21"/>
                    </w:rPr>
                  </w:pPr>
                  <w:r>
                    <w:rPr>
                      <w:rFonts w:hint="eastAsia" w:ascii="Times New Roman" w:hAnsi="Times New Roman" w:cs="Times New Roman"/>
                      <w:szCs w:val="21"/>
                    </w:rPr>
                    <w:t>0.04</w:t>
                  </w:r>
                </w:p>
              </w:tc>
              <w:tc>
                <w:tcPr>
                  <w:tcW w:w="225" w:type="pct"/>
                  <w:tcBorders>
                    <w:tl2br w:val="nil"/>
                    <w:tr2bl w:val="nil"/>
                  </w:tcBorders>
                  <w:tcMar>
                    <w:top w:w="0" w:type="dxa"/>
                    <w:left w:w="28" w:type="dxa"/>
                    <w:bottom w:w="0" w:type="dxa"/>
                    <w:right w:w="28" w:type="dxa"/>
                  </w:tcMar>
                  <w:vAlign w:val="center"/>
                </w:tcPr>
                <w:p w14:paraId="1E927796">
                  <w:pPr>
                    <w:jc w:val="center"/>
                    <w:rPr>
                      <w:rFonts w:ascii="Times New Roman" w:hAnsi="Times New Roman" w:eastAsia="宋体" w:cs="Times New Roman"/>
                      <w:szCs w:val="21"/>
                    </w:rPr>
                  </w:pPr>
                  <w:r>
                    <w:rPr>
                      <w:rFonts w:hint="eastAsia" w:ascii="Times New Roman" w:hAnsi="Times New Roman" w:cs="Times New Roman"/>
                      <w:szCs w:val="21"/>
                    </w:rPr>
                    <w:t>0.028</w:t>
                  </w:r>
                </w:p>
              </w:tc>
              <w:tc>
                <w:tcPr>
                  <w:tcW w:w="302" w:type="pct"/>
                  <w:tcBorders>
                    <w:tl2br w:val="nil"/>
                    <w:tr2bl w:val="nil"/>
                  </w:tcBorders>
                  <w:tcMar>
                    <w:top w:w="0" w:type="dxa"/>
                    <w:left w:w="28" w:type="dxa"/>
                    <w:bottom w:w="0" w:type="dxa"/>
                    <w:right w:w="28" w:type="dxa"/>
                  </w:tcMar>
                  <w:vAlign w:val="center"/>
                </w:tcPr>
                <w:p w14:paraId="740274A7">
                  <w:pPr>
                    <w:jc w:val="center"/>
                    <w:rPr>
                      <w:rFonts w:ascii="Times New Roman" w:hAnsi="Times New Roman" w:eastAsia="宋体" w:cs="Times New Roman"/>
                      <w:szCs w:val="21"/>
                    </w:rPr>
                  </w:pPr>
                  <w:r>
                    <w:rPr>
                      <w:rFonts w:hint="eastAsia" w:ascii="Times New Roman" w:hAnsi="Times New Roman" w:cs="Times New Roman"/>
                      <w:szCs w:val="21"/>
                    </w:rPr>
                    <w:t>/</w:t>
                  </w:r>
                </w:p>
              </w:tc>
              <w:tc>
                <w:tcPr>
                  <w:tcW w:w="201" w:type="pct"/>
                  <w:vMerge w:val="continue"/>
                  <w:tcBorders>
                    <w:tl2br w:val="nil"/>
                    <w:tr2bl w:val="nil"/>
                  </w:tcBorders>
                  <w:tcMar>
                    <w:top w:w="0" w:type="dxa"/>
                    <w:left w:w="28" w:type="dxa"/>
                    <w:bottom w:w="0" w:type="dxa"/>
                    <w:right w:w="28" w:type="dxa"/>
                  </w:tcMar>
                  <w:vAlign w:val="center"/>
                </w:tcPr>
                <w:p w14:paraId="1D422F98">
                  <w:pPr>
                    <w:jc w:val="center"/>
                    <w:rPr>
                      <w:rFonts w:ascii="Times New Roman" w:hAnsi="Times New Roman" w:eastAsia="宋体" w:cs="Times New Roman"/>
                      <w:color w:val="000000"/>
                      <w:szCs w:val="21"/>
                    </w:rPr>
                  </w:pPr>
                </w:p>
              </w:tc>
              <w:tc>
                <w:tcPr>
                  <w:tcW w:w="245" w:type="pct"/>
                  <w:tcBorders>
                    <w:tl2br w:val="nil"/>
                    <w:tr2bl w:val="nil"/>
                  </w:tcBorders>
                  <w:tcMar>
                    <w:top w:w="0" w:type="dxa"/>
                    <w:left w:w="28" w:type="dxa"/>
                    <w:bottom w:w="0" w:type="dxa"/>
                    <w:right w:w="28" w:type="dxa"/>
                  </w:tcMar>
                  <w:vAlign w:val="center"/>
                </w:tcPr>
                <w:p w14:paraId="0F2896B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2329A7D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1.0</w:t>
                  </w:r>
                </w:p>
              </w:tc>
              <w:tc>
                <w:tcPr>
                  <w:tcW w:w="134" w:type="pct"/>
                  <w:tcBorders>
                    <w:tl2br w:val="nil"/>
                    <w:tr2bl w:val="nil"/>
                  </w:tcBorders>
                  <w:tcMar>
                    <w:top w:w="0" w:type="dxa"/>
                    <w:left w:w="28" w:type="dxa"/>
                    <w:bottom w:w="0" w:type="dxa"/>
                    <w:right w:w="28" w:type="dxa"/>
                  </w:tcMar>
                  <w:vAlign w:val="center"/>
                </w:tcPr>
                <w:p w14:paraId="1017DA8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5F632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15" w:type="pct"/>
                  <w:vMerge w:val="restart"/>
                  <w:tcBorders>
                    <w:tl2br w:val="nil"/>
                    <w:tr2bl w:val="nil"/>
                  </w:tcBorders>
                  <w:tcMar>
                    <w:top w:w="0" w:type="dxa"/>
                    <w:left w:w="28" w:type="dxa"/>
                    <w:bottom w:w="0" w:type="dxa"/>
                    <w:right w:w="28" w:type="dxa"/>
                  </w:tcMar>
                  <w:vAlign w:val="center"/>
                </w:tcPr>
                <w:p w14:paraId="2C178F4D">
                  <w:pPr>
                    <w:jc w:val="center"/>
                    <w:rPr>
                      <w:rFonts w:ascii="Times New Roman Bold" w:hAnsi="Times New Roman Bold" w:eastAsia="宋体" w:cs="Times New Roman Bold"/>
                      <w:b/>
                      <w:bCs/>
                      <w:color w:val="000000"/>
                      <w:szCs w:val="21"/>
                    </w:rPr>
                  </w:pPr>
                  <w:r>
                    <w:rPr>
                      <w:rFonts w:hint="eastAsia" w:ascii="Times New Roman Bold" w:hAnsi="Times New Roman Bold" w:eastAsia="宋体" w:cs="Times New Roman Bold"/>
                      <w:b/>
                      <w:bCs/>
                      <w:color w:val="000000"/>
                      <w:szCs w:val="21"/>
                    </w:rPr>
                    <w:t>9</w:t>
                  </w:r>
                </w:p>
              </w:tc>
              <w:tc>
                <w:tcPr>
                  <w:tcW w:w="106" w:type="pct"/>
                  <w:vMerge w:val="restart"/>
                  <w:tcBorders>
                    <w:tl2br w:val="nil"/>
                    <w:tr2bl w:val="nil"/>
                  </w:tcBorders>
                  <w:tcMar>
                    <w:top w:w="0" w:type="dxa"/>
                    <w:left w:w="28" w:type="dxa"/>
                    <w:bottom w:w="0" w:type="dxa"/>
                    <w:right w:w="28" w:type="dxa"/>
                  </w:tcMar>
                  <w:vAlign w:val="center"/>
                </w:tcPr>
                <w:p w14:paraId="1EE137A5">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DA0</w:t>
                  </w:r>
                </w:p>
                <w:p w14:paraId="41207109">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0</w:t>
                  </w:r>
                </w:p>
                <w:p w14:paraId="149D33AC">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w:t>
                  </w:r>
                </w:p>
              </w:tc>
              <w:tc>
                <w:tcPr>
                  <w:tcW w:w="101" w:type="pct"/>
                  <w:tcBorders>
                    <w:tl2br w:val="nil"/>
                    <w:tr2bl w:val="nil"/>
                  </w:tcBorders>
                  <w:tcMar>
                    <w:top w:w="0" w:type="dxa"/>
                    <w:left w:w="28" w:type="dxa"/>
                    <w:bottom w:w="0" w:type="dxa"/>
                    <w:right w:w="28" w:type="dxa"/>
                  </w:tcMar>
                  <w:vAlign w:val="center"/>
                </w:tcPr>
                <w:p w14:paraId="6DD4194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搅拌粉尘</w:t>
                  </w:r>
                </w:p>
              </w:tc>
              <w:tc>
                <w:tcPr>
                  <w:tcW w:w="268" w:type="pct"/>
                  <w:tcBorders>
                    <w:tl2br w:val="nil"/>
                    <w:tr2bl w:val="nil"/>
                  </w:tcBorders>
                  <w:tcMar>
                    <w:top w:w="0" w:type="dxa"/>
                    <w:left w:w="28" w:type="dxa"/>
                    <w:bottom w:w="0" w:type="dxa"/>
                    <w:right w:w="28" w:type="dxa"/>
                  </w:tcMar>
                  <w:vAlign w:val="center"/>
                </w:tcPr>
                <w:p w14:paraId="7CDBE50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颗粒物</w:t>
                  </w:r>
                </w:p>
              </w:tc>
              <w:tc>
                <w:tcPr>
                  <w:tcW w:w="180" w:type="pct"/>
                  <w:tcBorders>
                    <w:tl2br w:val="nil"/>
                    <w:tr2bl w:val="nil"/>
                  </w:tcBorders>
                  <w:tcMar>
                    <w:top w:w="0" w:type="dxa"/>
                    <w:left w:w="28" w:type="dxa"/>
                    <w:bottom w:w="0" w:type="dxa"/>
                    <w:right w:w="28" w:type="dxa"/>
                  </w:tcMar>
                  <w:vAlign w:val="center"/>
                </w:tcPr>
                <w:p w14:paraId="1AED5A9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有组织</w:t>
                  </w:r>
                </w:p>
              </w:tc>
              <w:tc>
                <w:tcPr>
                  <w:tcW w:w="249" w:type="pct"/>
                  <w:tcBorders>
                    <w:tl2br w:val="nil"/>
                    <w:tr2bl w:val="nil"/>
                  </w:tcBorders>
                  <w:tcMar>
                    <w:top w:w="0" w:type="dxa"/>
                    <w:left w:w="28" w:type="dxa"/>
                    <w:bottom w:w="0" w:type="dxa"/>
                    <w:right w:w="28" w:type="dxa"/>
                  </w:tcMar>
                  <w:vAlign w:val="center"/>
                </w:tcPr>
                <w:p w14:paraId="1EB82240">
                  <w:pPr>
                    <w:jc w:val="center"/>
                    <w:rPr>
                      <w:rFonts w:ascii="Times New Roman" w:hAnsi="Times New Roman" w:eastAsia="宋体" w:cs="Times New Roman"/>
                      <w:szCs w:val="21"/>
                    </w:rPr>
                  </w:pPr>
                  <w:r>
                    <w:rPr>
                      <w:rFonts w:hint="eastAsia" w:ascii="Times New Roman" w:hAnsi="Times New Roman" w:cs="Times New Roman"/>
                      <w:szCs w:val="21"/>
                    </w:rPr>
                    <w:t>3.35</w:t>
                  </w:r>
                </w:p>
              </w:tc>
              <w:tc>
                <w:tcPr>
                  <w:tcW w:w="292" w:type="pct"/>
                  <w:tcBorders>
                    <w:tl2br w:val="nil"/>
                    <w:tr2bl w:val="nil"/>
                  </w:tcBorders>
                  <w:tcMar>
                    <w:top w:w="0" w:type="dxa"/>
                    <w:left w:w="28" w:type="dxa"/>
                    <w:bottom w:w="0" w:type="dxa"/>
                    <w:right w:w="28" w:type="dxa"/>
                  </w:tcMar>
                  <w:vAlign w:val="center"/>
                </w:tcPr>
                <w:p w14:paraId="1906C639">
                  <w:pPr>
                    <w:jc w:val="center"/>
                    <w:rPr>
                      <w:rFonts w:ascii="Times New Roman" w:hAnsi="Times New Roman" w:eastAsia="宋体" w:cs="Times New Roman"/>
                      <w:szCs w:val="21"/>
                    </w:rPr>
                  </w:pPr>
                  <w:r>
                    <w:rPr>
                      <w:rFonts w:hint="eastAsia" w:ascii="Times New Roman" w:hAnsi="Times New Roman" w:cs="Times New Roman"/>
                      <w:szCs w:val="21"/>
                    </w:rPr>
                    <w:t>2.33</w:t>
                  </w:r>
                </w:p>
              </w:tc>
              <w:tc>
                <w:tcPr>
                  <w:tcW w:w="302" w:type="pct"/>
                  <w:tcBorders>
                    <w:tl2br w:val="nil"/>
                    <w:tr2bl w:val="nil"/>
                  </w:tcBorders>
                  <w:tcMar>
                    <w:top w:w="0" w:type="dxa"/>
                    <w:left w:w="28" w:type="dxa"/>
                    <w:bottom w:w="0" w:type="dxa"/>
                    <w:right w:w="28" w:type="dxa"/>
                  </w:tcMar>
                  <w:vAlign w:val="center"/>
                </w:tcPr>
                <w:p w14:paraId="33EF2B6F">
                  <w:pPr>
                    <w:jc w:val="center"/>
                    <w:rPr>
                      <w:rFonts w:ascii="Times New Roman" w:hAnsi="Times New Roman" w:eastAsia="宋体" w:cs="Times New Roman"/>
                      <w:szCs w:val="21"/>
                    </w:rPr>
                  </w:pPr>
                  <w:r>
                    <w:rPr>
                      <w:rFonts w:hint="eastAsia" w:ascii="Times New Roman" w:hAnsi="Times New Roman" w:cs="Times New Roman"/>
                      <w:szCs w:val="21"/>
                    </w:rPr>
                    <w:t>106.73</w:t>
                  </w:r>
                </w:p>
              </w:tc>
              <w:tc>
                <w:tcPr>
                  <w:tcW w:w="734" w:type="pct"/>
                  <w:tcBorders>
                    <w:tl2br w:val="nil"/>
                    <w:tr2bl w:val="nil"/>
                  </w:tcBorders>
                  <w:tcMar>
                    <w:top w:w="0" w:type="dxa"/>
                    <w:left w:w="28" w:type="dxa"/>
                    <w:bottom w:w="0" w:type="dxa"/>
                    <w:right w:w="28" w:type="dxa"/>
                  </w:tcMar>
                  <w:vAlign w:val="center"/>
                </w:tcPr>
                <w:p w14:paraId="79621A0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密闭负压引至洗涤塔+电捕焦油器+等离子光解净化除尘器+活性炭吸附装置处理后通过25m高排气筒DA002排放。</w:t>
                  </w:r>
                </w:p>
              </w:tc>
              <w:tc>
                <w:tcPr>
                  <w:tcW w:w="206" w:type="pct"/>
                  <w:tcBorders>
                    <w:tl2br w:val="nil"/>
                    <w:tr2bl w:val="nil"/>
                  </w:tcBorders>
                  <w:tcMar>
                    <w:top w:w="0" w:type="dxa"/>
                    <w:left w:w="28" w:type="dxa"/>
                    <w:bottom w:w="0" w:type="dxa"/>
                    <w:right w:w="28" w:type="dxa"/>
                  </w:tcMar>
                  <w:vAlign w:val="center"/>
                </w:tcPr>
                <w:p w14:paraId="438DCDD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21830</w:t>
                  </w:r>
                </w:p>
              </w:tc>
              <w:tc>
                <w:tcPr>
                  <w:tcW w:w="264" w:type="pct"/>
                  <w:tcBorders>
                    <w:tl2br w:val="nil"/>
                    <w:tr2bl w:val="nil"/>
                  </w:tcBorders>
                  <w:tcMar>
                    <w:top w:w="0" w:type="dxa"/>
                    <w:left w:w="28" w:type="dxa"/>
                    <w:bottom w:w="0" w:type="dxa"/>
                    <w:right w:w="28" w:type="dxa"/>
                  </w:tcMar>
                  <w:vAlign w:val="center"/>
                </w:tcPr>
                <w:p w14:paraId="321FAE9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78" w:type="pct"/>
                  <w:tcBorders>
                    <w:tl2br w:val="nil"/>
                    <w:tr2bl w:val="nil"/>
                  </w:tcBorders>
                  <w:tcMar>
                    <w:top w:w="0" w:type="dxa"/>
                    <w:left w:w="28" w:type="dxa"/>
                    <w:bottom w:w="0" w:type="dxa"/>
                    <w:right w:w="28" w:type="dxa"/>
                  </w:tcMar>
                  <w:vAlign w:val="center"/>
                </w:tcPr>
                <w:p w14:paraId="0478C04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99%</w:t>
                  </w:r>
                </w:p>
              </w:tc>
              <w:tc>
                <w:tcPr>
                  <w:tcW w:w="196" w:type="pct"/>
                  <w:tcBorders>
                    <w:tl2br w:val="nil"/>
                    <w:tr2bl w:val="nil"/>
                  </w:tcBorders>
                  <w:tcMar>
                    <w:top w:w="0" w:type="dxa"/>
                    <w:left w:w="28" w:type="dxa"/>
                    <w:bottom w:w="0" w:type="dxa"/>
                    <w:right w:w="28" w:type="dxa"/>
                  </w:tcMar>
                  <w:vAlign w:val="center"/>
                </w:tcPr>
                <w:p w14:paraId="27742D5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是</w:t>
                  </w:r>
                </w:p>
              </w:tc>
              <w:tc>
                <w:tcPr>
                  <w:tcW w:w="234" w:type="pct"/>
                  <w:tcBorders>
                    <w:tl2br w:val="nil"/>
                    <w:tr2bl w:val="nil"/>
                  </w:tcBorders>
                  <w:tcMar>
                    <w:top w:w="0" w:type="dxa"/>
                    <w:left w:w="28" w:type="dxa"/>
                    <w:bottom w:w="0" w:type="dxa"/>
                    <w:right w:w="28" w:type="dxa"/>
                  </w:tcMar>
                  <w:vAlign w:val="center"/>
                </w:tcPr>
                <w:p w14:paraId="2EFC577F">
                  <w:pPr>
                    <w:jc w:val="center"/>
                    <w:rPr>
                      <w:rFonts w:ascii="Times New Roman" w:hAnsi="Times New Roman" w:eastAsia="宋体" w:cs="Times New Roman"/>
                      <w:szCs w:val="21"/>
                    </w:rPr>
                  </w:pPr>
                  <w:r>
                    <w:rPr>
                      <w:rFonts w:hint="eastAsia" w:ascii="Times New Roman" w:hAnsi="Times New Roman" w:cs="Times New Roman"/>
                      <w:szCs w:val="21"/>
                    </w:rPr>
                    <w:t>0.0335</w:t>
                  </w:r>
                </w:p>
              </w:tc>
              <w:tc>
                <w:tcPr>
                  <w:tcW w:w="225" w:type="pct"/>
                  <w:tcBorders>
                    <w:tl2br w:val="nil"/>
                    <w:tr2bl w:val="nil"/>
                  </w:tcBorders>
                  <w:tcMar>
                    <w:top w:w="0" w:type="dxa"/>
                    <w:left w:w="28" w:type="dxa"/>
                    <w:bottom w:w="0" w:type="dxa"/>
                    <w:right w:w="28" w:type="dxa"/>
                  </w:tcMar>
                  <w:vAlign w:val="center"/>
                </w:tcPr>
                <w:p w14:paraId="21B56467">
                  <w:pPr>
                    <w:jc w:val="center"/>
                    <w:rPr>
                      <w:rFonts w:ascii="Times New Roman" w:hAnsi="Times New Roman" w:eastAsia="宋体" w:cs="Times New Roman"/>
                      <w:szCs w:val="21"/>
                    </w:rPr>
                  </w:pPr>
                  <w:r>
                    <w:rPr>
                      <w:rFonts w:hint="eastAsia" w:ascii="Times New Roman" w:hAnsi="Times New Roman" w:cs="Times New Roman"/>
                      <w:szCs w:val="21"/>
                    </w:rPr>
                    <w:t>0.023</w:t>
                  </w:r>
                </w:p>
              </w:tc>
              <w:tc>
                <w:tcPr>
                  <w:tcW w:w="302" w:type="pct"/>
                  <w:tcBorders>
                    <w:tl2br w:val="nil"/>
                    <w:tr2bl w:val="nil"/>
                  </w:tcBorders>
                  <w:tcMar>
                    <w:top w:w="0" w:type="dxa"/>
                    <w:left w:w="28" w:type="dxa"/>
                    <w:bottom w:w="0" w:type="dxa"/>
                    <w:right w:w="28" w:type="dxa"/>
                  </w:tcMar>
                  <w:vAlign w:val="center"/>
                </w:tcPr>
                <w:p w14:paraId="46D97EE9">
                  <w:pPr>
                    <w:jc w:val="center"/>
                    <w:rPr>
                      <w:rFonts w:ascii="Times New Roman" w:hAnsi="Times New Roman" w:eastAsia="宋体" w:cs="Times New Roman"/>
                      <w:szCs w:val="21"/>
                    </w:rPr>
                  </w:pPr>
                  <w:r>
                    <w:rPr>
                      <w:rFonts w:hint="eastAsia" w:ascii="Times New Roman" w:hAnsi="Times New Roman" w:cs="Times New Roman"/>
                      <w:szCs w:val="21"/>
                    </w:rPr>
                    <w:t>1.05</w:t>
                  </w:r>
                </w:p>
              </w:tc>
              <w:tc>
                <w:tcPr>
                  <w:tcW w:w="201" w:type="pct"/>
                  <w:tcBorders>
                    <w:tl2br w:val="nil"/>
                    <w:tr2bl w:val="nil"/>
                  </w:tcBorders>
                  <w:tcMar>
                    <w:top w:w="0" w:type="dxa"/>
                    <w:left w:w="28" w:type="dxa"/>
                    <w:bottom w:w="0" w:type="dxa"/>
                    <w:right w:w="28" w:type="dxa"/>
                  </w:tcMar>
                  <w:vAlign w:val="center"/>
                </w:tcPr>
                <w:p w14:paraId="20E6930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1440</w:t>
                  </w:r>
                </w:p>
              </w:tc>
              <w:tc>
                <w:tcPr>
                  <w:tcW w:w="245" w:type="pct"/>
                  <w:tcBorders>
                    <w:tl2br w:val="nil"/>
                    <w:tr2bl w:val="nil"/>
                  </w:tcBorders>
                  <w:tcMar>
                    <w:top w:w="0" w:type="dxa"/>
                    <w:left w:w="28" w:type="dxa"/>
                    <w:bottom w:w="0" w:type="dxa"/>
                    <w:right w:w="28" w:type="dxa"/>
                  </w:tcMar>
                  <w:vAlign w:val="center"/>
                </w:tcPr>
                <w:p w14:paraId="48A339FA">
                  <w:pPr>
                    <w:jc w:val="center"/>
                    <w:rPr>
                      <w:rFonts w:ascii="Times New Roman" w:hAnsi="Times New Roman" w:eastAsia="宋体" w:cs="Times New Roman"/>
                      <w:color w:val="000000"/>
                      <w:szCs w:val="21"/>
                    </w:rPr>
                  </w:pPr>
                  <w:r>
                    <w:rPr>
                      <w:rFonts w:hint="eastAsia" w:ascii="Times New Roman" w:hAnsi="Times New Roman" w:cs="Times New Roman"/>
                      <w:color w:val="FF0000"/>
                      <w:szCs w:val="21"/>
                    </w:rPr>
                    <w:t>7.225</w:t>
                  </w:r>
                </w:p>
              </w:tc>
              <w:tc>
                <w:tcPr>
                  <w:tcW w:w="358" w:type="pct"/>
                  <w:tcBorders>
                    <w:tl2br w:val="nil"/>
                    <w:tr2bl w:val="nil"/>
                  </w:tcBorders>
                  <w:tcMar>
                    <w:top w:w="0" w:type="dxa"/>
                    <w:left w:w="28" w:type="dxa"/>
                    <w:bottom w:w="0" w:type="dxa"/>
                    <w:right w:w="28" w:type="dxa"/>
                  </w:tcMar>
                  <w:vAlign w:val="center"/>
                </w:tcPr>
                <w:p w14:paraId="38F3FBC5">
                  <w:pPr>
                    <w:jc w:val="center"/>
                    <w:rPr>
                      <w:rFonts w:ascii="Times New Roman" w:hAnsi="Times New Roman" w:eastAsia="宋体" w:cs="Times New Roman"/>
                      <w:color w:val="000000"/>
                      <w:szCs w:val="21"/>
                      <w:highlight w:val="yellow"/>
                    </w:rPr>
                  </w:pPr>
                  <w:r>
                    <w:rPr>
                      <w:rFonts w:hint="eastAsia" w:ascii="Times New Roman" w:hAnsi="Times New Roman" w:eastAsia="宋体" w:cs="Times New Roman"/>
                      <w:color w:val="000000"/>
                      <w:szCs w:val="21"/>
                    </w:rPr>
                    <w:t>120</w:t>
                  </w:r>
                </w:p>
              </w:tc>
              <w:tc>
                <w:tcPr>
                  <w:tcW w:w="134" w:type="pct"/>
                  <w:tcBorders>
                    <w:tl2br w:val="nil"/>
                    <w:tr2bl w:val="nil"/>
                  </w:tcBorders>
                  <w:tcMar>
                    <w:top w:w="0" w:type="dxa"/>
                    <w:left w:w="28" w:type="dxa"/>
                    <w:bottom w:w="0" w:type="dxa"/>
                    <w:right w:w="28" w:type="dxa"/>
                  </w:tcMar>
                  <w:vAlign w:val="center"/>
                </w:tcPr>
                <w:p w14:paraId="030E872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7874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jc w:val="center"/>
              </w:trPr>
              <w:tc>
                <w:tcPr>
                  <w:tcW w:w="115" w:type="pct"/>
                  <w:vMerge w:val="continue"/>
                  <w:tcBorders>
                    <w:tl2br w:val="nil"/>
                    <w:tr2bl w:val="nil"/>
                  </w:tcBorders>
                  <w:tcMar>
                    <w:top w:w="0" w:type="dxa"/>
                    <w:left w:w="28" w:type="dxa"/>
                    <w:bottom w:w="0" w:type="dxa"/>
                    <w:right w:w="28" w:type="dxa"/>
                  </w:tcMar>
                  <w:vAlign w:val="center"/>
                </w:tcPr>
                <w:p w14:paraId="7A4F0523">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4484F6F7">
                  <w:pPr>
                    <w:jc w:val="center"/>
                    <w:rPr>
                      <w:rFonts w:ascii="Times New Roman" w:hAnsi="Times New Roman" w:eastAsia="宋体" w:cs="Times New Roman"/>
                      <w:color w:val="000000"/>
                      <w:szCs w:val="21"/>
                    </w:rPr>
                  </w:pPr>
                </w:p>
              </w:tc>
              <w:tc>
                <w:tcPr>
                  <w:tcW w:w="101" w:type="pct"/>
                  <w:vMerge w:val="restart"/>
                  <w:tcBorders>
                    <w:tl2br w:val="nil"/>
                    <w:tr2bl w:val="nil"/>
                  </w:tcBorders>
                  <w:tcMar>
                    <w:top w:w="0" w:type="dxa"/>
                    <w:left w:w="28" w:type="dxa"/>
                    <w:bottom w:w="0" w:type="dxa"/>
                    <w:right w:w="28" w:type="dxa"/>
                  </w:tcMar>
                  <w:vAlign w:val="center"/>
                </w:tcPr>
                <w:p w14:paraId="3C03474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混合搅拌、成品出料沥青烟气</w:t>
                  </w:r>
                </w:p>
              </w:tc>
              <w:tc>
                <w:tcPr>
                  <w:tcW w:w="268" w:type="pct"/>
                  <w:tcBorders>
                    <w:tl2br w:val="nil"/>
                    <w:tr2bl w:val="nil"/>
                  </w:tcBorders>
                  <w:tcMar>
                    <w:top w:w="0" w:type="dxa"/>
                    <w:left w:w="28" w:type="dxa"/>
                    <w:bottom w:w="0" w:type="dxa"/>
                    <w:right w:w="28" w:type="dxa"/>
                  </w:tcMar>
                  <w:vAlign w:val="center"/>
                </w:tcPr>
                <w:p w14:paraId="64D18D89">
                  <w:pPr>
                    <w:jc w:val="center"/>
                    <w:rPr>
                      <w:rFonts w:ascii="Times New Roman" w:hAnsi="Times New Roman" w:eastAsia="宋体" w:cs="Times New Roman"/>
                      <w:color w:val="000000"/>
                      <w:szCs w:val="21"/>
                    </w:rPr>
                  </w:pPr>
                  <w:r>
                    <w:rPr>
                      <w:rFonts w:hint="eastAsia" w:ascii="Times New Roman" w:hAnsi="Times New Roman" w:cs="Times New Roman"/>
                      <w:szCs w:val="21"/>
                    </w:rPr>
                    <w:t>沥青烟</w:t>
                  </w:r>
                </w:p>
              </w:tc>
              <w:tc>
                <w:tcPr>
                  <w:tcW w:w="180" w:type="pct"/>
                  <w:vMerge w:val="restart"/>
                  <w:tcBorders>
                    <w:tl2br w:val="nil"/>
                    <w:tr2bl w:val="nil"/>
                  </w:tcBorders>
                  <w:tcMar>
                    <w:top w:w="0" w:type="dxa"/>
                    <w:left w:w="28" w:type="dxa"/>
                    <w:bottom w:w="0" w:type="dxa"/>
                    <w:right w:w="28" w:type="dxa"/>
                  </w:tcMar>
                  <w:vAlign w:val="center"/>
                </w:tcPr>
                <w:p w14:paraId="562FA37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有组织</w:t>
                  </w:r>
                </w:p>
              </w:tc>
              <w:tc>
                <w:tcPr>
                  <w:tcW w:w="249" w:type="pct"/>
                  <w:tcBorders>
                    <w:tl2br w:val="nil"/>
                    <w:tr2bl w:val="nil"/>
                  </w:tcBorders>
                  <w:tcMar>
                    <w:top w:w="0" w:type="dxa"/>
                    <w:left w:w="28" w:type="dxa"/>
                    <w:bottom w:w="0" w:type="dxa"/>
                    <w:right w:w="28" w:type="dxa"/>
                  </w:tcMar>
                  <w:vAlign w:val="center"/>
                </w:tcPr>
                <w:p w14:paraId="7C9E5514">
                  <w:pPr>
                    <w:jc w:val="center"/>
                    <w:rPr>
                      <w:rFonts w:ascii="Times New Roman" w:hAnsi="Times New Roman" w:cs="Times New Roman"/>
                      <w:szCs w:val="21"/>
                    </w:rPr>
                  </w:pPr>
                  <w:r>
                    <w:rPr>
                      <w:rFonts w:hint="eastAsia" w:ascii="Times New Roman" w:hAnsi="Times New Roman" w:cs="Times New Roman"/>
                      <w:szCs w:val="21"/>
                    </w:rPr>
                    <w:t>0.41778</w:t>
                  </w:r>
                </w:p>
              </w:tc>
              <w:tc>
                <w:tcPr>
                  <w:tcW w:w="292" w:type="pct"/>
                  <w:tcBorders>
                    <w:tl2br w:val="nil"/>
                    <w:tr2bl w:val="nil"/>
                  </w:tcBorders>
                  <w:tcMar>
                    <w:top w:w="0" w:type="dxa"/>
                    <w:left w:w="28" w:type="dxa"/>
                    <w:bottom w:w="0" w:type="dxa"/>
                    <w:right w:w="28" w:type="dxa"/>
                  </w:tcMar>
                  <w:vAlign w:val="center"/>
                </w:tcPr>
                <w:p w14:paraId="6132EC74">
                  <w:pPr>
                    <w:jc w:val="center"/>
                    <w:rPr>
                      <w:rFonts w:ascii="Times New Roman" w:hAnsi="Times New Roman" w:cs="Times New Roman"/>
                      <w:szCs w:val="21"/>
                    </w:rPr>
                  </w:pPr>
                  <w:r>
                    <w:rPr>
                      <w:rFonts w:hint="eastAsia" w:ascii="Times New Roman" w:hAnsi="Times New Roman" w:cs="Times New Roman"/>
                      <w:szCs w:val="21"/>
                    </w:rPr>
                    <w:t>0.29</w:t>
                  </w:r>
                </w:p>
              </w:tc>
              <w:tc>
                <w:tcPr>
                  <w:tcW w:w="302" w:type="pct"/>
                  <w:tcBorders>
                    <w:tl2br w:val="nil"/>
                    <w:tr2bl w:val="nil"/>
                  </w:tcBorders>
                  <w:tcMar>
                    <w:top w:w="0" w:type="dxa"/>
                    <w:left w:w="28" w:type="dxa"/>
                    <w:bottom w:w="0" w:type="dxa"/>
                    <w:right w:w="28" w:type="dxa"/>
                  </w:tcMar>
                  <w:vAlign w:val="center"/>
                </w:tcPr>
                <w:p w14:paraId="79A618A5">
                  <w:pPr>
                    <w:jc w:val="center"/>
                    <w:rPr>
                      <w:rFonts w:ascii="Times New Roman" w:hAnsi="Times New Roman" w:cs="Times New Roman"/>
                      <w:szCs w:val="21"/>
                    </w:rPr>
                  </w:pPr>
                  <w:r>
                    <w:rPr>
                      <w:rFonts w:hint="eastAsia" w:ascii="Times New Roman" w:hAnsi="Times New Roman" w:cs="Times New Roman"/>
                      <w:szCs w:val="21"/>
                    </w:rPr>
                    <w:t>13.28</w:t>
                  </w:r>
                </w:p>
              </w:tc>
              <w:tc>
                <w:tcPr>
                  <w:tcW w:w="734" w:type="pct"/>
                  <w:vMerge w:val="restart"/>
                  <w:tcBorders>
                    <w:tl2br w:val="nil"/>
                    <w:tr2bl w:val="nil"/>
                  </w:tcBorders>
                  <w:tcMar>
                    <w:top w:w="0" w:type="dxa"/>
                    <w:left w:w="28" w:type="dxa"/>
                    <w:bottom w:w="0" w:type="dxa"/>
                    <w:right w:w="28" w:type="dxa"/>
                  </w:tcMar>
                  <w:vAlign w:val="center"/>
                </w:tcPr>
                <w:p w14:paraId="740C7177">
                  <w:pPr>
                    <w:wordWrap w:val="0"/>
                    <w:topLinePunct/>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沥青经有机热载体炉（导热油炉）间接加热保温后，由沥青泵通过密闭管道输送至封闭式搅拌罐内，与预热后的骨料进行混合搅拌，此环节搅拌罐本体保持密闭，内部微负压运行，烟气基本无外逸。搅拌罐进出料口上方及两侧设置集气罩，出料口区域搭建防烟气扩散房（半密闭围护结构），两侧加装快速堆积门，正常生产时保持关闭，车辆通行时快速启闭，形成局部围闭空间，通过引风机抽吸，使防扩散房及集气罩区域形成负压环境，确保出料及卸料过程中散逸的沥青烟气被定向捕集，经主管道统一汇入废气处理系统。沥青烟气引至洗涤塔+电捕焦油器+等离子光解净化除尘器+活性炭吸附装置处理后通过25m高排气筒DA002排放。</w:t>
                  </w:r>
                </w:p>
              </w:tc>
              <w:tc>
                <w:tcPr>
                  <w:tcW w:w="206" w:type="pct"/>
                  <w:vMerge w:val="restart"/>
                  <w:tcBorders>
                    <w:tl2br w:val="nil"/>
                    <w:tr2bl w:val="nil"/>
                  </w:tcBorders>
                  <w:tcMar>
                    <w:top w:w="0" w:type="dxa"/>
                    <w:left w:w="28" w:type="dxa"/>
                    <w:bottom w:w="0" w:type="dxa"/>
                    <w:right w:w="28" w:type="dxa"/>
                  </w:tcMar>
                  <w:vAlign w:val="center"/>
                </w:tcPr>
                <w:p w14:paraId="1C69E86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21830</w:t>
                  </w:r>
                </w:p>
              </w:tc>
              <w:tc>
                <w:tcPr>
                  <w:tcW w:w="264" w:type="pct"/>
                  <w:vMerge w:val="restart"/>
                  <w:tcBorders>
                    <w:tl2br w:val="nil"/>
                    <w:tr2bl w:val="nil"/>
                  </w:tcBorders>
                  <w:tcMar>
                    <w:top w:w="0" w:type="dxa"/>
                    <w:left w:w="28" w:type="dxa"/>
                    <w:bottom w:w="0" w:type="dxa"/>
                    <w:right w:w="28" w:type="dxa"/>
                  </w:tcMar>
                  <w:vAlign w:val="center"/>
                </w:tcPr>
                <w:p w14:paraId="260683B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99%</w:t>
                  </w:r>
                </w:p>
              </w:tc>
              <w:tc>
                <w:tcPr>
                  <w:tcW w:w="278" w:type="pct"/>
                  <w:vMerge w:val="restart"/>
                  <w:tcBorders>
                    <w:tl2br w:val="nil"/>
                    <w:tr2bl w:val="nil"/>
                  </w:tcBorders>
                  <w:tcMar>
                    <w:top w:w="0" w:type="dxa"/>
                    <w:left w:w="28" w:type="dxa"/>
                    <w:bottom w:w="0" w:type="dxa"/>
                    <w:right w:w="28" w:type="dxa"/>
                  </w:tcMar>
                  <w:vAlign w:val="center"/>
                </w:tcPr>
                <w:p w14:paraId="62F8402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99%</w:t>
                  </w:r>
                </w:p>
              </w:tc>
              <w:tc>
                <w:tcPr>
                  <w:tcW w:w="196" w:type="pct"/>
                  <w:vMerge w:val="restart"/>
                  <w:tcBorders>
                    <w:tl2br w:val="nil"/>
                    <w:tr2bl w:val="nil"/>
                  </w:tcBorders>
                  <w:tcMar>
                    <w:top w:w="0" w:type="dxa"/>
                    <w:left w:w="28" w:type="dxa"/>
                    <w:bottom w:w="0" w:type="dxa"/>
                    <w:right w:w="28" w:type="dxa"/>
                  </w:tcMar>
                  <w:vAlign w:val="center"/>
                </w:tcPr>
                <w:p w14:paraId="68C1D9E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是</w:t>
                  </w:r>
                </w:p>
              </w:tc>
              <w:tc>
                <w:tcPr>
                  <w:tcW w:w="234" w:type="pct"/>
                  <w:tcBorders>
                    <w:tl2br w:val="nil"/>
                    <w:tr2bl w:val="nil"/>
                  </w:tcBorders>
                  <w:tcMar>
                    <w:top w:w="0" w:type="dxa"/>
                    <w:left w:w="28" w:type="dxa"/>
                    <w:bottom w:w="0" w:type="dxa"/>
                    <w:right w:w="28" w:type="dxa"/>
                  </w:tcMar>
                  <w:vAlign w:val="center"/>
                </w:tcPr>
                <w:p w14:paraId="6FD0720A">
                  <w:pPr>
                    <w:jc w:val="center"/>
                    <w:rPr>
                      <w:rFonts w:ascii="Times New Roman" w:hAnsi="Times New Roman" w:cs="Times New Roman"/>
                      <w:szCs w:val="21"/>
                    </w:rPr>
                  </w:pPr>
                  <w:r>
                    <w:rPr>
                      <w:rFonts w:hint="eastAsia" w:ascii="Times New Roman" w:hAnsi="Times New Roman" w:cs="Times New Roman"/>
                      <w:szCs w:val="21"/>
                    </w:rPr>
                    <w:t>0.0042</w:t>
                  </w:r>
                </w:p>
              </w:tc>
              <w:tc>
                <w:tcPr>
                  <w:tcW w:w="225" w:type="pct"/>
                  <w:tcBorders>
                    <w:tl2br w:val="nil"/>
                    <w:tr2bl w:val="nil"/>
                  </w:tcBorders>
                  <w:tcMar>
                    <w:top w:w="0" w:type="dxa"/>
                    <w:left w:w="28" w:type="dxa"/>
                    <w:bottom w:w="0" w:type="dxa"/>
                    <w:right w:w="28" w:type="dxa"/>
                  </w:tcMar>
                  <w:vAlign w:val="center"/>
                </w:tcPr>
                <w:p w14:paraId="2AB3D9A7">
                  <w:pPr>
                    <w:jc w:val="center"/>
                    <w:rPr>
                      <w:rFonts w:ascii="Times New Roman" w:hAnsi="Times New Roman" w:cs="Times New Roman"/>
                      <w:szCs w:val="21"/>
                    </w:rPr>
                  </w:pPr>
                  <w:r>
                    <w:rPr>
                      <w:rFonts w:hint="eastAsia" w:ascii="Times New Roman" w:hAnsi="Times New Roman" w:cs="Times New Roman"/>
                      <w:szCs w:val="21"/>
                    </w:rPr>
                    <w:t>0.0029</w:t>
                  </w:r>
                </w:p>
              </w:tc>
              <w:tc>
                <w:tcPr>
                  <w:tcW w:w="302" w:type="pct"/>
                  <w:tcBorders>
                    <w:tl2br w:val="nil"/>
                    <w:tr2bl w:val="nil"/>
                  </w:tcBorders>
                  <w:tcMar>
                    <w:top w:w="0" w:type="dxa"/>
                    <w:left w:w="28" w:type="dxa"/>
                    <w:bottom w:w="0" w:type="dxa"/>
                    <w:right w:w="28" w:type="dxa"/>
                  </w:tcMar>
                  <w:vAlign w:val="center"/>
                </w:tcPr>
                <w:p w14:paraId="50B1A46C">
                  <w:pPr>
                    <w:jc w:val="center"/>
                    <w:rPr>
                      <w:rFonts w:ascii="Times New Roman" w:hAnsi="Times New Roman" w:cs="Times New Roman"/>
                      <w:szCs w:val="21"/>
                    </w:rPr>
                  </w:pPr>
                  <w:r>
                    <w:rPr>
                      <w:rFonts w:hint="eastAsia" w:ascii="Times New Roman" w:hAnsi="Times New Roman" w:cs="Times New Roman"/>
                      <w:szCs w:val="21"/>
                    </w:rPr>
                    <w:t>0.133</w:t>
                  </w:r>
                </w:p>
              </w:tc>
              <w:tc>
                <w:tcPr>
                  <w:tcW w:w="201" w:type="pct"/>
                  <w:vMerge w:val="restart"/>
                  <w:tcBorders>
                    <w:tl2br w:val="nil"/>
                    <w:tr2bl w:val="nil"/>
                  </w:tcBorders>
                  <w:tcMar>
                    <w:top w:w="0" w:type="dxa"/>
                    <w:left w:w="28" w:type="dxa"/>
                    <w:bottom w:w="0" w:type="dxa"/>
                    <w:right w:w="28" w:type="dxa"/>
                  </w:tcMar>
                  <w:vAlign w:val="center"/>
                </w:tcPr>
                <w:p w14:paraId="49FDAB6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1440</w:t>
                  </w:r>
                </w:p>
              </w:tc>
              <w:tc>
                <w:tcPr>
                  <w:tcW w:w="245" w:type="pct"/>
                  <w:tcBorders>
                    <w:tl2br w:val="nil"/>
                    <w:tr2bl w:val="nil"/>
                  </w:tcBorders>
                  <w:tcMar>
                    <w:top w:w="0" w:type="dxa"/>
                    <w:left w:w="28" w:type="dxa"/>
                    <w:bottom w:w="0" w:type="dxa"/>
                    <w:right w:w="28" w:type="dxa"/>
                  </w:tcMar>
                  <w:vAlign w:val="center"/>
                </w:tcPr>
                <w:p w14:paraId="23A4BAE0">
                  <w:pPr>
                    <w:jc w:val="center"/>
                    <w:rPr>
                      <w:rFonts w:ascii="Times New Roman" w:hAnsi="Times New Roman" w:eastAsia="宋体" w:cs="Times New Roman"/>
                      <w:color w:val="FF0000"/>
                      <w:szCs w:val="21"/>
                    </w:rPr>
                  </w:pPr>
                  <w:r>
                    <w:rPr>
                      <w:rFonts w:ascii="Times New Roman" w:hAnsi="Times New Roman" w:cs="Times New Roman"/>
                      <w:color w:val="FF0000"/>
                      <w:szCs w:val="21"/>
                    </w:rPr>
                    <w:t>0.4635</w:t>
                  </w:r>
                </w:p>
              </w:tc>
              <w:tc>
                <w:tcPr>
                  <w:tcW w:w="358" w:type="pct"/>
                  <w:tcBorders>
                    <w:tl2br w:val="nil"/>
                    <w:tr2bl w:val="nil"/>
                  </w:tcBorders>
                  <w:tcMar>
                    <w:top w:w="0" w:type="dxa"/>
                    <w:left w:w="28" w:type="dxa"/>
                    <w:bottom w:w="0" w:type="dxa"/>
                    <w:right w:w="28" w:type="dxa"/>
                  </w:tcMar>
                  <w:vAlign w:val="center"/>
                </w:tcPr>
                <w:p w14:paraId="01A1E8EA">
                  <w:pPr>
                    <w:jc w:val="center"/>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75</w:t>
                  </w:r>
                </w:p>
              </w:tc>
              <w:tc>
                <w:tcPr>
                  <w:tcW w:w="134" w:type="pct"/>
                  <w:tcBorders>
                    <w:tl2br w:val="nil"/>
                    <w:tr2bl w:val="nil"/>
                  </w:tcBorders>
                  <w:tcMar>
                    <w:top w:w="0" w:type="dxa"/>
                    <w:left w:w="28" w:type="dxa"/>
                    <w:bottom w:w="0" w:type="dxa"/>
                    <w:right w:w="28" w:type="dxa"/>
                  </w:tcMar>
                  <w:vAlign w:val="center"/>
                </w:tcPr>
                <w:p w14:paraId="3B70FBB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77FA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jc w:val="center"/>
              </w:trPr>
              <w:tc>
                <w:tcPr>
                  <w:tcW w:w="115" w:type="pct"/>
                  <w:vMerge w:val="continue"/>
                  <w:tcBorders>
                    <w:tl2br w:val="nil"/>
                    <w:tr2bl w:val="nil"/>
                  </w:tcBorders>
                  <w:tcMar>
                    <w:top w:w="0" w:type="dxa"/>
                    <w:left w:w="28" w:type="dxa"/>
                    <w:bottom w:w="0" w:type="dxa"/>
                    <w:right w:w="28" w:type="dxa"/>
                  </w:tcMar>
                  <w:vAlign w:val="center"/>
                </w:tcPr>
                <w:p w14:paraId="36B64A31">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0A48F8F8">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2C83FA4B">
                  <w:pPr>
                    <w:jc w:val="center"/>
                    <w:rPr>
                      <w:rFonts w:ascii="Times New Roman" w:hAnsi="Times New Roman" w:eastAsia="宋体" w:cs="Times New Roman"/>
                      <w:color w:val="000000"/>
                      <w:szCs w:val="21"/>
                    </w:rPr>
                  </w:pPr>
                </w:p>
              </w:tc>
              <w:tc>
                <w:tcPr>
                  <w:tcW w:w="268" w:type="pct"/>
                  <w:tcBorders>
                    <w:tl2br w:val="nil"/>
                    <w:tr2bl w:val="nil"/>
                  </w:tcBorders>
                  <w:tcMar>
                    <w:top w:w="0" w:type="dxa"/>
                    <w:left w:w="28" w:type="dxa"/>
                    <w:bottom w:w="0" w:type="dxa"/>
                    <w:right w:w="28" w:type="dxa"/>
                  </w:tcMar>
                  <w:vAlign w:val="center"/>
                </w:tcPr>
                <w:p w14:paraId="5E25CB90">
                  <w:pPr>
                    <w:jc w:val="center"/>
                    <w:rPr>
                      <w:rFonts w:ascii="Times New Roman" w:hAnsi="Times New Roman" w:eastAsia="宋体" w:cs="Times New Roman"/>
                      <w:color w:val="000000"/>
                      <w:szCs w:val="21"/>
                    </w:rPr>
                  </w:pPr>
                  <w:r>
                    <w:rPr>
                      <w:rFonts w:ascii="Times New Roman" w:hAnsi="Times New Roman" w:cs="Times New Roman"/>
                      <w:szCs w:val="21"/>
                    </w:rPr>
                    <w:t>苯并[a]芘</w:t>
                  </w:r>
                </w:p>
              </w:tc>
              <w:tc>
                <w:tcPr>
                  <w:tcW w:w="180" w:type="pct"/>
                  <w:vMerge w:val="continue"/>
                  <w:tcBorders>
                    <w:tl2br w:val="nil"/>
                    <w:tr2bl w:val="nil"/>
                  </w:tcBorders>
                  <w:tcMar>
                    <w:top w:w="0" w:type="dxa"/>
                    <w:left w:w="28" w:type="dxa"/>
                    <w:bottom w:w="0" w:type="dxa"/>
                    <w:right w:w="28" w:type="dxa"/>
                  </w:tcMar>
                  <w:vAlign w:val="center"/>
                </w:tcPr>
                <w:p w14:paraId="6AFF359E">
                  <w:pPr>
                    <w:jc w:val="center"/>
                    <w:rPr>
                      <w:rFonts w:ascii="Times New Roman" w:hAnsi="Times New Roman" w:eastAsia="宋体" w:cs="Times New Roman"/>
                      <w:color w:val="000000"/>
                      <w:szCs w:val="21"/>
                    </w:rPr>
                  </w:pPr>
                </w:p>
              </w:tc>
              <w:tc>
                <w:tcPr>
                  <w:tcW w:w="249" w:type="pct"/>
                  <w:tcBorders>
                    <w:tl2br w:val="nil"/>
                    <w:tr2bl w:val="nil"/>
                  </w:tcBorders>
                  <w:tcMar>
                    <w:top w:w="0" w:type="dxa"/>
                    <w:left w:w="28" w:type="dxa"/>
                    <w:bottom w:w="0" w:type="dxa"/>
                    <w:right w:w="28" w:type="dxa"/>
                  </w:tcMar>
                  <w:vAlign w:val="center"/>
                </w:tcPr>
                <w:p w14:paraId="5BB8D43A">
                  <w:pPr>
                    <w:jc w:val="center"/>
                    <w:rPr>
                      <w:rFonts w:ascii="Times New Roman" w:hAnsi="Times New Roman" w:cs="Times New Roman"/>
                      <w:szCs w:val="21"/>
                    </w:rPr>
                  </w:pPr>
                  <w:r>
                    <w:rPr>
                      <w:rFonts w:hint="eastAsia" w:ascii="Times New Roman" w:hAnsi="Times New Roman" w:cs="Times New Roman"/>
                      <w:szCs w:val="21"/>
                    </w:rPr>
                    <w:t>0.0000627</w:t>
                  </w:r>
                </w:p>
              </w:tc>
              <w:tc>
                <w:tcPr>
                  <w:tcW w:w="292" w:type="pct"/>
                  <w:tcBorders>
                    <w:tl2br w:val="nil"/>
                    <w:tr2bl w:val="nil"/>
                  </w:tcBorders>
                  <w:tcMar>
                    <w:top w:w="0" w:type="dxa"/>
                    <w:left w:w="28" w:type="dxa"/>
                    <w:bottom w:w="0" w:type="dxa"/>
                    <w:right w:w="28" w:type="dxa"/>
                  </w:tcMar>
                  <w:vAlign w:val="center"/>
                </w:tcPr>
                <w:p w14:paraId="5CB28937">
                  <w:pPr>
                    <w:jc w:val="center"/>
                    <w:rPr>
                      <w:rFonts w:ascii="Times New Roman" w:hAnsi="Times New Roman" w:cs="Times New Roman"/>
                      <w:szCs w:val="21"/>
                    </w:rPr>
                  </w:pPr>
                  <w:r>
                    <w:rPr>
                      <w:rFonts w:hint="eastAsia" w:ascii="Times New Roman" w:hAnsi="Times New Roman" w:cs="Times New Roman"/>
                      <w:szCs w:val="21"/>
                    </w:rPr>
                    <w:t>0.0000435</w:t>
                  </w:r>
                </w:p>
              </w:tc>
              <w:tc>
                <w:tcPr>
                  <w:tcW w:w="302" w:type="pct"/>
                  <w:tcBorders>
                    <w:tl2br w:val="nil"/>
                    <w:tr2bl w:val="nil"/>
                  </w:tcBorders>
                  <w:tcMar>
                    <w:top w:w="0" w:type="dxa"/>
                    <w:left w:w="28" w:type="dxa"/>
                    <w:bottom w:w="0" w:type="dxa"/>
                    <w:right w:w="28" w:type="dxa"/>
                  </w:tcMar>
                  <w:vAlign w:val="center"/>
                </w:tcPr>
                <w:p w14:paraId="4846DC25">
                  <w:pPr>
                    <w:jc w:val="center"/>
                    <w:rPr>
                      <w:rFonts w:ascii="Times New Roman" w:hAnsi="Times New Roman" w:cs="Times New Roman"/>
                      <w:szCs w:val="21"/>
                    </w:rPr>
                  </w:pPr>
                  <w:r>
                    <w:rPr>
                      <w:rFonts w:hint="eastAsia" w:ascii="Times New Roman" w:hAnsi="Times New Roman" w:cs="Times New Roman"/>
                      <w:szCs w:val="21"/>
                    </w:rPr>
                    <w:t>0.00199</w:t>
                  </w:r>
                </w:p>
              </w:tc>
              <w:tc>
                <w:tcPr>
                  <w:tcW w:w="734" w:type="pct"/>
                  <w:vMerge w:val="continue"/>
                  <w:tcBorders>
                    <w:tl2br w:val="nil"/>
                    <w:tr2bl w:val="nil"/>
                  </w:tcBorders>
                  <w:tcMar>
                    <w:top w:w="0" w:type="dxa"/>
                    <w:left w:w="28" w:type="dxa"/>
                    <w:bottom w:w="0" w:type="dxa"/>
                    <w:right w:w="28" w:type="dxa"/>
                  </w:tcMar>
                  <w:vAlign w:val="center"/>
                </w:tcPr>
                <w:p w14:paraId="61785720">
                  <w:pPr>
                    <w:jc w:val="center"/>
                    <w:rPr>
                      <w:rFonts w:ascii="Times New Roman" w:hAnsi="Times New Roman" w:eastAsia="宋体" w:cs="Times New Roman"/>
                      <w:color w:val="000000"/>
                      <w:szCs w:val="21"/>
                    </w:rPr>
                  </w:pPr>
                </w:p>
              </w:tc>
              <w:tc>
                <w:tcPr>
                  <w:tcW w:w="206" w:type="pct"/>
                  <w:vMerge w:val="continue"/>
                  <w:tcBorders>
                    <w:tl2br w:val="nil"/>
                    <w:tr2bl w:val="nil"/>
                  </w:tcBorders>
                  <w:tcMar>
                    <w:top w:w="0" w:type="dxa"/>
                    <w:left w:w="28" w:type="dxa"/>
                    <w:bottom w:w="0" w:type="dxa"/>
                    <w:right w:w="28" w:type="dxa"/>
                  </w:tcMar>
                  <w:vAlign w:val="center"/>
                </w:tcPr>
                <w:p w14:paraId="60B33EBD">
                  <w:pPr>
                    <w:jc w:val="center"/>
                    <w:rPr>
                      <w:rFonts w:ascii="Times New Roman" w:hAnsi="Times New Roman" w:eastAsia="宋体" w:cs="Times New Roman"/>
                      <w:color w:val="000000"/>
                      <w:szCs w:val="21"/>
                    </w:rPr>
                  </w:pPr>
                </w:p>
              </w:tc>
              <w:tc>
                <w:tcPr>
                  <w:tcW w:w="264" w:type="pct"/>
                  <w:vMerge w:val="continue"/>
                  <w:tcBorders>
                    <w:tl2br w:val="nil"/>
                    <w:tr2bl w:val="nil"/>
                  </w:tcBorders>
                  <w:tcMar>
                    <w:top w:w="0" w:type="dxa"/>
                    <w:left w:w="28" w:type="dxa"/>
                    <w:bottom w:w="0" w:type="dxa"/>
                    <w:right w:w="28" w:type="dxa"/>
                  </w:tcMar>
                  <w:vAlign w:val="center"/>
                </w:tcPr>
                <w:p w14:paraId="577AC9E0">
                  <w:pPr>
                    <w:jc w:val="center"/>
                    <w:rPr>
                      <w:rFonts w:ascii="Times New Roman" w:hAnsi="Times New Roman" w:eastAsia="宋体" w:cs="Times New Roman"/>
                      <w:color w:val="000000"/>
                      <w:szCs w:val="21"/>
                    </w:rPr>
                  </w:pPr>
                </w:p>
              </w:tc>
              <w:tc>
                <w:tcPr>
                  <w:tcW w:w="278" w:type="pct"/>
                  <w:vMerge w:val="continue"/>
                  <w:tcBorders>
                    <w:tl2br w:val="nil"/>
                    <w:tr2bl w:val="nil"/>
                  </w:tcBorders>
                  <w:tcMar>
                    <w:top w:w="0" w:type="dxa"/>
                    <w:left w:w="28" w:type="dxa"/>
                    <w:bottom w:w="0" w:type="dxa"/>
                    <w:right w:w="28" w:type="dxa"/>
                  </w:tcMar>
                  <w:vAlign w:val="center"/>
                </w:tcPr>
                <w:p w14:paraId="1C9F81D3">
                  <w:pPr>
                    <w:jc w:val="center"/>
                    <w:rPr>
                      <w:rFonts w:ascii="Times New Roman" w:hAnsi="Times New Roman" w:eastAsia="宋体" w:cs="Times New Roman"/>
                      <w:color w:val="000000"/>
                      <w:szCs w:val="21"/>
                    </w:rPr>
                  </w:pPr>
                </w:p>
              </w:tc>
              <w:tc>
                <w:tcPr>
                  <w:tcW w:w="196" w:type="pct"/>
                  <w:vMerge w:val="continue"/>
                  <w:tcBorders>
                    <w:tl2br w:val="nil"/>
                    <w:tr2bl w:val="nil"/>
                  </w:tcBorders>
                  <w:tcMar>
                    <w:top w:w="0" w:type="dxa"/>
                    <w:left w:w="28" w:type="dxa"/>
                    <w:bottom w:w="0" w:type="dxa"/>
                    <w:right w:w="28" w:type="dxa"/>
                  </w:tcMar>
                  <w:vAlign w:val="center"/>
                </w:tcPr>
                <w:p w14:paraId="2E444143">
                  <w:pPr>
                    <w:jc w:val="center"/>
                    <w:rPr>
                      <w:rFonts w:ascii="Times New Roman" w:hAnsi="Times New Roman" w:eastAsia="宋体" w:cs="Times New Roman"/>
                      <w:color w:val="000000"/>
                      <w:szCs w:val="21"/>
                    </w:rPr>
                  </w:pPr>
                </w:p>
              </w:tc>
              <w:tc>
                <w:tcPr>
                  <w:tcW w:w="234" w:type="pct"/>
                  <w:tcBorders>
                    <w:tl2br w:val="nil"/>
                    <w:tr2bl w:val="nil"/>
                  </w:tcBorders>
                  <w:tcMar>
                    <w:top w:w="0" w:type="dxa"/>
                    <w:left w:w="28" w:type="dxa"/>
                    <w:bottom w:w="0" w:type="dxa"/>
                    <w:right w:w="28" w:type="dxa"/>
                  </w:tcMar>
                  <w:vAlign w:val="center"/>
                </w:tcPr>
                <w:p w14:paraId="0B88775E">
                  <w:pPr>
                    <w:jc w:val="center"/>
                    <w:rPr>
                      <w:rFonts w:ascii="Times New Roman" w:hAnsi="Times New Roman" w:cs="Times New Roman"/>
                      <w:szCs w:val="21"/>
                    </w:rPr>
                  </w:pPr>
                  <w:r>
                    <w:rPr>
                      <w:rFonts w:hint="eastAsia" w:ascii="Times New Roman" w:hAnsi="Times New Roman" w:cs="Times New Roman"/>
                      <w:szCs w:val="21"/>
                    </w:rPr>
                    <w:t>0.000000627</w:t>
                  </w:r>
                </w:p>
              </w:tc>
              <w:tc>
                <w:tcPr>
                  <w:tcW w:w="225" w:type="pct"/>
                  <w:tcBorders>
                    <w:tl2br w:val="nil"/>
                    <w:tr2bl w:val="nil"/>
                  </w:tcBorders>
                  <w:tcMar>
                    <w:top w:w="0" w:type="dxa"/>
                    <w:left w:w="28" w:type="dxa"/>
                    <w:bottom w:w="0" w:type="dxa"/>
                    <w:right w:w="28" w:type="dxa"/>
                  </w:tcMar>
                  <w:vAlign w:val="center"/>
                </w:tcPr>
                <w:p w14:paraId="0D580454">
                  <w:pPr>
                    <w:jc w:val="center"/>
                    <w:rPr>
                      <w:rFonts w:ascii="Times New Roman" w:hAnsi="Times New Roman" w:cs="Times New Roman"/>
                      <w:szCs w:val="21"/>
                    </w:rPr>
                  </w:pPr>
                  <w:r>
                    <w:rPr>
                      <w:rFonts w:hint="eastAsia" w:ascii="Times New Roman" w:hAnsi="Times New Roman" w:cs="Times New Roman"/>
                      <w:szCs w:val="21"/>
                    </w:rPr>
                    <w:t>0.000000435</w:t>
                  </w:r>
                </w:p>
              </w:tc>
              <w:tc>
                <w:tcPr>
                  <w:tcW w:w="302" w:type="pct"/>
                  <w:tcBorders>
                    <w:tl2br w:val="nil"/>
                    <w:tr2bl w:val="nil"/>
                  </w:tcBorders>
                  <w:tcMar>
                    <w:top w:w="0" w:type="dxa"/>
                    <w:left w:w="28" w:type="dxa"/>
                    <w:bottom w:w="0" w:type="dxa"/>
                    <w:right w:w="28" w:type="dxa"/>
                  </w:tcMar>
                  <w:vAlign w:val="center"/>
                </w:tcPr>
                <w:p w14:paraId="04AAC051">
                  <w:pPr>
                    <w:jc w:val="center"/>
                    <w:rPr>
                      <w:rFonts w:ascii="Times New Roman" w:hAnsi="Times New Roman" w:cs="Times New Roman"/>
                      <w:szCs w:val="21"/>
                    </w:rPr>
                  </w:pPr>
                  <w:r>
                    <w:rPr>
                      <w:rFonts w:hint="eastAsia" w:ascii="Times New Roman" w:hAnsi="Times New Roman" w:cs="Times New Roman"/>
                      <w:szCs w:val="21"/>
                    </w:rPr>
                    <w:t>0.00001</w:t>
                  </w:r>
                </w:p>
              </w:tc>
              <w:tc>
                <w:tcPr>
                  <w:tcW w:w="201" w:type="pct"/>
                  <w:vMerge w:val="continue"/>
                  <w:tcBorders>
                    <w:tl2br w:val="nil"/>
                    <w:tr2bl w:val="nil"/>
                  </w:tcBorders>
                  <w:tcMar>
                    <w:top w:w="0" w:type="dxa"/>
                    <w:left w:w="28" w:type="dxa"/>
                    <w:bottom w:w="0" w:type="dxa"/>
                    <w:right w:w="28" w:type="dxa"/>
                  </w:tcMar>
                  <w:vAlign w:val="center"/>
                </w:tcPr>
                <w:p w14:paraId="25A0A6F0">
                  <w:pPr>
                    <w:jc w:val="center"/>
                    <w:rPr>
                      <w:rFonts w:ascii="Times New Roman" w:hAnsi="Times New Roman" w:eastAsia="宋体" w:cs="Times New Roman"/>
                      <w:color w:val="000000"/>
                      <w:szCs w:val="21"/>
                    </w:rPr>
                  </w:pPr>
                </w:p>
              </w:tc>
              <w:tc>
                <w:tcPr>
                  <w:tcW w:w="245" w:type="pct"/>
                  <w:tcBorders>
                    <w:tl2br w:val="nil"/>
                    <w:tr2bl w:val="nil"/>
                  </w:tcBorders>
                  <w:tcMar>
                    <w:top w:w="0" w:type="dxa"/>
                    <w:left w:w="28" w:type="dxa"/>
                    <w:bottom w:w="0" w:type="dxa"/>
                    <w:right w:w="28" w:type="dxa"/>
                  </w:tcMar>
                  <w:vAlign w:val="center"/>
                </w:tcPr>
                <w:p w14:paraId="1F3111EB">
                  <w:pPr>
                    <w:jc w:val="center"/>
                    <w:rPr>
                      <w:rFonts w:ascii="Times New Roman" w:hAnsi="Times New Roman" w:eastAsia="宋体" w:cs="Times New Roman"/>
                      <w:color w:val="FF0000"/>
                      <w:szCs w:val="21"/>
                    </w:rPr>
                  </w:pPr>
                  <w:r>
                    <w:rPr>
                      <w:rFonts w:ascii="Times New Roman" w:hAnsi="Times New Roman" w:cs="Times New Roman"/>
                      <w:color w:val="FF0000"/>
                      <w:szCs w:val="21"/>
                    </w:rPr>
                    <w:t>0.09375×10</w:t>
                  </w:r>
                  <w:r>
                    <w:rPr>
                      <w:rFonts w:hint="eastAsia" w:ascii="Times New Roman" w:hAnsi="Times New Roman" w:cs="Times New Roman"/>
                      <w:color w:val="FF0000"/>
                      <w:szCs w:val="21"/>
                      <w:vertAlign w:val="superscript"/>
                    </w:rPr>
                    <w:t>-3</w:t>
                  </w:r>
                </w:p>
              </w:tc>
              <w:tc>
                <w:tcPr>
                  <w:tcW w:w="358" w:type="pct"/>
                  <w:tcBorders>
                    <w:tl2br w:val="nil"/>
                    <w:tr2bl w:val="nil"/>
                  </w:tcBorders>
                  <w:tcMar>
                    <w:top w:w="0" w:type="dxa"/>
                    <w:left w:w="28" w:type="dxa"/>
                    <w:bottom w:w="0" w:type="dxa"/>
                    <w:right w:w="28" w:type="dxa"/>
                  </w:tcMar>
                  <w:vAlign w:val="center"/>
                </w:tcPr>
                <w:p w14:paraId="388917D9">
                  <w:pPr>
                    <w:jc w:val="center"/>
                    <w:rPr>
                      <w:rFonts w:ascii="Times New Roman" w:hAnsi="Times New Roman" w:eastAsia="宋体" w:cs="Times New Roman"/>
                      <w:color w:val="FF0000"/>
                      <w:szCs w:val="21"/>
                    </w:rPr>
                  </w:pPr>
                  <w:r>
                    <w:rPr>
                      <w:rFonts w:ascii="Times New Roman" w:hAnsi="Times New Roman" w:cs="Times New Roman"/>
                      <w:color w:val="FF0000"/>
                      <w:szCs w:val="21"/>
                    </w:rPr>
                    <w:t>0.3×10</w:t>
                  </w:r>
                  <w:r>
                    <w:rPr>
                      <w:rFonts w:ascii="Times New Roman" w:hAnsi="Times New Roman" w:cs="Times New Roman"/>
                      <w:color w:val="FF0000"/>
                      <w:szCs w:val="21"/>
                      <w:vertAlign w:val="superscript"/>
                    </w:rPr>
                    <w:t>-3</w:t>
                  </w:r>
                </w:p>
              </w:tc>
              <w:tc>
                <w:tcPr>
                  <w:tcW w:w="134" w:type="pct"/>
                  <w:tcBorders>
                    <w:tl2br w:val="nil"/>
                    <w:tr2bl w:val="nil"/>
                  </w:tcBorders>
                  <w:tcMar>
                    <w:top w:w="0" w:type="dxa"/>
                    <w:left w:w="28" w:type="dxa"/>
                    <w:bottom w:w="0" w:type="dxa"/>
                    <w:right w:w="28" w:type="dxa"/>
                  </w:tcMar>
                  <w:vAlign w:val="center"/>
                </w:tcPr>
                <w:p w14:paraId="7E64B18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08606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jc w:val="center"/>
              </w:trPr>
              <w:tc>
                <w:tcPr>
                  <w:tcW w:w="115" w:type="pct"/>
                  <w:vMerge w:val="continue"/>
                  <w:tcBorders>
                    <w:tl2br w:val="nil"/>
                    <w:tr2bl w:val="nil"/>
                  </w:tcBorders>
                  <w:tcMar>
                    <w:top w:w="0" w:type="dxa"/>
                    <w:left w:w="28" w:type="dxa"/>
                    <w:bottom w:w="0" w:type="dxa"/>
                    <w:right w:w="28" w:type="dxa"/>
                  </w:tcMar>
                  <w:vAlign w:val="center"/>
                </w:tcPr>
                <w:p w14:paraId="5F573AE9">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307BF5CE">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1E91AEAA">
                  <w:pPr>
                    <w:jc w:val="center"/>
                    <w:rPr>
                      <w:rFonts w:ascii="Times New Roman" w:hAnsi="Times New Roman" w:eastAsia="宋体" w:cs="Times New Roman"/>
                      <w:color w:val="000000"/>
                      <w:szCs w:val="21"/>
                    </w:rPr>
                  </w:pPr>
                </w:p>
              </w:tc>
              <w:tc>
                <w:tcPr>
                  <w:tcW w:w="268" w:type="pct"/>
                  <w:tcBorders>
                    <w:tl2br w:val="nil"/>
                    <w:tr2bl w:val="nil"/>
                  </w:tcBorders>
                  <w:tcMar>
                    <w:top w:w="0" w:type="dxa"/>
                    <w:left w:w="28" w:type="dxa"/>
                    <w:bottom w:w="0" w:type="dxa"/>
                    <w:right w:w="28" w:type="dxa"/>
                  </w:tcMar>
                  <w:vAlign w:val="center"/>
                </w:tcPr>
                <w:p w14:paraId="55E66688">
                  <w:pPr>
                    <w:jc w:val="center"/>
                    <w:rPr>
                      <w:rFonts w:ascii="Times New Roman" w:hAnsi="Times New Roman" w:eastAsia="宋体" w:cs="Times New Roman"/>
                      <w:color w:val="000000"/>
                      <w:szCs w:val="21"/>
                    </w:rPr>
                  </w:pPr>
                  <w:r>
                    <w:rPr>
                      <w:rFonts w:hint="eastAsia" w:ascii="Times New Roman" w:hAnsi="Times New Roman" w:cs="Times New Roman"/>
                      <w:szCs w:val="21"/>
                    </w:rPr>
                    <w:t>非甲烷总烃</w:t>
                  </w:r>
                </w:p>
              </w:tc>
              <w:tc>
                <w:tcPr>
                  <w:tcW w:w="180" w:type="pct"/>
                  <w:vMerge w:val="continue"/>
                  <w:tcBorders>
                    <w:tl2br w:val="nil"/>
                    <w:tr2bl w:val="nil"/>
                  </w:tcBorders>
                  <w:tcMar>
                    <w:top w:w="0" w:type="dxa"/>
                    <w:left w:w="28" w:type="dxa"/>
                    <w:bottom w:w="0" w:type="dxa"/>
                    <w:right w:w="28" w:type="dxa"/>
                  </w:tcMar>
                  <w:vAlign w:val="center"/>
                </w:tcPr>
                <w:p w14:paraId="02F840C8">
                  <w:pPr>
                    <w:jc w:val="center"/>
                    <w:rPr>
                      <w:rFonts w:ascii="Times New Roman" w:hAnsi="Times New Roman" w:eastAsia="宋体" w:cs="Times New Roman"/>
                      <w:color w:val="000000"/>
                      <w:szCs w:val="21"/>
                    </w:rPr>
                  </w:pPr>
                </w:p>
              </w:tc>
              <w:tc>
                <w:tcPr>
                  <w:tcW w:w="249" w:type="pct"/>
                  <w:tcBorders>
                    <w:tl2br w:val="nil"/>
                    <w:tr2bl w:val="nil"/>
                  </w:tcBorders>
                  <w:tcMar>
                    <w:top w:w="0" w:type="dxa"/>
                    <w:left w:w="28" w:type="dxa"/>
                    <w:bottom w:w="0" w:type="dxa"/>
                    <w:right w:w="28" w:type="dxa"/>
                  </w:tcMar>
                  <w:vAlign w:val="center"/>
                </w:tcPr>
                <w:p w14:paraId="08D9F62D">
                  <w:pPr>
                    <w:jc w:val="center"/>
                    <w:rPr>
                      <w:rFonts w:ascii="Times New Roman" w:hAnsi="Times New Roman" w:cs="Times New Roman"/>
                      <w:szCs w:val="21"/>
                    </w:rPr>
                  </w:pPr>
                  <w:r>
                    <w:rPr>
                      <w:rFonts w:hint="eastAsia" w:ascii="Times New Roman" w:hAnsi="Times New Roman" w:cs="Times New Roman"/>
                      <w:szCs w:val="21"/>
                    </w:rPr>
                    <w:t>2.079</w:t>
                  </w:r>
                </w:p>
              </w:tc>
              <w:tc>
                <w:tcPr>
                  <w:tcW w:w="292" w:type="pct"/>
                  <w:tcBorders>
                    <w:tl2br w:val="nil"/>
                    <w:tr2bl w:val="nil"/>
                  </w:tcBorders>
                  <w:tcMar>
                    <w:top w:w="0" w:type="dxa"/>
                    <w:left w:w="28" w:type="dxa"/>
                    <w:bottom w:w="0" w:type="dxa"/>
                    <w:right w:w="28" w:type="dxa"/>
                  </w:tcMar>
                  <w:vAlign w:val="center"/>
                </w:tcPr>
                <w:p w14:paraId="2CC5D4B3">
                  <w:pPr>
                    <w:jc w:val="center"/>
                    <w:rPr>
                      <w:rFonts w:ascii="Times New Roman" w:hAnsi="Times New Roman" w:cs="Times New Roman"/>
                      <w:szCs w:val="21"/>
                    </w:rPr>
                  </w:pPr>
                  <w:r>
                    <w:rPr>
                      <w:rFonts w:hint="eastAsia" w:ascii="Times New Roman" w:hAnsi="Times New Roman" w:cs="Times New Roman"/>
                      <w:szCs w:val="21"/>
                    </w:rPr>
                    <w:t>1.44</w:t>
                  </w:r>
                </w:p>
              </w:tc>
              <w:tc>
                <w:tcPr>
                  <w:tcW w:w="302" w:type="pct"/>
                  <w:tcBorders>
                    <w:tl2br w:val="nil"/>
                    <w:tr2bl w:val="nil"/>
                  </w:tcBorders>
                  <w:tcMar>
                    <w:top w:w="0" w:type="dxa"/>
                    <w:left w:w="28" w:type="dxa"/>
                    <w:bottom w:w="0" w:type="dxa"/>
                    <w:right w:w="28" w:type="dxa"/>
                  </w:tcMar>
                  <w:vAlign w:val="center"/>
                </w:tcPr>
                <w:p w14:paraId="3C7D91EA">
                  <w:pPr>
                    <w:jc w:val="center"/>
                    <w:rPr>
                      <w:rFonts w:ascii="Times New Roman" w:hAnsi="Times New Roman" w:cs="Times New Roman"/>
                      <w:szCs w:val="21"/>
                    </w:rPr>
                  </w:pPr>
                  <w:r>
                    <w:rPr>
                      <w:rFonts w:hint="eastAsia" w:ascii="Times New Roman" w:hAnsi="Times New Roman" w:cs="Times New Roman"/>
                      <w:szCs w:val="21"/>
                    </w:rPr>
                    <w:t>65.96</w:t>
                  </w:r>
                </w:p>
              </w:tc>
              <w:tc>
                <w:tcPr>
                  <w:tcW w:w="734" w:type="pct"/>
                  <w:vMerge w:val="continue"/>
                  <w:tcBorders>
                    <w:tl2br w:val="nil"/>
                    <w:tr2bl w:val="nil"/>
                  </w:tcBorders>
                  <w:tcMar>
                    <w:top w:w="0" w:type="dxa"/>
                    <w:left w:w="28" w:type="dxa"/>
                    <w:bottom w:w="0" w:type="dxa"/>
                    <w:right w:w="28" w:type="dxa"/>
                  </w:tcMar>
                  <w:vAlign w:val="center"/>
                </w:tcPr>
                <w:p w14:paraId="38537FC2">
                  <w:pPr>
                    <w:jc w:val="center"/>
                    <w:rPr>
                      <w:rFonts w:ascii="Times New Roman" w:hAnsi="Times New Roman" w:eastAsia="宋体" w:cs="Times New Roman"/>
                      <w:color w:val="000000"/>
                      <w:szCs w:val="21"/>
                    </w:rPr>
                  </w:pPr>
                </w:p>
              </w:tc>
              <w:tc>
                <w:tcPr>
                  <w:tcW w:w="206" w:type="pct"/>
                  <w:vMerge w:val="continue"/>
                  <w:tcBorders>
                    <w:tl2br w:val="nil"/>
                    <w:tr2bl w:val="nil"/>
                  </w:tcBorders>
                  <w:tcMar>
                    <w:top w:w="0" w:type="dxa"/>
                    <w:left w:w="28" w:type="dxa"/>
                    <w:bottom w:w="0" w:type="dxa"/>
                    <w:right w:w="28" w:type="dxa"/>
                  </w:tcMar>
                  <w:vAlign w:val="center"/>
                </w:tcPr>
                <w:p w14:paraId="76590B0B">
                  <w:pPr>
                    <w:jc w:val="center"/>
                    <w:rPr>
                      <w:rFonts w:ascii="Times New Roman" w:hAnsi="Times New Roman" w:eastAsia="宋体" w:cs="Times New Roman"/>
                      <w:color w:val="000000"/>
                      <w:szCs w:val="21"/>
                    </w:rPr>
                  </w:pPr>
                </w:p>
              </w:tc>
              <w:tc>
                <w:tcPr>
                  <w:tcW w:w="264" w:type="pct"/>
                  <w:vMerge w:val="continue"/>
                  <w:tcBorders>
                    <w:tl2br w:val="nil"/>
                    <w:tr2bl w:val="nil"/>
                  </w:tcBorders>
                  <w:tcMar>
                    <w:top w:w="0" w:type="dxa"/>
                    <w:left w:w="28" w:type="dxa"/>
                    <w:bottom w:w="0" w:type="dxa"/>
                    <w:right w:w="28" w:type="dxa"/>
                  </w:tcMar>
                  <w:vAlign w:val="center"/>
                </w:tcPr>
                <w:p w14:paraId="51098F78">
                  <w:pPr>
                    <w:jc w:val="center"/>
                    <w:rPr>
                      <w:rFonts w:ascii="Times New Roman" w:hAnsi="Times New Roman" w:eastAsia="宋体" w:cs="Times New Roman"/>
                      <w:color w:val="000000"/>
                      <w:szCs w:val="21"/>
                    </w:rPr>
                  </w:pPr>
                </w:p>
              </w:tc>
              <w:tc>
                <w:tcPr>
                  <w:tcW w:w="278" w:type="pct"/>
                  <w:vMerge w:val="continue"/>
                  <w:tcBorders>
                    <w:tl2br w:val="nil"/>
                    <w:tr2bl w:val="nil"/>
                  </w:tcBorders>
                  <w:tcMar>
                    <w:top w:w="0" w:type="dxa"/>
                    <w:left w:w="28" w:type="dxa"/>
                    <w:bottom w:w="0" w:type="dxa"/>
                    <w:right w:w="28" w:type="dxa"/>
                  </w:tcMar>
                  <w:vAlign w:val="center"/>
                </w:tcPr>
                <w:p w14:paraId="76D1CCC7">
                  <w:pPr>
                    <w:jc w:val="center"/>
                    <w:rPr>
                      <w:rFonts w:ascii="Times New Roman" w:hAnsi="Times New Roman" w:eastAsia="宋体" w:cs="Times New Roman"/>
                      <w:color w:val="000000"/>
                      <w:szCs w:val="21"/>
                    </w:rPr>
                  </w:pPr>
                </w:p>
              </w:tc>
              <w:tc>
                <w:tcPr>
                  <w:tcW w:w="196" w:type="pct"/>
                  <w:vMerge w:val="continue"/>
                  <w:tcBorders>
                    <w:tl2br w:val="nil"/>
                    <w:tr2bl w:val="nil"/>
                  </w:tcBorders>
                  <w:tcMar>
                    <w:top w:w="0" w:type="dxa"/>
                    <w:left w:w="28" w:type="dxa"/>
                    <w:bottom w:w="0" w:type="dxa"/>
                    <w:right w:w="28" w:type="dxa"/>
                  </w:tcMar>
                  <w:vAlign w:val="center"/>
                </w:tcPr>
                <w:p w14:paraId="69A9D47E">
                  <w:pPr>
                    <w:jc w:val="center"/>
                    <w:rPr>
                      <w:rFonts w:ascii="Times New Roman" w:hAnsi="Times New Roman" w:eastAsia="宋体" w:cs="Times New Roman"/>
                      <w:color w:val="000000"/>
                      <w:szCs w:val="21"/>
                    </w:rPr>
                  </w:pPr>
                </w:p>
              </w:tc>
              <w:tc>
                <w:tcPr>
                  <w:tcW w:w="234" w:type="pct"/>
                  <w:tcBorders>
                    <w:tl2br w:val="nil"/>
                    <w:tr2bl w:val="nil"/>
                  </w:tcBorders>
                  <w:tcMar>
                    <w:top w:w="0" w:type="dxa"/>
                    <w:left w:w="28" w:type="dxa"/>
                    <w:bottom w:w="0" w:type="dxa"/>
                    <w:right w:w="28" w:type="dxa"/>
                  </w:tcMar>
                  <w:vAlign w:val="center"/>
                </w:tcPr>
                <w:p w14:paraId="3349DCB0">
                  <w:pPr>
                    <w:jc w:val="center"/>
                    <w:rPr>
                      <w:rFonts w:ascii="Times New Roman" w:hAnsi="Times New Roman" w:cs="Times New Roman"/>
                      <w:szCs w:val="21"/>
                    </w:rPr>
                  </w:pPr>
                  <w:r>
                    <w:rPr>
                      <w:rFonts w:hint="eastAsia" w:ascii="Times New Roman" w:hAnsi="Times New Roman" w:cs="Times New Roman"/>
                      <w:szCs w:val="21"/>
                    </w:rPr>
                    <w:t>0.02</w:t>
                  </w:r>
                </w:p>
              </w:tc>
              <w:tc>
                <w:tcPr>
                  <w:tcW w:w="225" w:type="pct"/>
                  <w:tcBorders>
                    <w:tl2br w:val="nil"/>
                    <w:tr2bl w:val="nil"/>
                  </w:tcBorders>
                  <w:tcMar>
                    <w:top w:w="0" w:type="dxa"/>
                    <w:left w:w="28" w:type="dxa"/>
                    <w:bottom w:w="0" w:type="dxa"/>
                    <w:right w:w="28" w:type="dxa"/>
                  </w:tcMar>
                  <w:vAlign w:val="center"/>
                </w:tcPr>
                <w:p w14:paraId="33A40988">
                  <w:pPr>
                    <w:jc w:val="center"/>
                    <w:rPr>
                      <w:rFonts w:ascii="Times New Roman" w:hAnsi="Times New Roman" w:cs="Times New Roman"/>
                      <w:szCs w:val="21"/>
                    </w:rPr>
                  </w:pPr>
                  <w:r>
                    <w:rPr>
                      <w:rFonts w:hint="eastAsia" w:ascii="Times New Roman" w:hAnsi="Times New Roman" w:cs="Times New Roman"/>
                      <w:szCs w:val="21"/>
                    </w:rPr>
                    <w:t>0.014</w:t>
                  </w:r>
                </w:p>
              </w:tc>
              <w:tc>
                <w:tcPr>
                  <w:tcW w:w="302" w:type="pct"/>
                  <w:tcBorders>
                    <w:tl2br w:val="nil"/>
                    <w:tr2bl w:val="nil"/>
                  </w:tcBorders>
                  <w:tcMar>
                    <w:top w:w="0" w:type="dxa"/>
                    <w:left w:w="28" w:type="dxa"/>
                    <w:bottom w:w="0" w:type="dxa"/>
                    <w:right w:w="28" w:type="dxa"/>
                  </w:tcMar>
                  <w:vAlign w:val="center"/>
                </w:tcPr>
                <w:p w14:paraId="370E65B9">
                  <w:pPr>
                    <w:jc w:val="center"/>
                    <w:rPr>
                      <w:rFonts w:ascii="Times New Roman" w:hAnsi="Times New Roman" w:cs="Times New Roman"/>
                      <w:szCs w:val="21"/>
                    </w:rPr>
                  </w:pPr>
                  <w:r>
                    <w:rPr>
                      <w:rFonts w:hint="eastAsia" w:ascii="Times New Roman" w:hAnsi="Times New Roman" w:cs="Times New Roman"/>
                      <w:szCs w:val="21"/>
                    </w:rPr>
                    <w:t>0.641</w:t>
                  </w:r>
                </w:p>
              </w:tc>
              <w:tc>
                <w:tcPr>
                  <w:tcW w:w="201" w:type="pct"/>
                  <w:vMerge w:val="continue"/>
                  <w:tcBorders>
                    <w:tl2br w:val="nil"/>
                    <w:tr2bl w:val="nil"/>
                  </w:tcBorders>
                  <w:tcMar>
                    <w:top w:w="0" w:type="dxa"/>
                    <w:left w:w="28" w:type="dxa"/>
                    <w:bottom w:w="0" w:type="dxa"/>
                    <w:right w:w="28" w:type="dxa"/>
                  </w:tcMar>
                  <w:vAlign w:val="center"/>
                </w:tcPr>
                <w:p w14:paraId="3E613057">
                  <w:pPr>
                    <w:jc w:val="center"/>
                    <w:rPr>
                      <w:rFonts w:ascii="Times New Roman" w:hAnsi="Times New Roman" w:eastAsia="宋体" w:cs="Times New Roman"/>
                      <w:color w:val="000000"/>
                      <w:szCs w:val="21"/>
                    </w:rPr>
                  </w:pPr>
                </w:p>
              </w:tc>
              <w:tc>
                <w:tcPr>
                  <w:tcW w:w="245" w:type="pct"/>
                  <w:tcBorders>
                    <w:tl2br w:val="nil"/>
                    <w:tr2bl w:val="nil"/>
                  </w:tcBorders>
                  <w:tcMar>
                    <w:top w:w="0" w:type="dxa"/>
                    <w:left w:w="28" w:type="dxa"/>
                    <w:bottom w:w="0" w:type="dxa"/>
                    <w:right w:w="28" w:type="dxa"/>
                  </w:tcMar>
                  <w:vAlign w:val="center"/>
                </w:tcPr>
                <w:p w14:paraId="3188540C">
                  <w:pPr>
                    <w:jc w:val="center"/>
                    <w:rPr>
                      <w:rFonts w:ascii="Times New Roman" w:hAnsi="Times New Roman" w:eastAsia="宋体" w:cs="Times New Roman"/>
                      <w:color w:val="FF0000"/>
                      <w:szCs w:val="21"/>
                    </w:rPr>
                  </w:pPr>
                  <w:r>
                    <w:rPr>
                      <w:rFonts w:hint="eastAsia" w:ascii="Times New Roman" w:hAnsi="Times New Roman" w:cs="Times New Roman"/>
                      <w:color w:val="FF0000"/>
                      <w:szCs w:val="21"/>
                    </w:rPr>
                    <w:t>12</w:t>
                  </w:r>
                </w:p>
              </w:tc>
              <w:tc>
                <w:tcPr>
                  <w:tcW w:w="358" w:type="pct"/>
                  <w:tcBorders>
                    <w:tl2br w:val="nil"/>
                    <w:tr2bl w:val="nil"/>
                  </w:tcBorders>
                  <w:tcMar>
                    <w:top w:w="0" w:type="dxa"/>
                    <w:left w:w="28" w:type="dxa"/>
                    <w:bottom w:w="0" w:type="dxa"/>
                    <w:right w:w="28" w:type="dxa"/>
                  </w:tcMar>
                  <w:vAlign w:val="center"/>
                </w:tcPr>
                <w:p w14:paraId="560D0D0D">
                  <w:pPr>
                    <w:jc w:val="center"/>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120</w:t>
                  </w:r>
                </w:p>
              </w:tc>
              <w:tc>
                <w:tcPr>
                  <w:tcW w:w="134" w:type="pct"/>
                  <w:tcBorders>
                    <w:tl2br w:val="nil"/>
                    <w:tr2bl w:val="nil"/>
                  </w:tcBorders>
                  <w:tcMar>
                    <w:top w:w="0" w:type="dxa"/>
                    <w:left w:w="28" w:type="dxa"/>
                    <w:bottom w:w="0" w:type="dxa"/>
                    <w:right w:w="28" w:type="dxa"/>
                  </w:tcMar>
                  <w:vAlign w:val="center"/>
                </w:tcPr>
                <w:p w14:paraId="4DBA8A8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39D1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 w:type="pct"/>
                  <w:vMerge w:val="continue"/>
                  <w:tcBorders>
                    <w:tl2br w:val="nil"/>
                    <w:tr2bl w:val="nil"/>
                  </w:tcBorders>
                  <w:tcMar>
                    <w:top w:w="0" w:type="dxa"/>
                    <w:left w:w="28" w:type="dxa"/>
                    <w:bottom w:w="0" w:type="dxa"/>
                    <w:right w:w="28" w:type="dxa"/>
                  </w:tcMar>
                  <w:vAlign w:val="center"/>
                </w:tcPr>
                <w:p w14:paraId="767A07B8">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428704CC">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50CFCFC3">
                  <w:pPr>
                    <w:jc w:val="center"/>
                    <w:rPr>
                      <w:rFonts w:ascii="Times New Roman" w:hAnsi="Times New Roman" w:eastAsia="宋体" w:cs="Times New Roman"/>
                      <w:color w:val="000000"/>
                      <w:szCs w:val="21"/>
                    </w:rPr>
                  </w:pPr>
                </w:p>
              </w:tc>
              <w:tc>
                <w:tcPr>
                  <w:tcW w:w="268" w:type="pct"/>
                  <w:tcBorders>
                    <w:tl2br w:val="nil"/>
                    <w:tr2bl w:val="nil"/>
                  </w:tcBorders>
                  <w:tcMar>
                    <w:top w:w="0" w:type="dxa"/>
                    <w:left w:w="28" w:type="dxa"/>
                    <w:bottom w:w="0" w:type="dxa"/>
                    <w:right w:w="28" w:type="dxa"/>
                  </w:tcMar>
                  <w:vAlign w:val="center"/>
                </w:tcPr>
                <w:p w14:paraId="4F625AE2">
                  <w:pPr>
                    <w:jc w:val="center"/>
                    <w:rPr>
                      <w:rFonts w:ascii="Times New Roman" w:hAnsi="Times New Roman" w:cs="Times New Roman"/>
                      <w:szCs w:val="21"/>
                    </w:rPr>
                  </w:pPr>
                  <w:r>
                    <w:rPr>
                      <w:rFonts w:hint="eastAsia" w:ascii="Times New Roman" w:hAnsi="Times New Roman" w:cs="Times New Roman"/>
                      <w:szCs w:val="21"/>
                    </w:rPr>
                    <w:t>沥青烟</w:t>
                  </w:r>
                </w:p>
              </w:tc>
              <w:tc>
                <w:tcPr>
                  <w:tcW w:w="180" w:type="pct"/>
                  <w:vMerge w:val="restart"/>
                  <w:tcBorders>
                    <w:tl2br w:val="nil"/>
                    <w:tr2bl w:val="nil"/>
                  </w:tcBorders>
                  <w:tcMar>
                    <w:top w:w="0" w:type="dxa"/>
                    <w:left w:w="28" w:type="dxa"/>
                    <w:bottom w:w="0" w:type="dxa"/>
                    <w:right w:w="28" w:type="dxa"/>
                  </w:tcMar>
                  <w:vAlign w:val="center"/>
                </w:tcPr>
                <w:p w14:paraId="0B45714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无组织</w:t>
                  </w:r>
                </w:p>
              </w:tc>
              <w:tc>
                <w:tcPr>
                  <w:tcW w:w="249" w:type="pct"/>
                  <w:tcBorders>
                    <w:tl2br w:val="nil"/>
                    <w:tr2bl w:val="nil"/>
                  </w:tcBorders>
                  <w:tcMar>
                    <w:top w:w="0" w:type="dxa"/>
                    <w:left w:w="28" w:type="dxa"/>
                    <w:bottom w:w="0" w:type="dxa"/>
                    <w:right w:w="28" w:type="dxa"/>
                  </w:tcMar>
                  <w:vAlign w:val="center"/>
                </w:tcPr>
                <w:p w14:paraId="0217C78E">
                  <w:pPr>
                    <w:jc w:val="center"/>
                    <w:rPr>
                      <w:rFonts w:ascii="Times New Roman" w:hAnsi="Times New Roman" w:cs="Times New Roman"/>
                      <w:szCs w:val="21"/>
                    </w:rPr>
                  </w:pPr>
                  <w:r>
                    <w:rPr>
                      <w:rFonts w:hint="eastAsia" w:ascii="Times New Roman" w:hAnsi="Times New Roman" w:cs="Times New Roman"/>
                      <w:szCs w:val="21"/>
                    </w:rPr>
                    <w:t>0.00422</w:t>
                  </w:r>
                </w:p>
              </w:tc>
              <w:tc>
                <w:tcPr>
                  <w:tcW w:w="292" w:type="pct"/>
                  <w:tcBorders>
                    <w:tl2br w:val="nil"/>
                    <w:tr2bl w:val="nil"/>
                  </w:tcBorders>
                  <w:tcMar>
                    <w:top w:w="0" w:type="dxa"/>
                    <w:left w:w="28" w:type="dxa"/>
                    <w:bottom w:w="0" w:type="dxa"/>
                    <w:right w:w="28" w:type="dxa"/>
                  </w:tcMar>
                  <w:vAlign w:val="center"/>
                </w:tcPr>
                <w:p w14:paraId="654F3161">
                  <w:pPr>
                    <w:jc w:val="center"/>
                    <w:rPr>
                      <w:rFonts w:ascii="Times New Roman" w:hAnsi="Times New Roman" w:cs="Times New Roman"/>
                      <w:szCs w:val="21"/>
                    </w:rPr>
                  </w:pPr>
                  <w:r>
                    <w:rPr>
                      <w:rFonts w:hint="eastAsia" w:ascii="Times New Roman" w:hAnsi="Times New Roman" w:cs="Times New Roman"/>
                      <w:szCs w:val="21"/>
                    </w:rPr>
                    <w:t>0.0029</w:t>
                  </w:r>
                </w:p>
              </w:tc>
              <w:tc>
                <w:tcPr>
                  <w:tcW w:w="302" w:type="pct"/>
                  <w:tcBorders>
                    <w:tl2br w:val="nil"/>
                    <w:tr2bl w:val="nil"/>
                  </w:tcBorders>
                  <w:tcMar>
                    <w:top w:w="0" w:type="dxa"/>
                    <w:left w:w="28" w:type="dxa"/>
                    <w:bottom w:w="0" w:type="dxa"/>
                    <w:right w:w="28" w:type="dxa"/>
                  </w:tcMar>
                  <w:vAlign w:val="center"/>
                </w:tcPr>
                <w:p w14:paraId="2A26492F">
                  <w:pPr>
                    <w:jc w:val="center"/>
                    <w:rPr>
                      <w:rFonts w:ascii="Times New Roman" w:hAnsi="Times New Roman" w:cs="Times New Roman"/>
                      <w:szCs w:val="21"/>
                    </w:rPr>
                  </w:pPr>
                  <w:r>
                    <w:rPr>
                      <w:rFonts w:hint="eastAsia" w:ascii="Times New Roman" w:hAnsi="Times New Roman" w:cs="Times New Roman"/>
                      <w:szCs w:val="21"/>
                    </w:rPr>
                    <w:t>/</w:t>
                  </w:r>
                </w:p>
              </w:tc>
              <w:tc>
                <w:tcPr>
                  <w:tcW w:w="734" w:type="pct"/>
                  <w:vMerge w:val="restart"/>
                  <w:tcBorders>
                    <w:tl2br w:val="nil"/>
                    <w:tr2bl w:val="nil"/>
                  </w:tcBorders>
                  <w:tcMar>
                    <w:top w:w="0" w:type="dxa"/>
                    <w:left w:w="28" w:type="dxa"/>
                    <w:bottom w:w="0" w:type="dxa"/>
                    <w:right w:w="28" w:type="dxa"/>
                  </w:tcMar>
                  <w:vAlign w:val="center"/>
                </w:tcPr>
                <w:p w14:paraId="19D24C9E">
                  <w:pPr>
                    <w:jc w:val="center"/>
                    <w:rPr>
                      <w:rFonts w:ascii="Times New Roman" w:hAnsi="Times New Roman" w:eastAsia="宋体" w:cs="Times New Roman"/>
                      <w:color w:val="000000"/>
                      <w:szCs w:val="21"/>
                    </w:rPr>
                  </w:pPr>
                  <w:r>
                    <w:rPr>
                      <w:rFonts w:hint="eastAsia" w:ascii="Times New Roman" w:hAnsi="Times New Roman" w:cs="Times New Roman"/>
                      <w:szCs w:val="21"/>
                    </w:rPr>
                    <w:t>未收集呈无组织排放</w:t>
                  </w:r>
                </w:p>
              </w:tc>
              <w:tc>
                <w:tcPr>
                  <w:tcW w:w="206" w:type="pct"/>
                  <w:tcBorders>
                    <w:tl2br w:val="nil"/>
                    <w:tr2bl w:val="nil"/>
                  </w:tcBorders>
                  <w:tcMar>
                    <w:top w:w="0" w:type="dxa"/>
                    <w:left w:w="28" w:type="dxa"/>
                    <w:bottom w:w="0" w:type="dxa"/>
                    <w:right w:w="28" w:type="dxa"/>
                  </w:tcMar>
                  <w:vAlign w:val="center"/>
                </w:tcPr>
                <w:p w14:paraId="33D21A3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64" w:type="pct"/>
                  <w:tcBorders>
                    <w:tl2br w:val="nil"/>
                    <w:tr2bl w:val="nil"/>
                  </w:tcBorders>
                  <w:tcMar>
                    <w:top w:w="0" w:type="dxa"/>
                    <w:left w:w="28" w:type="dxa"/>
                    <w:bottom w:w="0" w:type="dxa"/>
                    <w:right w:w="28" w:type="dxa"/>
                  </w:tcMar>
                  <w:vAlign w:val="center"/>
                </w:tcPr>
                <w:p w14:paraId="1E45BC5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78" w:type="pct"/>
                  <w:tcBorders>
                    <w:tl2br w:val="nil"/>
                    <w:tr2bl w:val="nil"/>
                  </w:tcBorders>
                  <w:tcMar>
                    <w:top w:w="0" w:type="dxa"/>
                    <w:left w:w="28" w:type="dxa"/>
                    <w:bottom w:w="0" w:type="dxa"/>
                    <w:right w:w="28" w:type="dxa"/>
                  </w:tcMar>
                  <w:vAlign w:val="center"/>
                </w:tcPr>
                <w:p w14:paraId="74579DE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96" w:type="pct"/>
                  <w:tcBorders>
                    <w:tl2br w:val="nil"/>
                    <w:tr2bl w:val="nil"/>
                  </w:tcBorders>
                  <w:tcMar>
                    <w:top w:w="0" w:type="dxa"/>
                    <w:left w:w="28" w:type="dxa"/>
                    <w:bottom w:w="0" w:type="dxa"/>
                    <w:right w:w="28" w:type="dxa"/>
                  </w:tcMar>
                  <w:vAlign w:val="center"/>
                </w:tcPr>
                <w:p w14:paraId="6050FB75">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34" w:type="pct"/>
                  <w:tcBorders>
                    <w:tl2br w:val="nil"/>
                    <w:tr2bl w:val="nil"/>
                  </w:tcBorders>
                  <w:tcMar>
                    <w:top w:w="0" w:type="dxa"/>
                    <w:left w:w="28" w:type="dxa"/>
                    <w:bottom w:w="0" w:type="dxa"/>
                    <w:right w:w="28" w:type="dxa"/>
                  </w:tcMar>
                  <w:vAlign w:val="center"/>
                </w:tcPr>
                <w:p w14:paraId="1DCBAA39">
                  <w:pPr>
                    <w:jc w:val="center"/>
                    <w:rPr>
                      <w:rFonts w:ascii="Times New Roman" w:hAnsi="Times New Roman" w:cs="Times New Roman"/>
                      <w:szCs w:val="21"/>
                    </w:rPr>
                  </w:pPr>
                  <w:r>
                    <w:rPr>
                      <w:rFonts w:hint="eastAsia" w:ascii="Times New Roman" w:hAnsi="Times New Roman" w:cs="Times New Roman"/>
                      <w:szCs w:val="21"/>
                    </w:rPr>
                    <w:t>0.00422</w:t>
                  </w:r>
                </w:p>
              </w:tc>
              <w:tc>
                <w:tcPr>
                  <w:tcW w:w="225" w:type="pct"/>
                  <w:tcBorders>
                    <w:tl2br w:val="nil"/>
                    <w:tr2bl w:val="nil"/>
                  </w:tcBorders>
                  <w:tcMar>
                    <w:top w:w="0" w:type="dxa"/>
                    <w:left w:w="28" w:type="dxa"/>
                    <w:bottom w:w="0" w:type="dxa"/>
                    <w:right w:w="28" w:type="dxa"/>
                  </w:tcMar>
                  <w:vAlign w:val="center"/>
                </w:tcPr>
                <w:p w14:paraId="294E03B5">
                  <w:pPr>
                    <w:jc w:val="center"/>
                    <w:rPr>
                      <w:rFonts w:ascii="Times New Roman" w:hAnsi="Times New Roman" w:cs="Times New Roman"/>
                      <w:szCs w:val="21"/>
                    </w:rPr>
                  </w:pPr>
                  <w:r>
                    <w:rPr>
                      <w:rFonts w:hint="eastAsia" w:ascii="Times New Roman" w:hAnsi="Times New Roman" w:cs="Times New Roman"/>
                      <w:szCs w:val="21"/>
                    </w:rPr>
                    <w:t>0.0029</w:t>
                  </w:r>
                </w:p>
              </w:tc>
              <w:tc>
                <w:tcPr>
                  <w:tcW w:w="302" w:type="pct"/>
                  <w:tcBorders>
                    <w:tl2br w:val="nil"/>
                    <w:tr2bl w:val="nil"/>
                  </w:tcBorders>
                  <w:tcMar>
                    <w:top w:w="0" w:type="dxa"/>
                    <w:left w:w="28" w:type="dxa"/>
                    <w:bottom w:w="0" w:type="dxa"/>
                    <w:right w:w="28" w:type="dxa"/>
                  </w:tcMar>
                  <w:vAlign w:val="center"/>
                </w:tcPr>
                <w:p w14:paraId="30F0F6AB">
                  <w:pPr>
                    <w:jc w:val="center"/>
                    <w:rPr>
                      <w:rFonts w:ascii="Times New Roman" w:hAnsi="Times New Roman" w:cs="Times New Roman"/>
                      <w:szCs w:val="21"/>
                    </w:rPr>
                  </w:pPr>
                  <w:r>
                    <w:rPr>
                      <w:rFonts w:hint="eastAsia" w:ascii="Times New Roman" w:hAnsi="Times New Roman" w:cs="Times New Roman"/>
                      <w:szCs w:val="21"/>
                    </w:rPr>
                    <w:t>/</w:t>
                  </w:r>
                </w:p>
              </w:tc>
              <w:tc>
                <w:tcPr>
                  <w:tcW w:w="201" w:type="pct"/>
                  <w:vMerge w:val="continue"/>
                  <w:tcBorders>
                    <w:tl2br w:val="nil"/>
                    <w:tr2bl w:val="nil"/>
                  </w:tcBorders>
                  <w:tcMar>
                    <w:top w:w="0" w:type="dxa"/>
                    <w:left w:w="28" w:type="dxa"/>
                    <w:bottom w:w="0" w:type="dxa"/>
                    <w:right w:w="28" w:type="dxa"/>
                  </w:tcMar>
                  <w:vAlign w:val="center"/>
                </w:tcPr>
                <w:p w14:paraId="2733D5A4">
                  <w:pPr>
                    <w:jc w:val="center"/>
                    <w:rPr>
                      <w:rFonts w:ascii="Times New Roman" w:hAnsi="Times New Roman" w:eastAsia="宋体" w:cs="Times New Roman"/>
                      <w:color w:val="000000"/>
                      <w:szCs w:val="21"/>
                    </w:rPr>
                  </w:pPr>
                </w:p>
              </w:tc>
              <w:tc>
                <w:tcPr>
                  <w:tcW w:w="604" w:type="pct"/>
                  <w:gridSpan w:val="2"/>
                  <w:tcBorders>
                    <w:tl2br w:val="nil"/>
                    <w:tr2bl w:val="nil"/>
                  </w:tcBorders>
                  <w:tcMar>
                    <w:top w:w="0" w:type="dxa"/>
                    <w:left w:w="28" w:type="dxa"/>
                    <w:bottom w:w="0" w:type="dxa"/>
                    <w:right w:w="28" w:type="dxa"/>
                  </w:tcMar>
                  <w:vAlign w:val="center"/>
                </w:tcPr>
                <w:p w14:paraId="0A97AE0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生产设备不得有明显的无组 </w:t>
                  </w:r>
                </w:p>
                <w:p w14:paraId="77FCE86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织排放存在</w:t>
                  </w:r>
                </w:p>
              </w:tc>
              <w:tc>
                <w:tcPr>
                  <w:tcW w:w="134" w:type="pct"/>
                  <w:tcBorders>
                    <w:tl2br w:val="nil"/>
                    <w:tr2bl w:val="nil"/>
                  </w:tcBorders>
                  <w:tcMar>
                    <w:top w:w="0" w:type="dxa"/>
                    <w:left w:w="28" w:type="dxa"/>
                    <w:bottom w:w="0" w:type="dxa"/>
                    <w:right w:w="28" w:type="dxa"/>
                  </w:tcMar>
                  <w:vAlign w:val="center"/>
                </w:tcPr>
                <w:p w14:paraId="3C6CED1F">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r>
            <w:tr w14:paraId="0A16D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 w:type="pct"/>
                  <w:vMerge w:val="continue"/>
                  <w:tcBorders>
                    <w:tl2br w:val="nil"/>
                    <w:tr2bl w:val="nil"/>
                  </w:tcBorders>
                  <w:tcMar>
                    <w:top w:w="0" w:type="dxa"/>
                    <w:left w:w="28" w:type="dxa"/>
                    <w:bottom w:w="0" w:type="dxa"/>
                    <w:right w:w="28" w:type="dxa"/>
                  </w:tcMar>
                  <w:vAlign w:val="center"/>
                </w:tcPr>
                <w:p w14:paraId="35C85185">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60EC245F">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5E3C2E2C">
                  <w:pPr>
                    <w:jc w:val="center"/>
                    <w:rPr>
                      <w:rFonts w:ascii="Times New Roman" w:hAnsi="Times New Roman" w:eastAsia="宋体" w:cs="Times New Roman"/>
                      <w:color w:val="000000"/>
                      <w:szCs w:val="21"/>
                    </w:rPr>
                  </w:pPr>
                </w:p>
              </w:tc>
              <w:tc>
                <w:tcPr>
                  <w:tcW w:w="268" w:type="pct"/>
                  <w:tcBorders>
                    <w:tl2br w:val="nil"/>
                    <w:tr2bl w:val="nil"/>
                  </w:tcBorders>
                  <w:tcMar>
                    <w:top w:w="0" w:type="dxa"/>
                    <w:left w:w="28" w:type="dxa"/>
                    <w:bottom w:w="0" w:type="dxa"/>
                    <w:right w:w="28" w:type="dxa"/>
                  </w:tcMar>
                  <w:vAlign w:val="center"/>
                </w:tcPr>
                <w:p w14:paraId="45C429C6">
                  <w:pPr>
                    <w:jc w:val="center"/>
                    <w:rPr>
                      <w:rFonts w:ascii="Times New Roman" w:hAnsi="Times New Roman" w:cs="Times New Roman"/>
                      <w:szCs w:val="21"/>
                    </w:rPr>
                  </w:pPr>
                  <w:r>
                    <w:rPr>
                      <w:rFonts w:ascii="Times New Roman" w:hAnsi="Times New Roman" w:cs="Times New Roman"/>
                      <w:szCs w:val="21"/>
                    </w:rPr>
                    <w:t>苯并[a]芘</w:t>
                  </w:r>
                </w:p>
              </w:tc>
              <w:tc>
                <w:tcPr>
                  <w:tcW w:w="180" w:type="pct"/>
                  <w:vMerge w:val="continue"/>
                  <w:tcBorders>
                    <w:tl2br w:val="nil"/>
                    <w:tr2bl w:val="nil"/>
                  </w:tcBorders>
                  <w:tcMar>
                    <w:top w:w="0" w:type="dxa"/>
                    <w:left w:w="28" w:type="dxa"/>
                    <w:bottom w:w="0" w:type="dxa"/>
                    <w:right w:w="28" w:type="dxa"/>
                  </w:tcMar>
                  <w:vAlign w:val="center"/>
                </w:tcPr>
                <w:p w14:paraId="118357F7">
                  <w:pPr>
                    <w:jc w:val="center"/>
                    <w:rPr>
                      <w:rFonts w:ascii="Times New Roman" w:hAnsi="Times New Roman" w:eastAsia="宋体" w:cs="Times New Roman"/>
                      <w:color w:val="000000"/>
                      <w:szCs w:val="21"/>
                    </w:rPr>
                  </w:pPr>
                </w:p>
              </w:tc>
              <w:tc>
                <w:tcPr>
                  <w:tcW w:w="249" w:type="pct"/>
                  <w:tcBorders>
                    <w:tl2br w:val="nil"/>
                    <w:tr2bl w:val="nil"/>
                  </w:tcBorders>
                  <w:tcMar>
                    <w:top w:w="0" w:type="dxa"/>
                    <w:left w:w="28" w:type="dxa"/>
                    <w:bottom w:w="0" w:type="dxa"/>
                    <w:right w:w="28" w:type="dxa"/>
                  </w:tcMar>
                  <w:vAlign w:val="center"/>
                </w:tcPr>
                <w:p w14:paraId="76D259B2">
                  <w:pPr>
                    <w:jc w:val="center"/>
                    <w:rPr>
                      <w:rFonts w:ascii="Times New Roman" w:hAnsi="Times New Roman" w:cs="Times New Roman"/>
                      <w:szCs w:val="21"/>
                    </w:rPr>
                  </w:pPr>
                  <w:r>
                    <w:rPr>
                      <w:rFonts w:hint="eastAsia" w:ascii="Times New Roman" w:hAnsi="Times New Roman" w:cs="Times New Roman"/>
                      <w:szCs w:val="21"/>
                    </w:rPr>
                    <w:t>0.00000063</w:t>
                  </w:r>
                </w:p>
              </w:tc>
              <w:tc>
                <w:tcPr>
                  <w:tcW w:w="292" w:type="pct"/>
                  <w:tcBorders>
                    <w:tl2br w:val="nil"/>
                    <w:tr2bl w:val="nil"/>
                  </w:tcBorders>
                  <w:tcMar>
                    <w:top w:w="0" w:type="dxa"/>
                    <w:left w:w="28" w:type="dxa"/>
                    <w:bottom w:w="0" w:type="dxa"/>
                    <w:right w:w="28" w:type="dxa"/>
                  </w:tcMar>
                  <w:vAlign w:val="center"/>
                </w:tcPr>
                <w:p w14:paraId="7EC7FFFD">
                  <w:pPr>
                    <w:jc w:val="center"/>
                    <w:rPr>
                      <w:rFonts w:ascii="Times New Roman" w:hAnsi="Times New Roman" w:cs="Times New Roman"/>
                      <w:szCs w:val="21"/>
                    </w:rPr>
                  </w:pPr>
                  <w:r>
                    <w:rPr>
                      <w:rFonts w:hint="eastAsia" w:ascii="Times New Roman" w:hAnsi="Times New Roman" w:cs="Times New Roman"/>
                      <w:szCs w:val="21"/>
                    </w:rPr>
                    <w:t>0.00000044</w:t>
                  </w:r>
                </w:p>
              </w:tc>
              <w:tc>
                <w:tcPr>
                  <w:tcW w:w="302" w:type="pct"/>
                  <w:tcBorders>
                    <w:tl2br w:val="nil"/>
                    <w:tr2bl w:val="nil"/>
                  </w:tcBorders>
                  <w:tcMar>
                    <w:top w:w="0" w:type="dxa"/>
                    <w:left w:w="28" w:type="dxa"/>
                    <w:bottom w:w="0" w:type="dxa"/>
                    <w:right w:w="28" w:type="dxa"/>
                  </w:tcMar>
                  <w:vAlign w:val="center"/>
                </w:tcPr>
                <w:p w14:paraId="59B496B4">
                  <w:pPr>
                    <w:jc w:val="center"/>
                    <w:rPr>
                      <w:rFonts w:ascii="Times New Roman" w:hAnsi="Times New Roman" w:cs="Times New Roman"/>
                      <w:szCs w:val="21"/>
                    </w:rPr>
                  </w:pPr>
                  <w:r>
                    <w:rPr>
                      <w:rFonts w:hint="eastAsia" w:ascii="Times New Roman" w:hAnsi="Times New Roman" w:cs="Times New Roman"/>
                      <w:szCs w:val="21"/>
                    </w:rPr>
                    <w:t>/</w:t>
                  </w:r>
                </w:p>
              </w:tc>
              <w:tc>
                <w:tcPr>
                  <w:tcW w:w="734" w:type="pct"/>
                  <w:vMerge w:val="continue"/>
                  <w:tcBorders>
                    <w:tl2br w:val="nil"/>
                    <w:tr2bl w:val="nil"/>
                  </w:tcBorders>
                  <w:tcMar>
                    <w:top w:w="0" w:type="dxa"/>
                    <w:left w:w="28" w:type="dxa"/>
                    <w:bottom w:w="0" w:type="dxa"/>
                    <w:right w:w="28" w:type="dxa"/>
                  </w:tcMar>
                  <w:vAlign w:val="center"/>
                </w:tcPr>
                <w:p w14:paraId="000652BC">
                  <w:pPr>
                    <w:jc w:val="center"/>
                    <w:rPr>
                      <w:rFonts w:ascii="Times New Roman" w:hAnsi="Times New Roman" w:eastAsia="宋体" w:cs="Times New Roman"/>
                      <w:color w:val="000000"/>
                      <w:szCs w:val="21"/>
                    </w:rPr>
                  </w:pPr>
                </w:p>
              </w:tc>
              <w:tc>
                <w:tcPr>
                  <w:tcW w:w="206" w:type="pct"/>
                  <w:tcBorders>
                    <w:tl2br w:val="nil"/>
                    <w:tr2bl w:val="nil"/>
                  </w:tcBorders>
                  <w:tcMar>
                    <w:top w:w="0" w:type="dxa"/>
                    <w:left w:w="28" w:type="dxa"/>
                    <w:bottom w:w="0" w:type="dxa"/>
                    <w:right w:w="28" w:type="dxa"/>
                  </w:tcMar>
                  <w:vAlign w:val="center"/>
                </w:tcPr>
                <w:p w14:paraId="0DA0938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64" w:type="pct"/>
                  <w:tcBorders>
                    <w:tl2br w:val="nil"/>
                    <w:tr2bl w:val="nil"/>
                  </w:tcBorders>
                  <w:tcMar>
                    <w:top w:w="0" w:type="dxa"/>
                    <w:left w:w="28" w:type="dxa"/>
                    <w:bottom w:w="0" w:type="dxa"/>
                    <w:right w:w="28" w:type="dxa"/>
                  </w:tcMar>
                  <w:vAlign w:val="center"/>
                </w:tcPr>
                <w:p w14:paraId="6448290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78" w:type="pct"/>
                  <w:tcBorders>
                    <w:tl2br w:val="nil"/>
                    <w:tr2bl w:val="nil"/>
                  </w:tcBorders>
                  <w:tcMar>
                    <w:top w:w="0" w:type="dxa"/>
                    <w:left w:w="28" w:type="dxa"/>
                    <w:bottom w:w="0" w:type="dxa"/>
                    <w:right w:w="28" w:type="dxa"/>
                  </w:tcMar>
                  <w:vAlign w:val="center"/>
                </w:tcPr>
                <w:p w14:paraId="3F5A3B7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96" w:type="pct"/>
                  <w:tcBorders>
                    <w:tl2br w:val="nil"/>
                    <w:tr2bl w:val="nil"/>
                  </w:tcBorders>
                  <w:tcMar>
                    <w:top w:w="0" w:type="dxa"/>
                    <w:left w:w="28" w:type="dxa"/>
                    <w:bottom w:w="0" w:type="dxa"/>
                    <w:right w:w="28" w:type="dxa"/>
                  </w:tcMar>
                  <w:vAlign w:val="center"/>
                </w:tcPr>
                <w:p w14:paraId="03A810A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34" w:type="pct"/>
                  <w:tcBorders>
                    <w:tl2br w:val="nil"/>
                    <w:tr2bl w:val="nil"/>
                  </w:tcBorders>
                  <w:tcMar>
                    <w:top w:w="0" w:type="dxa"/>
                    <w:left w:w="28" w:type="dxa"/>
                    <w:bottom w:w="0" w:type="dxa"/>
                    <w:right w:w="28" w:type="dxa"/>
                  </w:tcMar>
                  <w:vAlign w:val="center"/>
                </w:tcPr>
                <w:p w14:paraId="6193E15C">
                  <w:pPr>
                    <w:jc w:val="center"/>
                    <w:rPr>
                      <w:rFonts w:ascii="Times New Roman" w:hAnsi="Times New Roman" w:cs="Times New Roman"/>
                      <w:szCs w:val="21"/>
                    </w:rPr>
                  </w:pPr>
                  <w:r>
                    <w:rPr>
                      <w:rFonts w:hint="eastAsia" w:ascii="Times New Roman" w:hAnsi="Times New Roman" w:cs="Times New Roman"/>
                      <w:szCs w:val="21"/>
                    </w:rPr>
                    <w:t>0.00000063</w:t>
                  </w:r>
                </w:p>
              </w:tc>
              <w:tc>
                <w:tcPr>
                  <w:tcW w:w="225" w:type="pct"/>
                  <w:tcBorders>
                    <w:tl2br w:val="nil"/>
                    <w:tr2bl w:val="nil"/>
                  </w:tcBorders>
                  <w:tcMar>
                    <w:top w:w="0" w:type="dxa"/>
                    <w:left w:w="28" w:type="dxa"/>
                    <w:bottom w:w="0" w:type="dxa"/>
                    <w:right w:w="28" w:type="dxa"/>
                  </w:tcMar>
                  <w:vAlign w:val="center"/>
                </w:tcPr>
                <w:p w14:paraId="01396895">
                  <w:pPr>
                    <w:jc w:val="center"/>
                    <w:rPr>
                      <w:rFonts w:ascii="Times New Roman" w:hAnsi="Times New Roman" w:cs="Times New Roman"/>
                      <w:szCs w:val="21"/>
                    </w:rPr>
                  </w:pPr>
                  <w:r>
                    <w:rPr>
                      <w:rFonts w:hint="eastAsia" w:ascii="Times New Roman" w:hAnsi="Times New Roman" w:cs="Times New Roman"/>
                      <w:szCs w:val="21"/>
                    </w:rPr>
                    <w:t>0.00000044</w:t>
                  </w:r>
                </w:p>
              </w:tc>
              <w:tc>
                <w:tcPr>
                  <w:tcW w:w="302" w:type="pct"/>
                  <w:tcBorders>
                    <w:tl2br w:val="nil"/>
                    <w:tr2bl w:val="nil"/>
                  </w:tcBorders>
                  <w:tcMar>
                    <w:top w:w="0" w:type="dxa"/>
                    <w:left w:w="28" w:type="dxa"/>
                    <w:bottom w:w="0" w:type="dxa"/>
                    <w:right w:w="28" w:type="dxa"/>
                  </w:tcMar>
                  <w:vAlign w:val="center"/>
                </w:tcPr>
                <w:p w14:paraId="126DCDA9">
                  <w:pPr>
                    <w:jc w:val="center"/>
                    <w:rPr>
                      <w:rFonts w:ascii="Times New Roman" w:hAnsi="Times New Roman" w:cs="Times New Roman"/>
                      <w:szCs w:val="21"/>
                    </w:rPr>
                  </w:pPr>
                  <w:r>
                    <w:rPr>
                      <w:rFonts w:hint="eastAsia" w:ascii="Times New Roman" w:hAnsi="Times New Roman" w:cs="Times New Roman"/>
                      <w:szCs w:val="21"/>
                    </w:rPr>
                    <w:t>/</w:t>
                  </w:r>
                </w:p>
              </w:tc>
              <w:tc>
                <w:tcPr>
                  <w:tcW w:w="201" w:type="pct"/>
                  <w:vMerge w:val="continue"/>
                  <w:tcBorders>
                    <w:tl2br w:val="nil"/>
                    <w:tr2bl w:val="nil"/>
                  </w:tcBorders>
                  <w:tcMar>
                    <w:top w:w="0" w:type="dxa"/>
                    <w:left w:w="28" w:type="dxa"/>
                    <w:bottom w:w="0" w:type="dxa"/>
                    <w:right w:w="28" w:type="dxa"/>
                  </w:tcMar>
                  <w:vAlign w:val="center"/>
                </w:tcPr>
                <w:p w14:paraId="19778259">
                  <w:pPr>
                    <w:jc w:val="center"/>
                    <w:rPr>
                      <w:rFonts w:ascii="Times New Roman" w:hAnsi="Times New Roman" w:eastAsia="宋体" w:cs="Times New Roman"/>
                      <w:color w:val="000000"/>
                      <w:szCs w:val="21"/>
                    </w:rPr>
                  </w:pPr>
                </w:p>
              </w:tc>
              <w:tc>
                <w:tcPr>
                  <w:tcW w:w="245" w:type="pct"/>
                  <w:tcBorders>
                    <w:tl2br w:val="nil"/>
                    <w:tr2bl w:val="nil"/>
                  </w:tcBorders>
                  <w:tcMar>
                    <w:top w:w="0" w:type="dxa"/>
                    <w:left w:w="28" w:type="dxa"/>
                    <w:bottom w:w="0" w:type="dxa"/>
                    <w:right w:w="28" w:type="dxa"/>
                  </w:tcMar>
                  <w:vAlign w:val="center"/>
                </w:tcPr>
                <w:p w14:paraId="18D046EC">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093D7882">
                  <w:pPr>
                    <w:jc w:val="center"/>
                    <w:rPr>
                      <w:rFonts w:ascii="Times New Roman" w:hAnsi="Times New Roman" w:cs="Times New Roman"/>
                      <w:szCs w:val="21"/>
                    </w:rPr>
                  </w:pPr>
                  <w:r>
                    <w:rPr>
                      <w:rFonts w:ascii="Times New Roman" w:hAnsi="Times New Roman" w:cs="Times New Roman"/>
                      <w:szCs w:val="21"/>
                    </w:rPr>
                    <w:t xml:space="preserve">0.008 </w:t>
                  </w:r>
                </w:p>
                <w:p w14:paraId="1644C7DE">
                  <w:pPr>
                    <w:jc w:val="center"/>
                    <w:rPr>
                      <w:rFonts w:ascii="Times New Roman" w:hAnsi="Times New Roman" w:eastAsia="宋体" w:cs="Times New Roman"/>
                      <w:color w:val="000000"/>
                      <w:szCs w:val="21"/>
                    </w:rPr>
                  </w:pPr>
                  <w:r>
                    <w:rPr>
                      <w:rFonts w:ascii="Times New Roman" w:hAnsi="Times New Roman" w:cs="Times New Roman"/>
                      <w:szCs w:val="21"/>
                    </w:rPr>
                    <w:t>（μg/m</w:t>
                  </w:r>
                  <w:r>
                    <w:rPr>
                      <w:rFonts w:ascii="Times New Roman" w:hAnsi="Times New Roman" w:cs="Times New Roman"/>
                      <w:szCs w:val="21"/>
                      <w:vertAlign w:val="superscript"/>
                    </w:rPr>
                    <w:t>3</w:t>
                  </w:r>
                  <w:r>
                    <w:rPr>
                      <w:rFonts w:ascii="Times New Roman" w:hAnsi="Times New Roman" w:cs="Times New Roman"/>
                      <w:szCs w:val="21"/>
                    </w:rPr>
                    <w:t>）</w:t>
                  </w:r>
                </w:p>
              </w:tc>
              <w:tc>
                <w:tcPr>
                  <w:tcW w:w="134" w:type="pct"/>
                  <w:tcBorders>
                    <w:tl2br w:val="nil"/>
                    <w:tr2bl w:val="nil"/>
                  </w:tcBorders>
                  <w:tcMar>
                    <w:top w:w="0" w:type="dxa"/>
                    <w:left w:w="28" w:type="dxa"/>
                    <w:bottom w:w="0" w:type="dxa"/>
                    <w:right w:w="28" w:type="dxa"/>
                  </w:tcMar>
                  <w:vAlign w:val="center"/>
                </w:tcPr>
                <w:p w14:paraId="67B4470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4972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 w:type="pct"/>
                  <w:vMerge w:val="continue"/>
                  <w:tcBorders>
                    <w:tl2br w:val="nil"/>
                    <w:tr2bl w:val="nil"/>
                  </w:tcBorders>
                  <w:tcMar>
                    <w:top w:w="0" w:type="dxa"/>
                    <w:left w:w="28" w:type="dxa"/>
                    <w:bottom w:w="0" w:type="dxa"/>
                    <w:right w:w="28" w:type="dxa"/>
                  </w:tcMar>
                  <w:vAlign w:val="center"/>
                </w:tcPr>
                <w:p w14:paraId="2A3C984C">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71AB6DCE">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58A05BA4">
                  <w:pPr>
                    <w:jc w:val="center"/>
                    <w:rPr>
                      <w:rFonts w:ascii="Times New Roman" w:hAnsi="Times New Roman" w:eastAsia="宋体" w:cs="Times New Roman"/>
                      <w:color w:val="000000"/>
                      <w:szCs w:val="21"/>
                    </w:rPr>
                  </w:pPr>
                </w:p>
              </w:tc>
              <w:tc>
                <w:tcPr>
                  <w:tcW w:w="268" w:type="pct"/>
                  <w:tcBorders>
                    <w:tl2br w:val="nil"/>
                    <w:tr2bl w:val="nil"/>
                  </w:tcBorders>
                  <w:tcMar>
                    <w:top w:w="0" w:type="dxa"/>
                    <w:left w:w="28" w:type="dxa"/>
                    <w:bottom w:w="0" w:type="dxa"/>
                    <w:right w:w="28" w:type="dxa"/>
                  </w:tcMar>
                  <w:vAlign w:val="center"/>
                </w:tcPr>
                <w:p w14:paraId="1AE87A52">
                  <w:pPr>
                    <w:jc w:val="center"/>
                    <w:rPr>
                      <w:rFonts w:ascii="Times New Roman" w:hAnsi="Times New Roman" w:cs="Times New Roman"/>
                      <w:szCs w:val="21"/>
                    </w:rPr>
                  </w:pPr>
                  <w:r>
                    <w:rPr>
                      <w:rFonts w:hint="eastAsia" w:ascii="Times New Roman" w:hAnsi="Times New Roman" w:cs="Times New Roman"/>
                      <w:szCs w:val="21"/>
                    </w:rPr>
                    <w:t>非甲烷总烃</w:t>
                  </w:r>
                </w:p>
              </w:tc>
              <w:tc>
                <w:tcPr>
                  <w:tcW w:w="180" w:type="pct"/>
                  <w:vMerge w:val="continue"/>
                  <w:tcBorders>
                    <w:tl2br w:val="nil"/>
                    <w:tr2bl w:val="nil"/>
                  </w:tcBorders>
                  <w:tcMar>
                    <w:top w:w="0" w:type="dxa"/>
                    <w:left w:w="28" w:type="dxa"/>
                    <w:bottom w:w="0" w:type="dxa"/>
                    <w:right w:w="28" w:type="dxa"/>
                  </w:tcMar>
                  <w:vAlign w:val="center"/>
                </w:tcPr>
                <w:p w14:paraId="63A96A2A">
                  <w:pPr>
                    <w:jc w:val="center"/>
                    <w:rPr>
                      <w:rFonts w:ascii="Times New Roman" w:hAnsi="Times New Roman" w:eastAsia="宋体" w:cs="Times New Roman"/>
                      <w:color w:val="000000"/>
                      <w:szCs w:val="21"/>
                    </w:rPr>
                  </w:pPr>
                </w:p>
              </w:tc>
              <w:tc>
                <w:tcPr>
                  <w:tcW w:w="249" w:type="pct"/>
                  <w:tcBorders>
                    <w:tl2br w:val="nil"/>
                    <w:tr2bl w:val="nil"/>
                  </w:tcBorders>
                  <w:tcMar>
                    <w:top w:w="0" w:type="dxa"/>
                    <w:left w:w="28" w:type="dxa"/>
                    <w:bottom w:w="0" w:type="dxa"/>
                    <w:right w:w="28" w:type="dxa"/>
                  </w:tcMar>
                  <w:vAlign w:val="center"/>
                </w:tcPr>
                <w:p w14:paraId="755AA6F2">
                  <w:pPr>
                    <w:jc w:val="center"/>
                    <w:rPr>
                      <w:rFonts w:ascii="Times New Roman" w:hAnsi="Times New Roman" w:cs="Times New Roman"/>
                      <w:szCs w:val="21"/>
                    </w:rPr>
                  </w:pPr>
                  <w:r>
                    <w:rPr>
                      <w:rFonts w:hint="eastAsia" w:ascii="Times New Roman" w:hAnsi="Times New Roman" w:cs="Times New Roman"/>
                      <w:szCs w:val="21"/>
                    </w:rPr>
                    <w:t>0.021</w:t>
                  </w:r>
                </w:p>
              </w:tc>
              <w:tc>
                <w:tcPr>
                  <w:tcW w:w="292" w:type="pct"/>
                  <w:tcBorders>
                    <w:tl2br w:val="nil"/>
                    <w:tr2bl w:val="nil"/>
                  </w:tcBorders>
                  <w:tcMar>
                    <w:top w:w="0" w:type="dxa"/>
                    <w:left w:w="28" w:type="dxa"/>
                    <w:bottom w:w="0" w:type="dxa"/>
                    <w:right w:w="28" w:type="dxa"/>
                  </w:tcMar>
                  <w:vAlign w:val="center"/>
                </w:tcPr>
                <w:p w14:paraId="31C37C04">
                  <w:pPr>
                    <w:jc w:val="center"/>
                    <w:rPr>
                      <w:rFonts w:ascii="Times New Roman" w:hAnsi="Times New Roman" w:cs="Times New Roman"/>
                      <w:szCs w:val="21"/>
                    </w:rPr>
                  </w:pPr>
                  <w:r>
                    <w:rPr>
                      <w:rFonts w:hint="eastAsia" w:ascii="Times New Roman" w:hAnsi="Times New Roman" w:cs="Times New Roman"/>
                      <w:szCs w:val="21"/>
                    </w:rPr>
                    <w:t>0.015</w:t>
                  </w:r>
                </w:p>
              </w:tc>
              <w:tc>
                <w:tcPr>
                  <w:tcW w:w="302" w:type="pct"/>
                  <w:tcBorders>
                    <w:tl2br w:val="nil"/>
                    <w:tr2bl w:val="nil"/>
                  </w:tcBorders>
                  <w:tcMar>
                    <w:top w:w="0" w:type="dxa"/>
                    <w:left w:w="28" w:type="dxa"/>
                    <w:bottom w:w="0" w:type="dxa"/>
                    <w:right w:w="28" w:type="dxa"/>
                  </w:tcMar>
                  <w:vAlign w:val="center"/>
                </w:tcPr>
                <w:p w14:paraId="337960B9">
                  <w:pPr>
                    <w:jc w:val="center"/>
                    <w:rPr>
                      <w:rFonts w:ascii="Times New Roman" w:hAnsi="Times New Roman" w:cs="Times New Roman"/>
                      <w:szCs w:val="21"/>
                    </w:rPr>
                  </w:pPr>
                  <w:r>
                    <w:rPr>
                      <w:rFonts w:hint="eastAsia" w:ascii="Times New Roman" w:hAnsi="Times New Roman" w:cs="Times New Roman"/>
                      <w:szCs w:val="21"/>
                    </w:rPr>
                    <w:t>/</w:t>
                  </w:r>
                </w:p>
              </w:tc>
              <w:tc>
                <w:tcPr>
                  <w:tcW w:w="734" w:type="pct"/>
                  <w:vMerge w:val="continue"/>
                  <w:tcBorders>
                    <w:tl2br w:val="nil"/>
                    <w:tr2bl w:val="nil"/>
                  </w:tcBorders>
                  <w:tcMar>
                    <w:top w:w="0" w:type="dxa"/>
                    <w:left w:w="28" w:type="dxa"/>
                    <w:bottom w:w="0" w:type="dxa"/>
                    <w:right w:w="28" w:type="dxa"/>
                  </w:tcMar>
                  <w:vAlign w:val="center"/>
                </w:tcPr>
                <w:p w14:paraId="528066AF">
                  <w:pPr>
                    <w:jc w:val="center"/>
                    <w:rPr>
                      <w:rFonts w:ascii="Times New Roman" w:hAnsi="Times New Roman" w:eastAsia="宋体" w:cs="Times New Roman"/>
                      <w:color w:val="000000"/>
                      <w:szCs w:val="21"/>
                    </w:rPr>
                  </w:pPr>
                </w:p>
              </w:tc>
              <w:tc>
                <w:tcPr>
                  <w:tcW w:w="206" w:type="pct"/>
                  <w:tcBorders>
                    <w:tl2br w:val="nil"/>
                    <w:tr2bl w:val="nil"/>
                  </w:tcBorders>
                  <w:tcMar>
                    <w:top w:w="0" w:type="dxa"/>
                    <w:left w:w="28" w:type="dxa"/>
                    <w:bottom w:w="0" w:type="dxa"/>
                    <w:right w:w="28" w:type="dxa"/>
                  </w:tcMar>
                  <w:vAlign w:val="center"/>
                </w:tcPr>
                <w:p w14:paraId="22F01A5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64" w:type="pct"/>
                  <w:tcBorders>
                    <w:tl2br w:val="nil"/>
                    <w:tr2bl w:val="nil"/>
                  </w:tcBorders>
                  <w:tcMar>
                    <w:top w:w="0" w:type="dxa"/>
                    <w:left w:w="28" w:type="dxa"/>
                    <w:bottom w:w="0" w:type="dxa"/>
                    <w:right w:w="28" w:type="dxa"/>
                  </w:tcMar>
                  <w:vAlign w:val="center"/>
                </w:tcPr>
                <w:p w14:paraId="70307D55">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78" w:type="pct"/>
                  <w:tcBorders>
                    <w:tl2br w:val="nil"/>
                    <w:tr2bl w:val="nil"/>
                  </w:tcBorders>
                  <w:tcMar>
                    <w:top w:w="0" w:type="dxa"/>
                    <w:left w:w="28" w:type="dxa"/>
                    <w:bottom w:w="0" w:type="dxa"/>
                    <w:right w:w="28" w:type="dxa"/>
                  </w:tcMar>
                  <w:vAlign w:val="center"/>
                </w:tcPr>
                <w:p w14:paraId="0F45296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96" w:type="pct"/>
                  <w:tcBorders>
                    <w:tl2br w:val="nil"/>
                    <w:tr2bl w:val="nil"/>
                  </w:tcBorders>
                  <w:tcMar>
                    <w:top w:w="0" w:type="dxa"/>
                    <w:left w:w="28" w:type="dxa"/>
                    <w:bottom w:w="0" w:type="dxa"/>
                    <w:right w:w="28" w:type="dxa"/>
                  </w:tcMar>
                  <w:vAlign w:val="center"/>
                </w:tcPr>
                <w:p w14:paraId="6B513FA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34" w:type="pct"/>
                  <w:tcBorders>
                    <w:tl2br w:val="nil"/>
                    <w:tr2bl w:val="nil"/>
                  </w:tcBorders>
                  <w:tcMar>
                    <w:top w:w="0" w:type="dxa"/>
                    <w:left w:w="28" w:type="dxa"/>
                    <w:bottom w:w="0" w:type="dxa"/>
                    <w:right w:w="28" w:type="dxa"/>
                  </w:tcMar>
                  <w:vAlign w:val="center"/>
                </w:tcPr>
                <w:p w14:paraId="2705076C">
                  <w:pPr>
                    <w:jc w:val="center"/>
                    <w:rPr>
                      <w:rFonts w:ascii="Times New Roman" w:hAnsi="Times New Roman" w:cs="Times New Roman"/>
                      <w:szCs w:val="21"/>
                    </w:rPr>
                  </w:pPr>
                  <w:r>
                    <w:rPr>
                      <w:rFonts w:hint="eastAsia" w:ascii="Times New Roman" w:hAnsi="Times New Roman" w:cs="Times New Roman"/>
                      <w:szCs w:val="21"/>
                    </w:rPr>
                    <w:t>0.021</w:t>
                  </w:r>
                </w:p>
              </w:tc>
              <w:tc>
                <w:tcPr>
                  <w:tcW w:w="225" w:type="pct"/>
                  <w:tcBorders>
                    <w:tl2br w:val="nil"/>
                    <w:tr2bl w:val="nil"/>
                  </w:tcBorders>
                  <w:tcMar>
                    <w:top w:w="0" w:type="dxa"/>
                    <w:left w:w="28" w:type="dxa"/>
                    <w:bottom w:w="0" w:type="dxa"/>
                    <w:right w:w="28" w:type="dxa"/>
                  </w:tcMar>
                  <w:vAlign w:val="center"/>
                </w:tcPr>
                <w:p w14:paraId="06FA94FA">
                  <w:pPr>
                    <w:jc w:val="center"/>
                    <w:rPr>
                      <w:rFonts w:ascii="Times New Roman" w:hAnsi="Times New Roman" w:cs="Times New Roman"/>
                      <w:szCs w:val="21"/>
                    </w:rPr>
                  </w:pPr>
                  <w:r>
                    <w:rPr>
                      <w:rFonts w:hint="eastAsia" w:ascii="Times New Roman" w:hAnsi="Times New Roman" w:cs="Times New Roman"/>
                      <w:szCs w:val="21"/>
                    </w:rPr>
                    <w:t>0.015</w:t>
                  </w:r>
                </w:p>
              </w:tc>
              <w:tc>
                <w:tcPr>
                  <w:tcW w:w="302" w:type="pct"/>
                  <w:tcBorders>
                    <w:tl2br w:val="nil"/>
                    <w:tr2bl w:val="nil"/>
                  </w:tcBorders>
                  <w:tcMar>
                    <w:top w:w="0" w:type="dxa"/>
                    <w:left w:w="28" w:type="dxa"/>
                    <w:bottom w:w="0" w:type="dxa"/>
                    <w:right w:w="28" w:type="dxa"/>
                  </w:tcMar>
                  <w:vAlign w:val="center"/>
                </w:tcPr>
                <w:p w14:paraId="5631ED05">
                  <w:pPr>
                    <w:jc w:val="center"/>
                    <w:rPr>
                      <w:rFonts w:ascii="Times New Roman" w:hAnsi="Times New Roman" w:cs="Times New Roman"/>
                      <w:szCs w:val="21"/>
                    </w:rPr>
                  </w:pPr>
                  <w:r>
                    <w:rPr>
                      <w:rFonts w:hint="eastAsia" w:ascii="Times New Roman" w:hAnsi="Times New Roman" w:cs="Times New Roman"/>
                      <w:szCs w:val="21"/>
                    </w:rPr>
                    <w:t>/</w:t>
                  </w:r>
                </w:p>
              </w:tc>
              <w:tc>
                <w:tcPr>
                  <w:tcW w:w="201" w:type="pct"/>
                  <w:vMerge w:val="continue"/>
                  <w:tcBorders>
                    <w:tl2br w:val="nil"/>
                    <w:tr2bl w:val="nil"/>
                  </w:tcBorders>
                  <w:tcMar>
                    <w:top w:w="0" w:type="dxa"/>
                    <w:left w:w="28" w:type="dxa"/>
                    <w:bottom w:w="0" w:type="dxa"/>
                    <w:right w:w="28" w:type="dxa"/>
                  </w:tcMar>
                  <w:vAlign w:val="center"/>
                </w:tcPr>
                <w:p w14:paraId="545ECD7B">
                  <w:pPr>
                    <w:jc w:val="center"/>
                    <w:rPr>
                      <w:rFonts w:ascii="Times New Roman" w:hAnsi="Times New Roman" w:eastAsia="宋体" w:cs="Times New Roman"/>
                      <w:color w:val="000000"/>
                      <w:szCs w:val="21"/>
                    </w:rPr>
                  </w:pPr>
                </w:p>
              </w:tc>
              <w:tc>
                <w:tcPr>
                  <w:tcW w:w="245" w:type="pct"/>
                  <w:tcBorders>
                    <w:tl2br w:val="nil"/>
                    <w:tr2bl w:val="nil"/>
                  </w:tcBorders>
                  <w:tcMar>
                    <w:top w:w="0" w:type="dxa"/>
                    <w:left w:w="28" w:type="dxa"/>
                    <w:bottom w:w="0" w:type="dxa"/>
                    <w:right w:w="28" w:type="dxa"/>
                  </w:tcMar>
                  <w:vAlign w:val="center"/>
                </w:tcPr>
                <w:p w14:paraId="53FDBA67">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47E4EFA3">
                  <w:pPr>
                    <w:jc w:val="center"/>
                    <w:rPr>
                      <w:rFonts w:ascii="Times New Roman" w:hAnsi="Times New Roman" w:eastAsia="宋体" w:cs="Times New Roman"/>
                      <w:color w:val="000000"/>
                      <w:szCs w:val="21"/>
                    </w:rPr>
                  </w:pPr>
                  <w:r>
                    <w:rPr>
                      <w:rFonts w:ascii="Times New Roman" w:hAnsi="Times New Roman" w:cs="Times New Roman"/>
                      <w:szCs w:val="21"/>
                    </w:rPr>
                    <w:t>4.0</w:t>
                  </w:r>
                </w:p>
              </w:tc>
              <w:tc>
                <w:tcPr>
                  <w:tcW w:w="134" w:type="pct"/>
                  <w:tcBorders>
                    <w:tl2br w:val="nil"/>
                    <w:tr2bl w:val="nil"/>
                  </w:tcBorders>
                  <w:tcMar>
                    <w:top w:w="0" w:type="dxa"/>
                    <w:left w:w="28" w:type="dxa"/>
                    <w:bottom w:w="0" w:type="dxa"/>
                    <w:right w:w="28" w:type="dxa"/>
                  </w:tcMar>
                  <w:vAlign w:val="center"/>
                </w:tcPr>
                <w:p w14:paraId="34CA2179">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r>
            <w:tr w14:paraId="5829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115" w:type="pct"/>
                  <w:vMerge w:val="continue"/>
                  <w:tcBorders>
                    <w:tl2br w:val="nil"/>
                    <w:tr2bl w:val="nil"/>
                  </w:tcBorders>
                  <w:tcMar>
                    <w:top w:w="0" w:type="dxa"/>
                    <w:left w:w="28" w:type="dxa"/>
                    <w:bottom w:w="0" w:type="dxa"/>
                    <w:right w:w="28" w:type="dxa"/>
                  </w:tcMar>
                  <w:vAlign w:val="center"/>
                </w:tcPr>
                <w:p w14:paraId="596C4B0A">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2A87B1F3">
                  <w:pPr>
                    <w:jc w:val="center"/>
                    <w:rPr>
                      <w:rFonts w:ascii="Times New Roman" w:hAnsi="Times New Roman" w:eastAsia="宋体" w:cs="Times New Roman"/>
                      <w:color w:val="000000"/>
                      <w:szCs w:val="21"/>
                    </w:rPr>
                  </w:pPr>
                </w:p>
              </w:tc>
              <w:tc>
                <w:tcPr>
                  <w:tcW w:w="101" w:type="pct"/>
                  <w:vMerge w:val="restart"/>
                  <w:tcBorders>
                    <w:tl2br w:val="nil"/>
                    <w:tr2bl w:val="nil"/>
                  </w:tcBorders>
                  <w:tcMar>
                    <w:top w:w="0" w:type="dxa"/>
                    <w:left w:w="28" w:type="dxa"/>
                    <w:bottom w:w="0" w:type="dxa"/>
                    <w:right w:w="28" w:type="dxa"/>
                  </w:tcMar>
                  <w:vAlign w:val="center"/>
                </w:tcPr>
                <w:p w14:paraId="32C27FA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沥青储罐大小呼吸废气</w:t>
                  </w:r>
                </w:p>
              </w:tc>
              <w:tc>
                <w:tcPr>
                  <w:tcW w:w="268" w:type="pct"/>
                  <w:tcBorders>
                    <w:tl2br w:val="nil"/>
                    <w:tr2bl w:val="nil"/>
                  </w:tcBorders>
                  <w:tcMar>
                    <w:top w:w="0" w:type="dxa"/>
                    <w:left w:w="28" w:type="dxa"/>
                    <w:bottom w:w="0" w:type="dxa"/>
                    <w:right w:w="28" w:type="dxa"/>
                  </w:tcMar>
                  <w:vAlign w:val="center"/>
                </w:tcPr>
                <w:p w14:paraId="6AA83BB3">
                  <w:pPr>
                    <w:jc w:val="center"/>
                    <w:rPr>
                      <w:rFonts w:ascii="Times New Roman" w:hAnsi="Times New Roman" w:cs="Times New Roman"/>
                      <w:szCs w:val="21"/>
                    </w:rPr>
                  </w:pPr>
                  <w:r>
                    <w:rPr>
                      <w:rFonts w:hint="eastAsia" w:ascii="Times New Roman" w:hAnsi="Times New Roman" w:cs="Times New Roman"/>
                      <w:szCs w:val="21"/>
                    </w:rPr>
                    <w:t>沥青烟</w:t>
                  </w:r>
                </w:p>
              </w:tc>
              <w:tc>
                <w:tcPr>
                  <w:tcW w:w="180" w:type="pct"/>
                  <w:vMerge w:val="restart"/>
                  <w:tcBorders>
                    <w:tl2br w:val="nil"/>
                    <w:tr2bl w:val="nil"/>
                  </w:tcBorders>
                  <w:tcMar>
                    <w:top w:w="0" w:type="dxa"/>
                    <w:left w:w="28" w:type="dxa"/>
                    <w:bottom w:w="0" w:type="dxa"/>
                    <w:right w:w="28" w:type="dxa"/>
                  </w:tcMar>
                  <w:vAlign w:val="center"/>
                </w:tcPr>
                <w:p w14:paraId="530742E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有组织</w:t>
                  </w:r>
                </w:p>
              </w:tc>
              <w:tc>
                <w:tcPr>
                  <w:tcW w:w="249" w:type="pct"/>
                  <w:tcBorders>
                    <w:tl2br w:val="nil"/>
                    <w:tr2bl w:val="nil"/>
                  </w:tcBorders>
                  <w:tcMar>
                    <w:top w:w="0" w:type="dxa"/>
                    <w:left w:w="28" w:type="dxa"/>
                    <w:bottom w:w="0" w:type="dxa"/>
                    <w:right w:w="28" w:type="dxa"/>
                  </w:tcMar>
                  <w:vAlign w:val="center"/>
                </w:tcPr>
                <w:p w14:paraId="589E81F1">
                  <w:pPr>
                    <w:jc w:val="center"/>
                    <w:rPr>
                      <w:rFonts w:ascii="Times New Roman" w:hAnsi="Times New Roman" w:cs="Times New Roman"/>
                      <w:szCs w:val="21"/>
                    </w:rPr>
                  </w:pPr>
                  <w:r>
                    <w:rPr>
                      <w:rFonts w:hint="eastAsia" w:ascii="Times New Roman" w:hAnsi="Times New Roman" w:cs="Times New Roman"/>
                      <w:szCs w:val="21"/>
                    </w:rPr>
                    <w:t>0.4845</w:t>
                  </w:r>
                </w:p>
              </w:tc>
              <w:tc>
                <w:tcPr>
                  <w:tcW w:w="292" w:type="pct"/>
                  <w:tcBorders>
                    <w:tl2br w:val="nil"/>
                    <w:tr2bl w:val="nil"/>
                  </w:tcBorders>
                  <w:tcMar>
                    <w:top w:w="0" w:type="dxa"/>
                    <w:left w:w="28" w:type="dxa"/>
                    <w:bottom w:w="0" w:type="dxa"/>
                    <w:right w:w="28" w:type="dxa"/>
                  </w:tcMar>
                  <w:vAlign w:val="center"/>
                </w:tcPr>
                <w:p w14:paraId="53EBD537">
                  <w:pPr>
                    <w:jc w:val="center"/>
                    <w:rPr>
                      <w:rFonts w:ascii="Times New Roman" w:hAnsi="Times New Roman" w:cs="Times New Roman"/>
                      <w:szCs w:val="21"/>
                    </w:rPr>
                  </w:pPr>
                  <w:r>
                    <w:rPr>
                      <w:rFonts w:hint="eastAsia" w:ascii="Times New Roman" w:hAnsi="Times New Roman" w:cs="Times New Roman"/>
                      <w:szCs w:val="21"/>
                    </w:rPr>
                    <w:t>0.112</w:t>
                  </w:r>
                </w:p>
              </w:tc>
              <w:tc>
                <w:tcPr>
                  <w:tcW w:w="302" w:type="pct"/>
                  <w:tcBorders>
                    <w:tl2br w:val="nil"/>
                    <w:tr2bl w:val="nil"/>
                  </w:tcBorders>
                  <w:tcMar>
                    <w:top w:w="0" w:type="dxa"/>
                    <w:left w:w="28" w:type="dxa"/>
                    <w:bottom w:w="0" w:type="dxa"/>
                    <w:right w:w="28" w:type="dxa"/>
                  </w:tcMar>
                  <w:vAlign w:val="center"/>
                </w:tcPr>
                <w:p w14:paraId="195F7094">
                  <w:pPr>
                    <w:jc w:val="center"/>
                    <w:rPr>
                      <w:rFonts w:ascii="Times New Roman" w:hAnsi="Times New Roman" w:cs="Times New Roman"/>
                      <w:szCs w:val="21"/>
                    </w:rPr>
                  </w:pPr>
                  <w:r>
                    <w:rPr>
                      <w:rFonts w:hint="eastAsia" w:ascii="Times New Roman" w:hAnsi="Times New Roman" w:cs="Times New Roman"/>
                      <w:szCs w:val="21"/>
                    </w:rPr>
                    <w:t>5.13</w:t>
                  </w:r>
                </w:p>
              </w:tc>
              <w:tc>
                <w:tcPr>
                  <w:tcW w:w="734" w:type="pct"/>
                  <w:vMerge w:val="restart"/>
                  <w:tcBorders>
                    <w:tl2br w:val="nil"/>
                    <w:tr2bl w:val="nil"/>
                  </w:tcBorders>
                  <w:tcMar>
                    <w:top w:w="0" w:type="dxa"/>
                    <w:left w:w="28" w:type="dxa"/>
                    <w:bottom w:w="0" w:type="dxa"/>
                    <w:right w:w="28" w:type="dxa"/>
                  </w:tcMar>
                  <w:vAlign w:val="center"/>
                </w:tcPr>
                <w:p w14:paraId="7D6EB02F">
                  <w:pPr>
                    <w:jc w:val="center"/>
                    <w:rPr>
                      <w:rFonts w:ascii="Times New Roman" w:hAnsi="Times New Roman" w:eastAsia="宋体" w:cs="Times New Roman"/>
                      <w:color w:val="000000"/>
                      <w:szCs w:val="21"/>
                    </w:rPr>
                  </w:pPr>
                  <w:r>
                    <w:rPr>
                      <w:rFonts w:ascii="Times New Roman" w:hAnsi="Times New Roman" w:cs="Times New Roman"/>
                      <w:szCs w:val="21"/>
                    </w:rPr>
                    <w:t>经密闭集气管道串联负压收集引至洗涤塔+电捕焦油器+等离子光解净化除尘器+活性炭吸附装置处理后通过25m高排气筒DA002排放。</w:t>
                  </w:r>
                  <w:r>
                    <w:rPr>
                      <w:rFonts w:hint="eastAsia" w:ascii="Times New Roman" w:hAnsi="Times New Roman" w:cs="Times New Roman"/>
                      <w:szCs w:val="21"/>
                    </w:rPr>
                    <w:t>收集效率95%，处理效率99%。离心通用风机流量21830m</w:t>
                  </w:r>
                  <w:r>
                    <w:rPr>
                      <w:rFonts w:hint="eastAsia" w:ascii="Times New Roman" w:hAnsi="Times New Roman" w:cs="Times New Roman"/>
                      <w:szCs w:val="21"/>
                      <w:vertAlign w:val="superscript"/>
                    </w:rPr>
                    <w:t>3</w:t>
                  </w:r>
                  <w:r>
                    <w:rPr>
                      <w:rFonts w:hint="eastAsia" w:ascii="Times New Roman" w:hAnsi="Times New Roman" w:cs="Times New Roman"/>
                      <w:szCs w:val="21"/>
                    </w:rPr>
                    <w:t>/h（最不利，最小流量）。</w:t>
                  </w:r>
                </w:p>
              </w:tc>
              <w:tc>
                <w:tcPr>
                  <w:tcW w:w="206" w:type="pct"/>
                  <w:vMerge w:val="restart"/>
                  <w:tcBorders>
                    <w:tl2br w:val="nil"/>
                    <w:tr2bl w:val="nil"/>
                  </w:tcBorders>
                  <w:tcMar>
                    <w:top w:w="0" w:type="dxa"/>
                    <w:left w:w="28" w:type="dxa"/>
                    <w:bottom w:w="0" w:type="dxa"/>
                    <w:right w:w="28" w:type="dxa"/>
                  </w:tcMar>
                  <w:vAlign w:val="center"/>
                </w:tcPr>
                <w:p w14:paraId="1A69F3C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21830</w:t>
                  </w:r>
                </w:p>
              </w:tc>
              <w:tc>
                <w:tcPr>
                  <w:tcW w:w="264" w:type="pct"/>
                  <w:vMerge w:val="restart"/>
                  <w:tcBorders>
                    <w:tl2br w:val="nil"/>
                    <w:tr2bl w:val="nil"/>
                  </w:tcBorders>
                  <w:tcMar>
                    <w:top w:w="0" w:type="dxa"/>
                    <w:left w:w="28" w:type="dxa"/>
                    <w:bottom w:w="0" w:type="dxa"/>
                    <w:right w:w="28" w:type="dxa"/>
                  </w:tcMar>
                  <w:vAlign w:val="center"/>
                </w:tcPr>
                <w:p w14:paraId="6DBA317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95%</w:t>
                  </w:r>
                </w:p>
              </w:tc>
              <w:tc>
                <w:tcPr>
                  <w:tcW w:w="278" w:type="pct"/>
                  <w:vMerge w:val="restart"/>
                  <w:tcBorders>
                    <w:tl2br w:val="nil"/>
                    <w:tr2bl w:val="nil"/>
                  </w:tcBorders>
                  <w:tcMar>
                    <w:top w:w="0" w:type="dxa"/>
                    <w:left w:w="28" w:type="dxa"/>
                    <w:bottom w:w="0" w:type="dxa"/>
                    <w:right w:w="28" w:type="dxa"/>
                  </w:tcMar>
                  <w:vAlign w:val="center"/>
                </w:tcPr>
                <w:p w14:paraId="1B08C56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99%</w:t>
                  </w:r>
                </w:p>
              </w:tc>
              <w:tc>
                <w:tcPr>
                  <w:tcW w:w="196" w:type="pct"/>
                  <w:vMerge w:val="restart"/>
                  <w:tcBorders>
                    <w:tl2br w:val="nil"/>
                    <w:tr2bl w:val="nil"/>
                  </w:tcBorders>
                  <w:tcMar>
                    <w:top w:w="0" w:type="dxa"/>
                    <w:left w:w="28" w:type="dxa"/>
                    <w:bottom w:w="0" w:type="dxa"/>
                    <w:right w:w="28" w:type="dxa"/>
                  </w:tcMar>
                  <w:vAlign w:val="center"/>
                </w:tcPr>
                <w:p w14:paraId="3A8AB1C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是</w:t>
                  </w:r>
                </w:p>
              </w:tc>
              <w:tc>
                <w:tcPr>
                  <w:tcW w:w="234" w:type="pct"/>
                  <w:tcBorders>
                    <w:tl2br w:val="nil"/>
                    <w:tr2bl w:val="nil"/>
                  </w:tcBorders>
                  <w:tcMar>
                    <w:top w:w="0" w:type="dxa"/>
                    <w:left w:w="28" w:type="dxa"/>
                    <w:bottom w:w="0" w:type="dxa"/>
                    <w:right w:w="28" w:type="dxa"/>
                  </w:tcMar>
                  <w:vAlign w:val="center"/>
                </w:tcPr>
                <w:p w14:paraId="75D1F3B4">
                  <w:pPr>
                    <w:jc w:val="center"/>
                    <w:rPr>
                      <w:rFonts w:ascii="Times New Roman" w:hAnsi="Times New Roman" w:cs="Times New Roman"/>
                      <w:szCs w:val="21"/>
                    </w:rPr>
                  </w:pPr>
                  <w:r>
                    <w:rPr>
                      <w:rFonts w:hint="eastAsia" w:ascii="Times New Roman" w:hAnsi="Times New Roman" w:cs="Times New Roman"/>
                      <w:szCs w:val="21"/>
                    </w:rPr>
                    <w:t>0.00485</w:t>
                  </w:r>
                </w:p>
              </w:tc>
              <w:tc>
                <w:tcPr>
                  <w:tcW w:w="225" w:type="pct"/>
                  <w:tcBorders>
                    <w:tl2br w:val="nil"/>
                    <w:tr2bl w:val="nil"/>
                  </w:tcBorders>
                  <w:tcMar>
                    <w:top w:w="0" w:type="dxa"/>
                    <w:left w:w="28" w:type="dxa"/>
                    <w:bottom w:w="0" w:type="dxa"/>
                    <w:right w:w="28" w:type="dxa"/>
                  </w:tcMar>
                  <w:vAlign w:val="center"/>
                </w:tcPr>
                <w:p w14:paraId="127F423F">
                  <w:pPr>
                    <w:jc w:val="center"/>
                    <w:rPr>
                      <w:rFonts w:ascii="Times New Roman" w:hAnsi="Times New Roman" w:cs="Times New Roman"/>
                      <w:szCs w:val="21"/>
                    </w:rPr>
                  </w:pPr>
                  <w:r>
                    <w:rPr>
                      <w:rFonts w:hint="eastAsia" w:ascii="Times New Roman" w:hAnsi="Times New Roman" w:cs="Times New Roman"/>
                      <w:szCs w:val="21"/>
                    </w:rPr>
                    <w:t>0.001</w:t>
                  </w:r>
                </w:p>
              </w:tc>
              <w:tc>
                <w:tcPr>
                  <w:tcW w:w="302" w:type="pct"/>
                  <w:tcBorders>
                    <w:tl2br w:val="nil"/>
                    <w:tr2bl w:val="nil"/>
                  </w:tcBorders>
                  <w:tcMar>
                    <w:top w:w="0" w:type="dxa"/>
                    <w:left w:w="28" w:type="dxa"/>
                    <w:bottom w:w="0" w:type="dxa"/>
                    <w:right w:w="28" w:type="dxa"/>
                  </w:tcMar>
                  <w:vAlign w:val="center"/>
                </w:tcPr>
                <w:p w14:paraId="371D161F">
                  <w:pPr>
                    <w:jc w:val="center"/>
                    <w:rPr>
                      <w:rFonts w:ascii="Times New Roman" w:hAnsi="Times New Roman" w:cs="Times New Roman"/>
                      <w:szCs w:val="21"/>
                    </w:rPr>
                  </w:pPr>
                  <w:r>
                    <w:rPr>
                      <w:rFonts w:hint="eastAsia" w:ascii="Times New Roman" w:hAnsi="Times New Roman" w:cs="Times New Roman"/>
                      <w:szCs w:val="21"/>
                    </w:rPr>
                    <w:t>0.051</w:t>
                  </w:r>
                </w:p>
              </w:tc>
              <w:tc>
                <w:tcPr>
                  <w:tcW w:w="201" w:type="pct"/>
                  <w:vMerge w:val="restart"/>
                  <w:tcBorders>
                    <w:tl2br w:val="nil"/>
                    <w:tr2bl w:val="nil"/>
                  </w:tcBorders>
                  <w:tcMar>
                    <w:top w:w="0" w:type="dxa"/>
                    <w:left w:w="28" w:type="dxa"/>
                    <w:bottom w:w="0" w:type="dxa"/>
                    <w:right w:w="28" w:type="dxa"/>
                  </w:tcMar>
                  <w:vAlign w:val="center"/>
                </w:tcPr>
                <w:p w14:paraId="71E675A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4320</w:t>
                  </w:r>
                </w:p>
              </w:tc>
              <w:tc>
                <w:tcPr>
                  <w:tcW w:w="245" w:type="pct"/>
                  <w:tcBorders>
                    <w:tl2br w:val="nil"/>
                    <w:tr2bl w:val="nil"/>
                  </w:tcBorders>
                  <w:tcMar>
                    <w:top w:w="0" w:type="dxa"/>
                    <w:left w:w="28" w:type="dxa"/>
                    <w:bottom w:w="0" w:type="dxa"/>
                    <w:right w:w="28" w:type="dxa"/>
                  </w:tcMar>
                  <w:vAlign w:val="center"/>
                </w:tcPr>
                <w:p w14:paraId="313D8CEC">
                  <w:pPr>
                    <w:jc w:val="center"/>
                    <w:rPr>
                      <w:rFonts w:ascii="Times New Roman" w:hAnsi="Times New Roman" w:eastAsia="宋体" w:cs="Times New Roman"/>
                      <w:color w:val="000000"/>
                      <w:szCs w:val="21"/>
                    </w:rPr>
                  </w:pPr>
                  <w:r>
                    <w:rPr>
                      <w:rFonts w:ascii="Times New Roman" w:hAnsi="Times New Roman" w:cs="Times New Roman"/>
                      <w:color w:val="FF0000"/>
                      <w:szCs w:val="21"/>
                    </w:rPr>
                    <w:t>0.4635</w:t>
                  </w:r>
                </w:p>
              </w:tc>
              <w:tc>
                <w:tcPr>
                  <w:tcW w:w="358" w:type="pct"/>
                  <w:tcBorders>
                    <w:tl2br w:val="nil"/>
                    <w:tr2bl w:val="nil"/>
                  </w:tcBorders>
                  <w:tcMar>
                    <w:top w:w="0" w:type="dxa"/>
                    <w:left w:w="28" w:type="dxa"/>
                    <w:bottom w:w="0" w:type="dxa"/>
                    <w:right w:w="28" w:type="dxa"/>
                  </w:tcMar>
                  <w:vAlign w:val="center"/>
                </w:tcPr>
                <w:p w14:paraId="21540530">
                  <w:pPr>
                    <w:jc w:val="center"/>
                    <w:rPr>
                      <w:rFonts w:ascii="Times New Roman" w:hAnsi="Times New Roman" w:cs="Times New Roman"/>
                      <w:szCs w:val="21"/>
                    </w:rPr>
                  </w:pPr>
                  <w:r>
                    <w:rPr>
                      <w:rFonts w:hint="eastAsia" w:ascii="Times New Roman" w:hAnsi="Times New Roman" w:eastAsia="宋体" w:cs="Times New Roman"/>
                      <w:color w:val="FF0000"/>
                      <w:szCs w:val="21"/>
                    </w:rPr>
                    <w:t>75</w:t>
                  </w:r>
                </w:p>
              </w:tc>
              <w:tc>
                <w:tcPr>
                  <w:tcW w:w="134" w:type="pct"/>
                  <w:tcBorders>
                    <w:tl2br w:val="nil"/>
                    <w:tr2bl w:val="nil"/>
                  </w:tcBorders>
                  <w:tcMar>
                    <w:top w:w="0" w:type="dxa"/>
                    <w:left w:w="28" w:type="dxa"/>
                    <w:bottom w:w="0" w:type="dxa"/>
                    <w:right w:w="28" w:type="dxa"/>
                  </w:tcMar>
                  <w:vAlign w:val="center"/>
                </w:tcPr>
                <w:p w14:paraId="2F57D8E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6060B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 w:type="pct"/>
                  <w:vMerge w:val="continue"/>
                  <w:tcBorders>
                    <w:tl2br w:val="nil"/>
                    <w:tr2bl w:val="nil"/>
                  </w:tcBorders>
                  <w:tcMar>
                    <w:top w:w="0" w:type="dxa"/>
                    <w:left w:w="28" w:type="dxa"/>
                    <w:bottom w:w="0" w:type="dxa"/>
                    <w:right w:w="28" w:type="dxa"/>
                  </w:tcMar>
                  <w:vAlign w:val="center"/>
                </w:tcPr>
                <w:p w14:paraId="39094E8A">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3516E7DD">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4AC9DA0F">
                  <w:pPr>
                    <w:jc w:val="center"/>
                    <w:rPr>
                      <w:rFonts w:ascii="Times New Roman" w:hAnsi="Times New Roman" w:eastAsia="宋体" w:cs="Times New Roman"/>
                      <w:color w:val="000000"/>
                      <w:szCs w:val="21"/>
                    </w:rPr>
                  </w:pPr>
                </w:p>
              </w:tc>
              <w:tc>
                <w:tcPr>
                  <w:tcW w:w="268" w:type="pct"/>
                  <w:tcBorders>
                    <w:tl2br w:val="nil"/>
                    <w:tr2bl w:val="nil"/>
                  </w:tcBorders>
                  <w:tcMar>
                    <w:top w:w="0" w:type="dxa"/>
                    <w:left w:w="28" w:type="dxa"/>
                    <w:bottom w:w="0" w:type="dxa"/>
                    <w:right w:w="28" w:type="dxa"/>
                  </w:tcMar>
                  <w:vAlign w:val="center"/>
                </w:tcPr>
                <w:p w14:paraId="3CBF43F2">
                  <w:pPr>
                    <w:jc w:val="center"/>
                    <w:rPr>
                      <w:rFonts w:ascii="Times New Roman" w:hAnsi="Times New Roman" w:cs="Times New Roman"/>
                      <w:szCs w:val="21"/>
                    </w:rPr>
                  </w:pPr>
                  <w:r>
                    <w:rPr>
                      <w:rFonts w:ascii="Times New Roman" w:hAnsi="Times New Roman" w:cs="Times New Roman"/>
                      <w:szCs w:val="21"/>
                    </w:rPr>
                    <w:t>苯并[a]芘</w:t>
                  </w:r>
                </w:p>
              </w:tc>
              <w:tc>
                <w:tcPr>
                  <w:tcW w:w="180" w:type="pct"/>
                  <w:vMerge w:val="continue"/>
                  <w:tcBorders>
                    <w:tl2br w:val="nil"/>
                    <w:tr2bl w:val="nil"/>
                  </w:tcBorders>
                  <w:tcMar>
                    <w:top w:w="0" w:type="dxa"/>
                    <w:left w:w="28" w:type="dxa"/>
                    <w:bottom w:w="0" w:type="dxa"/>
                    <w:right w:w="28" w:type="dxa"/>
                  </w:tcMar>
                  <w:vAlign w:val="center"/>
                </w:tcPr>
                <w:p w14:paraId="109E743B">
                  <w:pPr>
                    <w:jc w:val="center"/>
                    <w:rPr>
                      <w:rFonts w:ascii="Times New Roman" w:hAnsi="Times New Roman" w:eastAsia="宋体" w:cs="Times New Roman"/>
                      <w:color w:val="000000"/>
                      <w:szCs w:val="21"/>
                    </w:rPr>
                  </w:pPr>
                </w:p>
              </w:tc>
              <w:tc>
                <w:tcPr>
                  <w:tcW w:w="249" w:type="pct"/>
                  <w:tcBorders>
                    <w:tl2br w:val="nil"/>
                    <w:tr2bl w:val="nil"/>
                  </w:tcBorders>
                  <w:tcMar>
                    <w:top w:w="0" w:type="dxa"/>
                    <w:left w:w="28" w:type="dxa"/>
                    <w:bottom w:w="0" w:type="dxa"/>
                    <w:right w:w="28" w:type="dxa"/>
                  </w:tcMar>
                  <w:vAlign w:val="center"/>
                </w:tcPr>
                <w:p w14:paraId="29DDC2B1">
                  <w:pPr>
                    <w:jc w:val="center"/>
                    <w:rPr>
                      <w:rFonts w:ascii="Times New Roman" w:hAnsi="Times New Roman" w:cs="Times New Roman"/>
                      <w:szCs w:val="21"/>
                    </w:rPr>
                  </w:pPr>
                  <w:r>
                    <w:rPr>
                      <w:rFonts w:hint="eastAsia" w:ascii="Times New Roman" w:hAnsi="Times New Roman" w:cs="Times New Roman"/>
                      <w:szCs w:val="21"/>
                    </w:rPr>
                    <w:t>0.0000727</w:t>
                  </w:r>
                </w:p>
              </w:tc>
              <w:tc>
                <w:tcPr>
                  <w:tcW w:w="292" w:type="pct"/>
                  <w:tcBorders>
                    <w:tl2br w:val="nil"/>
                    <w:tr2bl w:val="nil"/>
                  </w:tcBorders>
                  <w:tcMar>
                    <w:top w:w="0" w:type="dxa"/>
                    <w:left w:w="28" w:type="dxa"/>
                    <w:bottom w:w="0" w:type="dxa"/>
                    <w:right w:w="28" w:type="dxa"/>
                  </w:tcMar>
                  <w:vAlign w:val="center"/>
                </w:tcPr>
                <w:p w14:paraId="3B82D02D">
                  <w:pPr>
                    <w:jc w:val="center"/>
                    <w:rPr>
                      <w:rFonts w:ascii="Times New Roman" w:hAnsi="Times New Roman" w:cs="Times New Roman"/>
                      <w:szCs w:val="21"/>
                    </w:rPr>
                  </w:pPr>
                  <w:r>
                    <w:rPr>
                      <w:rFonts w:hint="eastAsia" w:ascii="Times New Roman" w:hAnsi="Times New Roman" w:cs="Times New Roman"/>
                      <w:szCs w:val="21"/>
                    </w:rPr>
                    <w:t>0.0000168</w:t>
                  </w:r>
                </w:p>
              </w:tc>
              <w:tc>
                <w:tcPr>
                  <w:tcW w:w="302" w:type="pct"/>
                  <w:tcBorders>
                    <w:tl2br w:val="nil"/>
                    <w:tr2bl w:val="nil"/>
                  </w:tcBorders>
                  <w:tcMar>
                    <w:top w:w="0" w:type="dxa"/>
                    <w:left w:w="28" w:type="dxa"/>
                    <w:bottom w:w="0" w:type="dxa"/>
                    <w:right w:w="28" w:type="dxa"/>
                  </w:tcMar>
                  <w:vAlign w:val="center"/>
                </w:tcPr>
                <w:p w14:paraId="247919F4">
                  <w:pPr>
                    <w:jc w:val="center"/>
                    <w:rPr>
                      <w:rFonts w:ascii="Times New Roman" w:hAnsi="Times New Roman" w:cs="Times New Roman"/>
                      <w:szCs w:val="21"/>
                    </w:rPr>
                  </w:pPr>
                  <w:r>
                    <w:rPr>
                      <w:rFonts w:hint="eastAsia" w:ascii="Times New Roman" w:hAnsi="Times New Roman" w:cs="Times New Roman"/>
                      <w:szCs w:val="21"/>
                    </w:rPr>
                    <w:t>0.00077</w:t>
                  </w:r>
                </w:p>
              </w:tc>
              <w:tc>
                <w:tcPr>
                  <w:tcW w:w="734" w:type="pct"/>
                  <w:vMerge w:val="continue"/>
                  <w:tcBorders>
                    <w:tl2br w:val="nil"/>
                    <w:tr2bl w:val="nil"/>
                  </w:tcBorders>
                  <w:tcMar>
                    <w:top w:w="0" w:type="dxa"/>
                    <w:left w:w="28" w:type="dxa"/>
                    <w:bottom w:w="0" w:type="dxa"/>
                    <w:right w:w="28" w:type="dxa"/>
                  </w:tcMar>
                  <w:vAlign w:val="center"/>
                </w:tcPr>
                <w:p w14:paraId="54E563AE">
                  <w:pPr>
                    <w:jc w:val="center"/>
                    <w:rPr>
                      <w:rFonts w:ascii="Times New Roman" w:hAnsi="Times New Roman" w:eastAsia="宋体" w:cs="Times New Roman"/>
                      <w:color w:val="000000"/>
                      <w:szCs w:val="21"/>
                    </w:rPr>
                  </w:pPr>
                </w:p>
              </w:tc>
              <w:tc>
                <w:tcPr>
                  <w:tcW w:w="206" w:type="pct"/>
                  <w:vMerge w:val="continue"/>
                  <w:tcBorders>
                    <w:tl2br w:val="nil"/>
                    <w:tr2bl w:val="nil"/>
                  </w:tcBorders>
                  <w:tcMar>
                    <w:top w:w="0" w:type="dxa"/>
                    <w:left w:w="28" w:type="dxa"/>
                    <w:bottom w:w="0" w:type="dxa"/>
                    <w:right w:w="28" w:type="dxa"/>
                  </w:tcMar>
                  <w:vAlign w:val="center"/>
                </w:tcPr>
                <w:p w14:paraId="7F2DF355">
                  <w:pPr>
                    <w:jc w:val="center"/>
                    <w:rPr>
                      <w:rFonts w:ascii="Times New Roman" w:hAnsi="Times New Roman" w:eastAsia="宋体" w:cs="Times New Roman"/>
                      <w:color w:val="000000"/>
                      <w:szCs w:val="21"/>
                    </w:rPr>
                  </w:pPr>
                </w:p>
              </w:tc>
              <w:tc>
                <w:tcPr>
                  <w:tcW w:w="264" w:type="pct"/>
                  <w:vMerge w:val="continue"/>
                  <w:tcBorders>
                    <w:tl2br w:val="nil"/>
                    <w:tr2bl w:val="nil"/>
                  </w:tcBorders>
                  <w:tcMar>
                    <w:top w:w="0" w:type="dxa"/>
                    <w:left w:w="28" w:type="dxa"/>
                    <w:bottom w:w="0" w:type="dxa"/>
                    <w:right w:w="28" w:type="dxa"/>
                  </w:tcMar>
                  <w:vAlign w:val="center"/>
                </w:tcPr>
                <w:p w14:paraId="20DCFE04">
                  <w:pPr>
                    <w:jc w:val="center"/>
                    <w:rPr>
                      <w:rFonts w:ascii="Times New Roman" w:hAnsi="Times New Roman" w:eastAsia="宋体" w:cs="Times New Roman"/>
                      <w:color w:val="000000"/>
                      <w:szCs w:val="21"/>
                    </w:rPr>
                  </w:pPr>
                </w:p>
              </w:tc>
              <w:tc>
                <w:tcPr>
                  <w:tcW w:w="278" w:type="pct"/>
                  <w:vMerge w:val="continue"/>
                  <w:tcBorders>
                    <w:tl2br w:val="nil"/>
                    <w:tr2bl w:val="nil"/>
                  </w:tcBorders>
                  <w:tcMar>
                    <w:top w:w="0" w:type="dxa"/>
                    <w:left w:w="28" w:type="dxa"/>
                    <w:bottom w:w="0" w:type="dxa"/>
                    <w:right w:w="28" w:type="dxa"/>
                  </w:tcMar>
                  <w:vAlign w:val="center"/>
                </w:tcPr>
                <w:p w14:paraId="590995ED">
                  <w:pPr>
                    <w:jc w:val="center"/>
                    <w:rPr>
                      <w:rFonts w:ascii="Times New Roman" w:hAnsi="Times New Roman" w:eastAsia="宋体" w:cs="Times New Roman"/>
                      <w:color w:val="000000"/>
                      <w:szCs w:val="21"/>
                    </w:rPr>
                  </w:pPr>
                </w:p>
              </w:tc>
              <w:tc>
                <w:tcPr>
                  <w:tcW w:w="196" w:type="pct"/>
                  <w:vMerge w:val="continue"/>
                  <w:tcBorders>
                    <w:tl2br w:val="nil"/>
                    <w:tr2bl w:val="nil"/>
                  </w:tcBorders>
                  <w:tcMar>
                    <w:top w:w="0" w:type="dxa"/>
                    <w:left w:w="28" w:type="dxa"/>
                    <w:bottom w:w="0" w:type="dxa"/>
                    <w:right w:w="28" w:type="dxa"/>
                  </w:tcMar>
                  <w:vAlign w:val="center"/>
                </w:tcPr>
                <w:p w14:paraId="5FC980F5">
                  <w:pPr>
                    <w:jc w:val="center"/>
                    <w:rPr>
                      <w:rFonts w:ascii="Times New Roman" w:hAnsi="Times New Roman" w:eastAsia="宋体" w:cs="Times New Roman"/>
                      <w:color w:val="000000"/>
                      <w:szCs w:val="21"/>
                    </w:rPr>
                  </w:pPr>
                </w:p>
              </w:tc>
              <w:tc>
                <w:tcPr>
                  <w:tcW w:w="234" w:type="pct"/>
                  <w:tcBorders>
                    <w:tl2br w:val="nil"/>
                    <w:tr2bl w:val="nil"/>
                  </w:tcBorders>
                  <w:tcMar>
                    <w:top w:w="0" w:type="dxa"/>
                    <w:left w:w="28" w:type="dxa"/>
                    <w:bottom w:w="0" w:type="dxa"/>
                    <w:right w:w="28" w:type="dxa"/>
                  </w:tcMar>
                  <w:vAlign w:val="center"/>
                </w:tcPr>
                <w:p w14:paraId="50652B5E">
                  <w:pPr>
                    <w:jc w:val="center"/>
                    <w:rPr>
                      <w:rFonts w:ascii="Times New Roman" w:hAnsi="Times New Roman" w:cs="Times New Roman"/>
                      <w:szCs w:val="21"/>
                    </w:rPr>
                  </w:pPr>
                  <w:r>
                    <w:rPr>
                      <w:rFonts w:hint="eastAsia" w:ascii="Times New Roman" w:hAnsi="Times New Roman" w:cs="Times New Roman"/>
                      <w:szCs w:val="21"/>
                    </w:rPr>
                    <w:t>0.000000727</w:t>
                  </w:r>
                </w:p>
              </w:tc>
              <w:tc>
                <w:tcPr>
                  <w:tcW w:w="225" w:type="pct"/>
                  <w:tcBorders>
                    <w:tl2br w:val="nil"/>
                    <w:tr2bl w:val="nil"/>
                  </w:tcBorders>
                  <w:tcMar>
                    <w:top w:w="0" w:type="dxa"/>
                    <w:left w:w="28" w:type="dxa"/>
                    <w:bottom w:w="0" w:type="dxa"/>
                    <w:right w:w="28" w:type="dxa"/>
                  </w:tcMar>
                  <w:vAlign w:val="center"/>
                </w:tcPr>
                <w:p w14:paraId="543D925C">
                  <w:pPr>
                    <w:jc w:val="center"/>
                    <w:rPr>
                      <w:rFonts w:ascii="Times New Roman" w:hAnsi="Times New Roman" w:cs="Times New Roman"/>
                      <w:szCs w:val="21"/>
                    </w:rPr>
                  </w:pPr>
                  <w:r>
                    <w:rPr>
                      <w:rFonts w:hint="eastAsia" w:ascii="Times New Roman" w:hAnsi="Times New Roman" w:cs="Times New Roman"/>
                      <w:szCs w:val="21"/>
                    </w:rPr>
                    <w:t>1.68</w:t>
                  </w:r>
                  <w:r>
                    <w:rPr>
                      <w:rFonts w:ascii="Times New Roman" w:hAnsi="Times New Roman" w:cs="Times New Roman"/>
                      <w:szCs w:val="21"/>
                    </w:rPr>
                    <w:t>×10</w:t>
                  </w:r>
                  <w:r>
                    <w:rPr>
                      <w:rFonts w:hint="eastAsia" w:ascii="Times New Roman" w:hAnsi="Times New Roman" w:cs="Times New Roman"/>
                      <w:szCs w:val="21"/>
                      <w:vertAlign w:val="superscript"/>
                    </w:rPr>
                    <w:t>-7</w:t>
                  </w:r>
                </w:p>
              </w:tc>
              <w:tc>
                <w:tcPr>
                  <w:tcW w:w="302" w:type="pct"/>
                  <w:tcBorders>
                    <w:tl2br w:val="nil"/>
                    <w:tr2bl w:val="nil"/>
                  </w:tcBorders>
                  <w:tcMar>
                    <w:top w:w="0" w:type="dxa"/>
                    <w:left w:w="28" w:type="dxa"/>
                    <w:bottom w:w="0" w:type="dxa"/>
                    <w:right w:w="28" w:type="dxa"/>
                  </w:tcMar>
                  <w:vAlign w:val="center"/>
                </w:tcPr>
                <w:p w14:paraId="5924ABC3">
                  <w:pPr>
                    <w:jc w:val="center"/>
                    <w:rPr>
                      <w:rFonts w:ascii="Times New Roman" w:hAnsi="Times New Roman" w:cs="Times New Roman"/>
                      <w:szCs w:val="21"/>
                    </w:rPr>
                  </w:pPr>
                  <w:r>
                    <w:rPr>
                      <w:rFonts w:hint="eastAsia" w:ascii="Times New Roman" w:hAnsi="Times New Roman" w:cs="Times New Roman"/>
                      <w:szCs w:val="21"/>
                    </w:rPr>
                    <w:t>7.708</w:t>
                  </w:r>
                  <w:r>
                    <w:rPr>
                      <w:rFonts w:ascii="Times New Roman" w:hAnsi="Times New Roman" w:cs="Times New Roman"/>
                      <w:szCs w:val="21"/>
                    </w:rPr>
                    <w:t>×10</w:t>
                  </w:r>
                  <w:r>
                    <w:rPr>
                      <w:rFonts w:hint="eastAsia" w:ascii="Times New Roman" w:hAnsi="Times New Roman" w:cs="Times New Roman"/>
                      <w:szCs w:val="21"/>
                      <w:vertAlign w:val="superscript"/>
                    </w:rPr>
                    <w:t>-6</w:t>
                  </w:r>
                </w:p>
              </w:tc>
              <w:tc>
                <w:tcPr>
                  <w:tcW w:w="201" w:type="pct"/>
                  <w:vMerge w:val="continue"/>
                  <w:tcBorders>
                    <w:tl2br w:val="nil"/>
                    <w:tr2bl w:val="nil"/>
                  </w:tcBorders>
                  <w:tcMar>
                    <w:top w:w="0" w:type="dxa"/>
                    <w:left w:w="28" w:type="dxa"/>
                    <w:bottom w:w="0" w:type="dxa"/>
                    <w:right w:w="28" w:type="dxa"/>
                  </w:tcMar>
                  <w:vAlign w:val="center"/>
                </w:tcPr>
                <w:p w14:paraId="6EDE3798">
                  <w:pPr>
                    <w:jc w:val="center"/>
                    <w:rPr>
                      <w:rFonts w:ascii="Times New Roman" w:hAnsi="Times New Roman" w:eastAsia="宋体" w:cs="Times New Roman"/>
                      <w:color w:val="000000"/>
                      <w:szCs w:val="21"/>
                    </w:rPr>
                  </w:pPr>
                </w:p>
              </w:tc>
              <w:tc>
                <w:tcPr>
                  <w:tcW w:w="245" w:type="pct"/>
                  <w:tcBorders>
                    <w:tl2br w:val="nil"/>
                    <w:tr2bl w:val="nil"/>
                  </w:tcBorders>
                  <w:tcMar>
                    <w:top w:w="0" w:type="dxa"/>
                    <w:left w:w="28" w:type="dxa"/>
                    <w:bottom w:w="0" w:type="dxa"/>
                    <w:right w:w="28" w:type="dxa"/>
                  </w:tcMar>
                  <w:vAlign w:val="center"/>
                </w:tcPr>
                <w:p w14:paraId="5E07C7AA">
                  <w:pPr>
                    <w:jc w:val="center"/>
                    <w:rPr>
                      <w:rFonts w:ascii="Times New Roman" w:hAnsi="Times New Roman" w:eastAsia="宋体" w:cs="Times New Roman"/>
                      <w:color w:val="000000"/>
                      <w:szCs w:val="21"/>
                    </w:rPr>
                  </w:pPr>
                  <w:r>
                    <w:rPr>
                      <w:rFonts w:ascii="Times New Roman" w:hAnsi="Times New Roman" w:cs="Times New Roman"/>
                      <w:color w:val="FF0000"/>
                      <w:szCs w:val="21"/>
                    </w:rPr>
                    <w:t>0.09375×10</w:t>
                  </w:r>
                  <w:r>
                    <w:rPr>
                      <w:rFonts w:hint="eastAsia" w:ascii="Times New Roman" w:hAnsi="Times New Roman" w:cs="Times New Roman"/>
                      <w:color w:val="FF0000"/>
                      <w:szCs w:val="21"/>
                      <w:vertAlign w:val="superscript"/>
                    </w:rPr>
                    <w:t>-3</w:t>
                  </w:r>
                </w:p>
              </w:tc>
              <w:tc>
                <w:tcPr>
                  <w:tcW w:w="358" w:type="pct"/>
                  <w:tcBorders>
                    <w:tl2br w:val="nil"/>
                    <w:tr2bl w:val="nil"/>
                  </w:tcBorders>
                  <w:tcMar>
                    <w:top w:w="0" w:type="dxa"/>
                    <w:left w:w="28" w:type="dxa"/>
                    <w:bottom w:w="0" w:type="dxa"/>
                    <w:right w:w="28" w:type="dxa"/>
                  </w:tcMar>
                  <w:vAlign w:val="center"/>
                </w:tcPr>
                <w:p w14:paraId="6B83B1ED">
                  <w:pPr>
                    <w:jc w:val="center"/>
                    <w:rPr>
                      <w:rFonts w:ascii="Times New Roman" w:hAnsi="Times New Roman" w:cs="Times New Roman"/>
                      <w:szCs w:val="21"/>
                    </w:rPr>
                  </w:pPr>
                  <w:r>
                    <w:rPr>
                      <w:rFonts w:ascii="Times New Roman" w:hAnsi="Times New Roman" w:cs="Times New Roman"/>
                      <w:color w:val="FF0000"/>
                      <w:szCs w:val="21"/>
                    </w:rPr>
                    <w:t>0.3×10</w:t>
                  </w:r>
                  <w:r>
                    <w:rPr>
                      <w:rFonts w:ascii="Times New Roman" w:hAnsi="Times New Roman" w:cs="Times New Roman"/>
                      <w:color w:val="FF0000"/>
                      <w:szCs w:val="21"/>
                      <w:vertAlign w:val="superscript"/>
                    </w:rPr>
                    <w:t>-3</w:t>
                  </w:r>
                </w:p>
              </w:tc>
              <w:tc>
                <w:tcPr>
                  <w:tcW w:w="134" w:type="pct"/>
                  <w:tcBorders>
                    <w:tl2br w:val="nil"/>
                    <w:tr2bl w:val="nil"/>
                  </w:tcBorders>
                  <w:tcMar>
                    <w:top w:w="0" w:type="dxa"/>
                    <w:left w:w="28" w:type="dxa"/>
                    <w:bottom w:w="0" w:type="dxa"/>
                    <w:right w:w="28" w:type="dxa"/>
                  </w:tcMar>
                  <w:vAlign w:val="center"/>
                </w:tcPr>
                <w:p w14:paraId="364DC3E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40B30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115" w:type="pct"/>
                  <w:vMerge w:val="continue"/>
                  <w:tcBorders>
                    <w:tl2br w:val="nil"/>
                    <w:tr2bl w:val="nil"/>
                  </w:tcBorders>
                  <w:tcMar>
                    <w:top w:w="0" w:type="dxa"/>
                    <w:left w:w="28" w:type="dxa"/>
                    <w:bottom w:w="0" w:type="dxa"/>
                    <w:right w:w="28" w:type="dxa"/>
                  </w:tcMar>
                  <w:vAlign w:val="center"/>
                </w:tcPr>
                <w:p w14:paraId="7AAAB0E6">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015165D0">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2ABB9296">
                  <w:pPr>
                    <w:jc w:val="center"/>
                    <w:rPr>
                      <w:rFonts w:ascii="Times New Roman" w:hAnsi="Times New Roman" w:eastAsia="宋体" w:cs="Times New Roman"/>
                      <w:color w:val="000000"/>
                      <w:szCs w:val="21"/>
                    </w:rPr>
                  </w:pPr>
                </w:p>
              </w:tc>
              <w:tc>
                <w:tcPr>
                  <w:tcW w:w="268" w:type="pct"/>
                  <w:tcBorders>
                    <w:tl2br w:val="nil"/>
                    <w:tr2bl w:val="nil"/>
                  </w:tcBorders>
                  <w:tcMar>
                    <w:top w:w="0" w:type="dxa"/>
                    <w:left w:w="28" w:type="dxa"/>
                    <w:bottom w:w="0" w:type="dxa"/>
                    <w:right w:w="28" w:type="dxa"/>
                  </w:tcMar>
                  <w:vAlign w:val="center"/>
                </w:tcPr>
                <w:p w14:paraId="78F35CE8">
                  <w:pPr>
                    <w:jc w:val="center"/>
                    <w:rPr>
                      <w:rFonts w:ascii="Times New Roman" w:hAnsi="Times New Roman" w:cs="Times New Roman"/>
                      <w:szCs w:val="21"/>
                    </w:rPr>
                  </w:pPr>
                  <w:r>
                    <w:rPr>
                      <w:rFonts w:hint="eastAsia" w:ascii="Times New Roman" w:hAnsi="Times New Roman" w:cs="Times New Roman"/>
                      <w:szCs w:val="21"/>
                    </w:rPr>
                    <w:t>非甲烷总烃</w:t>
                  </w:r>
                </w:p>
              </w:tc>
              <w:tc>
                <w:tcPr>
                  <w:tcW w:w="180" w:type="pct"/>
                  <w:vMerge w:val="continue"/>
                  <w:tcBorders>
                    <w:tl2br w:val="nil"/>
                    <w:tr2bl w:val="nil"/>
                  </w:tcBorders>
                  <w:tcMar>
                    <w:top w:w="0" w:type="dxa"/>
                    <w:left w:w="28" w:type="dxa"/>
                    <w:bottom w:w="0" w:type="dxa"/>
                    <w:right w:w="28" w:type="dxa"/>
                  </w:tcMar>
                  <w:vAlign w:val="center"/>
                </w:tcPr>
                <w:p w14:paraId="2B402283">
                  <w:pPr>
                    <w:jc w:val="center"/>
                    <w:rPr>
                      <w:rFonts w:ascii="Times New Roman" w:hAnsi="Times New Roman" w:eastAsia="宋体" w:cs="Times New Roman"/>
                      <w:color w:val="000000"/>
                      <w:szCs w:val="21"/>
                    </w:rPr>
                  </w:pPr>
                </w:p>
              </w:tc>
              <w:tc>
                <w:tcPr>
                  <w:tcW w:w="249" w:type="pct"/>
                  <w:tcBorders>
                    <w:tl2br w:val="nil"/>
                    <w:tr2bl w:val="nil"/>
                  </w:tcBorders>
                  <w:tcMar>
                    <w:top w:w="0" w:type="dxa"/>
                    <w:left w:w="28" w:type="dxa"/>
                    <w:bottom w:w="0" w:type="dxa"/>
                    <w:right w:w="28" w:type="dxa"/>
                  </w:tcMar>
                  <w:vAlign w:val="center"/>
                </w:tcPr>
                <w:p w14:paraId="5678BEF3">
                  <w:pPr>
                    <w:jc w:val="center"/>
                    <w:rPr>
                      <w:rFonts w:ascii="Times New Roman" w:hAnsi="Times New Roman" w:cs="Times New Roman"/>
                      <w:szCs w:val="21"/>
                    </w:rPr>
                  </w:pPr>
                  <w:r>
                    <w:rPr>
                      <w:rFonts w:hint="eastAsia" w:ascii="Times New Roman" w:hAnsi="Times New Roman" w:cs="Times New Roman"/>
                      <w:szCs w:val="21"/>
                    </w:rPr>
                    <w:t>0.339</w:t>
                  </w:r>
                </w:p>
              </w:tc>
              <w:tc>
                <w:tcPr>
                  <w:tcW w:w="292" w:type="pct"/>
                  <w:tcBorders>
                    <w:tl2br w:val="nil"/>
                    <w:tr2bl w:val="nil"/>
                  </w:tcBorders>
                  <w:tcMar>
                    <w:top w:w="0" w:type="dxa"/>
                    <w:left w:w="28" w:type="dxa"/>
                    <w:bottom w:w="0" w:type="dxa"/>
                    <w:right w:w="28" w:type="dxa"/>
                  </w:tcMar>
                  <w:vAlign w:val="center"/>
                </w:tcPr>
                <w:p w14:paraId="7142556E">
                  <w:pPr>
                    <w:jc w:val="center"/>
                    <w:rPr>
                      <w:rFonts w:ascii="Times New Roman" w:hAnsi="Times New Roman" w:cs="Times New Roman"/>
                      <w:szCs w:val="21"/>
                    </w:rPr>
                  </w:pPr>
                  <w:r>
                    <w:rPr>
                      <w:rFonts w:hint="eastAsia" w:ascii="Times New Roman" w:hAnsi="Times New Roman" w:cs="Times New Roman"/>
                      <w:szCs w:val="21"/>
                    </w:rPr>
                    <w:t>0.079</w:t>
                  </w:r>
                </w:p>
              </w:tc>
              <w:tc>
                <w:tcPr>
                  <w:tcW w:w="302" w:type="pct"/>
                  <w:tcBorders>
                    <w:tl2br w:val="nil"/>
                    <w:tr2bl w:val="nil"/>
                  </w:tcBorders>
                  <w:tcMar>
                    <w:top w:w="0" w:type="dxa"/>
                    <w:left w:w="28" w:type="dxa"/>
                    <w:bottom w:w="0" w:type="dxa"/>
                    <w:right w:w="28" w:type="dxa"/>
                  </w:tcMar>
                  <w:vAlign w:val="center"/>
                </w:tcPr>
                <w:p w14:paraId="18D43F0B">
                  <w:pPr>
                    <w:jc w:val="center"/>
                    <w:rPr>
                      <w:rFonts w:ascii="Times New Roman" w:hAnsi="Times New Roman" w:cs="Times New Roman"/>
                      <w:szCs w:val="21"/>
                    </w:rPr>
                  </w:pPr>
                  <w:r>
                    <w:rPr>
                      <w:rFonts w:hint="eastAsia" w:ascii="Times New Roman" w:hAnsi="Times New Roman" w:cs="Times New Roman"/>
                      <w:szCs w:val="21"/>
                    </w:rPr>
                    <w:t>3.596</w:t>
                  </w:r>
                </w:p>
              </w:tc>
              <w:tc>
                <w:tcPr>
                  <w:tcW w:w="734" w:type="pct"/>
                  <w:vMerge w:val="continue"/>
                  <w:tcBorders>
                    <w:tl2br w:val="nil"/>
                    <w:tr2bl w:val="nil"/>
                  </w:tcBorders>
                  <w:tcMar>
                    <w:top w:w="0" w:type="dxa"/>
                    <w:left w:w="28" w:type="dxa"/>
                    <w:bottom w:w="0" w:type="dxa"/>
                    <w:right w:w="28" w:type="dxa"/>
                  </w:tcMar>
                  <w:vAlign w:val="center"/>
                </w:tcPr>
                <w:p w14:paraId="218359FF">
                  <w:pPr>
                    <w:jc w:val="center"/>
                    <w:rPr>
                      <w:rFonts w:ascii="Times New Roman" w:hAnsi="Times New Roman" w:eastAsia="宋体" w:cs="Times New Roman"/>
                      <w:color w:val="000000"/>
                      <w:szCs w:val="21"/>
                    </w:rPr>
                  </w:pPr>
                </w:p>
              </w:tc>
              <w:tc>
                <w:tcPr>
                  <w:tcW w:w="206" w:type="pct"/>
                  <w:vMerge w:val="continue"/>
                  <w:tcBorders>
                    <w:tl2br w:val="nil"/>
                    <w:tr2bl w:val="nil"/>
                  </w:tcBorders>
                  <w:tcMar>
                    <w:top w:w="0" w:type="dxa"/>
                    <w:left w:w="28" w:type="dxa"/>
                    <w:bottom w:w="0" w:type="dxa"/>
                    <w:right w:w="28" w:type="dxa"/>
                  </w:tcMar>
                  <w:vAlign w:val="center"/>
                </w:tcPr>
                <w:p w14:paraId="47204CAD">
                  <w:pPr>
                    <w:jc w:val="center"/>
                    <w:rPr>
                      <w:rFonts w:ascii="Times New Roman" w:hAnsi="Times New Roman" w:eastAsia="宋体" w:cs="Times New Roman"/>
                      <w:color w:val="000000"/>
                      <w:szCs w:val="21"/>
                    </w:rPr>
                  </w:pPr>
                </w:p>
              </w:tc>
              <w:tc>
                <w:tcPr>
                  <w:tcW w:w="264" w:type="pct"/>
                  <w:vMerge w:val="continue"/>
                  <w:tcBorders>
                    <w:tl2br w:val="nil"/>
                    <w:tr2bl w:val="nil"/>
                  </w:tcBorders>
                  <w:tcMar>
                    <w:top w:w="0" w:type="dxa"/>
                    <w:left w:w="28" w:type="dxa"/>
                    <w:bottom w:w="0" w:type="dxa"/>
                    <w:right w:w="28" w:type="dxa"/>
                  </w:tcMar>
                  <w:vAlign w:val="center"/>
                </w:tcPr>
                <w:p w14:paraId="3D2A55CD">
                  <w:pPr>
                    <w:jc w:val="center"/>
                    <w:rPr>
                      <w:rFonts w:ascii="Times New Roman" w:hAnsi="Times New Roman" w:eastAsia="宋体" w:cs="Times New Roman"/>
                      <w:color w:val="000000"/>
                      <w:szCs w:val="21"/>
                    </w:rPr>
                  </w:pPr>
                </w:p>
              </w:tc>
              <w:tc>
                <w:tcPr>
                  <w:tcW w:w="278" w:type="pct"/>
                  <w:vMerge w:val="continue"/>
                  <w:tcBorders>
                    <w:tl2br w:val="nil"/>
                    <w:tr2bl w:val="nil"/>
                  </w:tcBorders>
                  <w:tcMar>
                    <w:top w:w="0" w:type="dxa"/>
                    <w:left w:w="28" w:type="dxa"/>
                    <w:bottom w:w="0" w:type="dxa"/>
                    <w:right w:w="28" w:type="dxa"/>
                  </w:tcMar>
                  <w:vAlign w:val="center"/>
                </w:tcPr>
                <w:p w14:paraId="1C2A61DB">
                  <w:pPr>
                    <w:jc w:val="center"/>
                    <w:rPr>
                      <w:rFonts w:ascii="Times New Roman" w:hAnsi="Times New Roman" w:eastAsia="宋体" w:cs="Times New Roman"/>
                      <w:color w:val="000000"/>
                      <w:szCs w:val="21"/>
                    </w:rPr>
                  </w:pPr>
                </w:p>
              </w:tc>
              <w:tc>
                <w:tcPr>
                  <w:tcW w:w="196" w:type="pct"/>
                  <w:vMerge w:val="continue"/>
                  <w:tcBorders>
                    <w:tl2br w:val="nil"/>
                    <w:tr2bl w:val="nil"/>
                  </w:tcBorders>
                  <w:tcMar>
                    <w:top w:w="0" w:type="dxa"/>
                    <w:left w:w="28" w:type="dxa"/>
                    <w:bottom w:w="0" w:type="dxa"/>
                    <w:right w:w="28" w:type="dxa"/>
                  </w:tcMar>
                  <w:vAlign w:val="center"/>
                </w:tcPr>
                <w:p w14:paraId="20F8D3DF">
                  <w:pPr>
                    <w:jc w:val="center"/>
                    <w:rPr>
                      <w:rFonts w:ascii="Times New Roman" w:hAnsi="Times New Roman" w:eastAsia="宋体" w:cs="Times New Roman"/>
                      <w:color w:val="000000"/>
                      <w:szCs w:val="21"/>
                    </w:rPr>
                  </w:pPr>
                </w:p>
              </w:tc>
              <w:tc>
                <w:tcPr>
                  <w:tcW w:w="234" w:type="pct"/>
                  <w:tcBorders>
                    <w:tl2br w:val="nil"/>
                    <w:tr2bl w:val="nil"/>
                  </w:tcBorders>
                  <w:tcMar>
                    <w:top w:w="0" w:type="dxa"/>
                    <w:left w:w="28" w:type="dxa"/>
                    <w:bottom w:w="0" w:type="dxa"/>
                    <w:right w:w="28" w:type="dxa"/>
                  </w:tcMar>
                  <w:vAlign w:val="center"/>
                </w:tcPr>
                <w:p w14:paraId="04E4C62A">
                  <w:pPr>
                    <w:jc w:val="center"/>
                    <w:rPr>
                      <w:rFonts w:ascii="Times New Roman" w:hAnsi="Times New Roman" w:cs="Times New Roman"/>
                      <w:szCs w:val="21"/>
                    </w:rPr>
                  </w:pPr>
                  <w:r>
                    <w:rPr>
                      <w:rFonts w:hint="eastAsia" w:ascii="Times New Roman" w:hAnsi="Times New Roman" w:cs="Times New Roman"/>
                      <w:szCs w:val="21"/>
                    </w:rPr>
                    <w:t>0.00339</w:t>
                  </w:r>
                </w:p>
              </w:tc>
              <w:tc>
                <w:tcPr>
                  <w:tcW w:w="225" w:type="pct"/>
                  <w:tcBorders>
                    <w:tl2br w:val="nil"/>
                    <w:tr2bl w:val="nil"/>
                  </w:tcBorders>
                  <w:tcMar>
                    <w:top w:w="0" w:type="dxa"/>
                    <w:left w:w="28" w:type="dxa"/>
                    <w:bottom w:w="0" w:type="dxa"/>
                    <w:right w:w="28" w:type="dxa"/>
                  </w:tcMar>
                  <w:vAlign w:val="center"/>
                </w:tcPr>
                <w:p w14:paraId="5792FCEB">
                  <w:pPr>
                    <w:jc w:val="center"/>
                    <w:rPr>
                      <w:rFonts w:ascii="Times New Roman" w:hAnsi="Times New Roman" w:cs="Times New Roman"/>
                      <w:szCs w:val="21"/>
                    </w:rPr>
                  </w:pPr>
                  <w:r>
                    <w:rPr>
                      <w:rFonts w:hint="eastAsia" w:ascii="Times New Roman" w:hAnsi="Times New Roman" w:cs="Times New Roman"/>
                      <w:szCs w:val="21"/>
                    </w:rPr>
                    <w:t>0.00078</w:t>
                  </w:r>
                </w:p>
              </w:tc>
              <w:tc>
                <w:tcPr>
                  <w:tcW w:w="302" w:type="pct"/>
                  <w:tcBorders>
                    <w:tl2br w:val="nil"/>
                    <w:tr2bl w:val="nil"/>
                  </w:tcBorders>
                  <w:tcMar>
                    <w:top w:w="0" w:type="dxa"/>
                    <w:left w:w="28" w:type="dxa"/>
                    <w:bottom w:w="0" w:type="dxa"/>
                    <w:right w:w="28" w:type="dxa"/>
                  </w:tcMar>
                  <w:vAlign w:val="center"/>
                </w:tcPr>
                <w:p w14:paraId="3CFD9E09">
                  <w:pPr>
                    <w:jc w:val="center"/>
                    <w:rPr>
                      <w:rFonts w:ascii="Times New Roman" w:hAnsi="Times New Roman" w:cs="Times New Roman"/>
                      <w:szCs w:val="21"/>
                    </w:rPr>
                  </w:pPr>
                  <w:r>
                    <w:rPr>
                      <w:rFonts w:hint="eastAsia" w:ascii="Times New Roman" w:hAnsi="Times New Roman" w:cs="Times New Roman"/>
                      <w:szCs w:val="21"/>
                    </w:rPr>
                    <w:t>0.036</w:t>
                  </w:r>
                </w:p>
              </w:tc>
              <w:tc>
                <w:tcPr>
                  <w:tcW w:w="201" w:type="pct"/>
                  <w:vMerge w:val="continue"/>
                  <w:tcBorders>
                    <w:tl2br w:val="nil"/>
                    <w:tr2bl w:val="nil"/>
                  </w:tcBorders>
                  <w:tcMar>
                    <w:top w:w="0" w:type="dxa"/>
                    <w:left w:w="28" w:type="dxa"/>
                    <w:bottom w:w="0" w:type="dxa"/>
                    <w:right w:w="28" w:type="dxa"/>
                  </w:tcMar>
                  <w:vAlign w:val="center"/>
                </w:tcPr>
                <w:p w14:paraId="68A490DD">
                  <w:pPr>
                    <w:jc w:val="center"/>
                    <w:rPr>
                      <w:rFonts w:ascii="Times New Roman" w:hAnsi="Times New Roman" w:eastAsia="宋体" w:cs="Times New Roman"/>
                      <w:color w:val="000000"/>
                      <w:szCs w:val="21"/>
                    </w:rPr>
                  </w:pPr>
                </w:p>
              </w:tc>
              <w:tc>
                <w:tcPr>
                  <w:tcW w:w="245" w:type="pct"/>
                  <w:tcBorders>
                    <w:tl2br w:val="nil"/>
                    <w:tr2bl w:val="nil"/>
                  </w:tcBorders>
                  <w:tcMar>
                    <w:top w:w="0" w:type="dxa"/>
                    <w:left w:w="28" w:type="dxa"/>
                    <w:bottom w:w="0" w:type="dxa"/>
                    <w:right w:w="28" w:type="dxa"/>
                  </w:tcMar>
                  <w:vAlign w:val="center"/>
                </w:tcPr>
                <w:p w14:paraId="0C566713">
                  <w:pPr>
                    <w:jc w:val="center"/>
                    <w:rPr>
                      <w:rFonts w:ascii="Times New Roman" w:hAnsi="Times New Roman" w:eastAsia="宋体" w:cs="Times New Roman"/>
                      <w:color w:val="000000"/>
                      <w:szCs w:val="21"/>
                    </w:rPr>
                  </w:pPr>
                  <w:r>
                    <w:rPr>
                      <w:rFonts w:hint="eastAsia" w:ascii="Times New Roman" w:hAnsi="Times New Roman" w:cs="Times New Roman"/>
                      <w:color w:val="FF0000"/>
                      <w:szCs w:val="21"/>
                    </w:rPr>
                    <w:t>12</w:t>
                  </w:r>
                </w:p>
              </w:tc>
              <w:tc>
                <w:tcPr>
                  <w:tcW w:w="358" w:type="pct"/>
                  <w:tcBorders>
                    <w:tl2br w:val="nil"/>
                    <w:tr2bl w:val="nil"/>
                  </w:tcBorders>
                  <w:tcMar>
                    <w:top w:w="0" w:type="dxa"/>
                    <w:left w:w="28" w:type="dxa"/>
                    <w:bottom w:w="0" w:type="dxa"/>
                    <w:right w:w="28" w:type="dxa"/>
                  </w:tcMar>
                  <w:vAlign w:val="center"/>
                </w:tcPr>
                <w:p w14:paraId="69BCEFE2">
                  <w:pPr>
                    <w:jc w:val="center"/>
                    <w:rPr>
                      <w:rFonts w:ascii="Times New Roman" w:hAnsi="Times New Roman" w:cs="Times New Roman"/>
                      <w:szCs w:val="21"/>
                    </w:rPr>
                  </w:pPr>
                  <w:r>
                    <w:rPr>
                      <w:rFonts w:hint="eastAsia" w:ascii="Times New Roman" w:hAnsi="Times New Roman" w:eastAsia="宋体" w:cs="Times New Roman"/>
                      <w:color w:val="FF0000"/>
                      <w:szCs w:val="21"/>
                    </w:rPr>
                    <w:t>120</w:t>
                  </w:r>
                </w:p>
              </w:tc>
              <w:tc>
                <w:tcPr>
                  <w:tcW w:w="134" w:type="pct"/>
                  <w:tcBorders>
                    <w:tl2br w:val="nil"/>
                    <w:tr2bl w:val="nil"/>
                  </w:tcBorders>
                  <w:tcMar>
                    <w:top w:w="0" w:type="dxa"/>
                    <w:left w:w="28" w:type="dxa"/>
                    <w:bottom w:w="0" w:type="dxa"/>
                    <w:right w:w="28" w:type="dxa"/>
                  </w:tcMar>
                  <w:vAlign w:val="center"/>
                </w:tcPr>
                <w:p w14:paraId="104BA2D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7DD9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15" w:type="pct"/>
                  <w:vMerge w:val="continue"/>
                  <w:tcBorders>
                    <w:tl2br w:val="nil"/>
                    <w:tr2bl w:val="nil"/>
                  </w:tcBorders>
                  <w:tcMar>
                    <w:top w:w="0" w:type="dxa"/>
                    <w:left w:w="28" w:type="dxa"/>
                    <w:bottom w:w="0" w:type="dxa"/>
                    <w:right w:w="28" w:type="dxa"/>
                  </w:tcMar>
                  <w:vAlign w:val="center"/>
                </w:tcPr>
                <w:p w14:paraId="2F458438">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18EE2AFE">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03F4132A">
                  <w:pPr>
                    <w:jc w:val="center"/>
                    <w:rPr>
                      <w:rFonts w:ascii="Times New Roman" w:hAnsi="Times New Roman" w:eastAsia="宋体" w:cs="Times New Roman"/>
                      <w:color w:val="000000"/>
                      <w:szCs w:val="21"/>
                    </w:rPr>
                  </w:pPr>
                </w:p>
              </w:tc>
              <w:tc>
                <w:tcPr>
                  <w:tcW w:w="268" w:type="pct"/>
                  <w:tcBorders>
                    <w:tl2br w:val="nil"/>
                    <w:tr2bl w:val="nil"/>
                  </w:tcBorders>
                  <w:tcMar>
                    <w:top w:w="0" w:type="dxa"/>
                    <w:left w:w="28" w:type="dxa"/>
                    <w:bottom w:w="0" w:type="dxa"/>
                    <w:right w:w="28" w:type="dxa"/>
                  </w:tcMar>
                  <w:vAlign w:val="center"/>
                </w:tcPr>
                <w:p w14:paraId="458FF146">
                  <w:pPr>
                    <w:jc w:val="center"/>
                    <w:rPr>
                      <w:rFonts w:ascii="Times New Roman" w:hAnsi="Times New Roman" w:cs="Times New Roman"/>
                      <w:szCs w:val="21"/>
                    </w:rPr>
                  </w:pPr>
                  <w:r>
                    <w:rPr>
                      <w:rFonts w:hint="eastAsia" w:ascii="Times New Roman" w:hAnsi="Times New Roman" w:cs="Times New Roman"/>
                      <w:szCs w:val="21"/>
                    </w:rPr>
                    <w:t>沥青烟</w:t>
                  </w:r>
                </w:p>
              </w:tc>
              <w:tc>
                <w:tcPr>
                  <w:tcW w:w="180" w:type="pct"/>
                  <w:vMerge w:val="restart"/>
                  <w:tcBorders>
                    <w:tl2br w:val="nil"/>
                    <w:tr2bl w:val="nil"/>
                  </w:tcBorders>
                  <w:tcMar>
                    <w:top w:w="0" w:type="dxa"/>
                    <w:left w:w="28" w:type="dxa"/>
                    <w:bottom w:w="0" w:type="dxa"/>
                    <w:right w:w="28" w:type="dxa"/>
                  </w:tcMar>
                  <w:vAlign w:val="center"/>
                </w:tcPr>
                <w:p w14:paraId="3E27DB0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无组织</w:t>
                  </w:r>
                </w:p>
              </w:tc>
              <w:tc>
                <w:tcPr>
                  <w:tcW w:w="249" w:type="pct"/>
                  <w:tcBorders>
                    <w:tl2br w:val="nil"/>
                    <w:tr2bl w:val="nil"/>
                  </w:tcBorders>
                  <w:tcMar>
                    <w:top w:w="0" w:type="dxa"/>
                    <w:left w:w="28" w:type="dxa"/>
                    <w:bottom w:w="0" w:type="dxa"/>
                    <w:right w:w="28" w:type="dxa"/>
                  </w:tcMar>
                  <w:vAlign w:val="center"/>
                </w:tcPr>
                <w:p w14:paraId="1A0B6CA6">
                  <w:pPr>
                    <w:jc w:val="center"/>
                    <w:rPr>
                      <w:rFonts w:ascii="Times New Roman" w:hAnsi="Times New Roman" w:cs="Times New Roman"/>
                      <w:szCs w:val="21"/>
                    </w:rPr>
                  </w:pPr>
                  <w:r>
                    <w:rPr>
                      <w:rFonts w:hint="eastAsia" w:ascii="Times New Roman" w:hAnsi="Times New Roman" w:cs="Times New Roman"/>
                      <w:szCs w:val="21"/>
                    </w:rPr>
                    <w:t>0.0255</w:t>
                  </w:r>
                </w:p>
              </w:tc>
              <w:tc>
                <w:tcPr>
                  <w:tcW w:w="292" w:type="pct"/>
                  <w:tcBorders>
                    <w:tl2br w:val="nil"/>
                    <w:tr2bl w:val="nil"/>
                  </w:tcBorders>
                  <w:tcMar>
                    <w:top w:w="0" w:type="dxa"/>
                    <w:left w:w="28" w:type="dxa"/>
                    <w:bottom w:w="0" w:type="dxa"/>
                    <w:right w:w="28" w:type="dxa"/>
                  </w:tcMar>
                  <w:vAlign w:val="center"/>
                </w:tcPr>
                <w:p w14:paraId="4353D780">
                  <w:pPr>
                    <w:jc w:val="center"/>
                    <w:rPr>
                      <w:rFonts w:ascii="Times New Roman" w:hAnsi="Times New Roman" w:cs="Times New Roman"/>
                      <w:szCs w:val="21"/>
                    </w:rPr>
                  </w:pPr>
                  <w:r>
                    <w:rPr>
                      <w:rFonts w:hint="eastAsia" w:ascii="Times New Roman" w:hAnsi="Times New Roman" w:cs="Times New Roman"/>
                      <w:szCs w:val="21"/>
                    </w:rPr>
                    <w:t>0.0059</w:t>
                  </w:r>
                </w:p>
              </w:tc>
              <w:tc>
                <w:tcPr>
                  <w:tcW w:w="302" w:type="pct"/>
                  <w:tcBorders>
                    <w:tl2br w:val="nil"/>
                    <w:tr2bl w:val="nil"/>
                  </w:tcBorders>
                  <w:tcMar>
                    <w:top w:w="0" w:type="dxa"/>
                    <w:left w:w="28" w:type="dxa"/>
                    <w:bottom w:w="0" w:type="dxa"/>
                    <w:right w:w="28" w:type="dxa"/>
                  </w:tcMar>
                  <w:vAlign w:val="center"/>
                </w:tcPr>
                <w:p w14:paraId="027F1003">
                  <w:pPr>
                    <w:jc w:val="center"/>
                    <w:rPr>
                      <w:rFonts w:ascii="Times New Roman" w:hAnsi="Times New Roman" w:cs="Times New Roman"/>
                      <w:szCs w:val="21"/>
                    </w:rPr>
                  </w:pPr>
                  <w:r>
                    <w:rPr>
                      <w:rFonts w:hint="eastAsia" w:ascii="Times New Roman" w:hAnsi="Times New Roman" w:cs="Times New Roman"/>
                      <w:szCs w:val="21"/>
                    </w:rPr>
                    <w:t>/</w:t>
                  </w:r>
                </w:p>
              </w:tc>
              <w:tc>
                <w:tcPr>
                  <w:tcW w:w="734" w:type="pct"/>
                  <w:vMerge w:val="restart"/>
                  <w:tcBorders>
                    <w:tl2br w:val="nil"/>
                    <w:tr2bl w:val="nil"/>
                  </w:tcBorders>
                  <w:tcMar>
                    <w:top w:w="0" w:type="dxa"/>
                    <w:left w:w="28" w:type="dxa"/>
                    <w:bottom w:w="0" w:type="dxa"/>
                    <w:right w:w="28" w:type="dxa"/>
                  </w:tcMar>
                  <w:vAlign w:val="center"/>
                </w:tcPr>
                <w:p w14:paraId="5F95F3A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未收集呈无组织排放</w:t>
                  </w:r>
                </w:p>
              </w:tc>
              <w:tc>
                <w:tcPr>
                  <w:tcW w:w="206" w:type="pct"/>
                  <w:vMerge w:val="restart"/>
                  <w:tcBorders>
                    <w:tl2br w:val="nil"/>
                    <w:tr2bl w:val="nil"/>
                  </w:tcBorders>
                  <w:tcMar>
                    <w:top w:w="0" w:type="dxa"/>
                    <w:left w:w="28" w:type="dxa"/>
                    <w:bottom w:w="0" w:type="dxa"/>
                    <w:right w:w="28" w:type="dxa"/>
                  </w:tcMar>
                  <w:vAlign w:val="center"/>
                </w:tcPr>
                <w:p w14:paraId="16B0CF6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64" w:type="pct"/>
                  <w:vMerge w:val="restart"/>
                  <w:tcBorders>
                    <w:tl2br w:val="nil"/>
                    <w:tr2bl w:val="nil"/>
                  </w:tcBorders>
                  <w:tcMar>
                    <w:top w:w="0" w:type="dxa"/>
                    <w:left w:w="28" w:type="dxa"/>
                    <w:bottom w:w="0" w:type="dxa"/>
                    <w:right w:w="28" w:type="dxa"/>
                  </w:tcMar>
                  <w:vAlign w:val="center"/>
                </w:tcPr>
                <w:p w14:paraId="181126F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78" w:type="pct"/>
                  <w:vMerge w:val="restart"/>
                  <w:tcBorders>
                    <w:tl2br w:val="nil"/>
                    <w:tr2bl w:val="nil"/>
                  </w:tcBorders>
                  <w:tcMar>
                    <w:top w:w="0" w:type="dxa"/>
                    <w:left w:w="28" w:type="dxa"/>
                    <w:bottom w:w="0" w:type="dxa"/>
                    <w:right w:w="28" w:type="dxa"/>
                  </w:tcMar>
                  <w:vAlign w:val="center"/>
                </w:tcPr>
                <w:p w14:paraId="651194D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196" w:type="pct"/>
                  <w:vMerge w:val="restart"/>
                  <w:tcBorders>
                    <w:tl2br w:val="nil"/>
                    <w:tr2bl w:val="nil"/>
                  </w:tcBorders>
                  <w:tcMar>
                    <w:top w:w="0" w:type="dxa"/>
                    <w:left w:w="28" w:type="dxa"/>
                    <w:bottom w:w="0" w:type="dxa"/>
                    <w:right w:w="28" w:type="dxa"/>
                  </w:tcMar>
                  <w:vAlign w:val="center"/>
                </w:tcPr>
                <w:p w14:paraId="6E871F1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34" w:type="pct"/>
                  <w:tcBorders>
                    <w:tl2br w:val="nil"/>
                    <w:tr2bl w:val="nil"/>
                  </w:tcBorders>
                  <w:tcMar>
                    <w:top w:w="0" w:type="dxa"/>
                    <w:left w:w="28" w:type="dxa"/>
                    <w:bottom w:w="0" w:type="dxa"/>
                    <w:right w:w="28" w:type="dxa"/>
                  </w:tcMar>
                  <w:vAlign w:val="center"/>
                </w:tcPr>
                <w:p w14:paraId="50C1B224">
                  <w:pPr>
                    <w:jc w:val="center"/>
                    <w:rPr>
                      <w:rFonts w:ascii="Times New Roman" w:hAnsi="Times New Roman" w:cs="Times New Roman"/>
                      <w:szCs w:val="21"/>
                    </w:rPr>
                  </w:pPr>
                  <w:r>
                    <w:rPr>
                      <w:rFonts w:hint="eastAsia" w:ascii="Times New Roman" w:hAnsi="Times New Roman" w:cs="Times New Roman"/>
                      <w:szCs w:val="21"/>
                    </w:rPr>
                    <w:t>0.0255</w:t>
                  </w:r>
                </w:p>
              </w:tc>
              <w:tc>
                <w:tcPr>
                  <w:tcW w:w="225" w:type="pct"/>
                  <w:tcBorders>
                    <w:tl2br w:val="nil"/>
                    <w:tr2bl w:val="nil"/>
                  </w:tcBorders>
                  <w:tcMar>
                    <w:top w:w="0" w:type="dxa"/>
                    <w:left w:w="28" w:type="dxa"/>
                    <w:bottom w:w="0" w:type="dxa"/>
                    <w:right w:w="28" w:type="dxa"/>
                  </w:tcMar>
                  <w:vAlign w:val="center"/>
                </w:tcPr>
                <w:p w14:paraId="31DBECD1">
                  <w:pPr>
                    <w:jc w:val="center"/>
                    <w:rPr>
                      <w:rFonts w:ascii="Times New Roman" w:hAnsi="Times New Roman" w:cs="Times New Roman"/>
                      <w:szCs w:val="21"/>
                    </w:rPr>
                  </w:pPr>
                  <w:r>
                    <w:rPr>
                      <w:rFonts w:hint="eastAsia" w:ascii="Times New Roman" w:hAnsi="Times New Roman" w:cs="Times New Roman"/>
                      <w:szCs w:val="21"/>
                    </w:rPr>
                    <w:t>0.0059</w:t>
                  </w:r>
                </w:p>
              </w:tc>
              <w:tc>
                <w:tcPr>
                  <w:tcW w:w="302" w:type="pct"/>
                  <w:tcBorders>
                    <w:tl2br w:val="nil"/>
                    <w:tr2bl w:val="nil"/>
                  </w:tcBorders>
                  <w:tcMar>
                    <w:top w:w="0" w:type="dxa"/>
                    <w:left w:w="28" w:type="dxa"/>
                    <w:bottom w:w="0" w:type="dxa"/>
                    <w:right w:w="28" w:type="dxa"/>
                  </w:tcMar>
                  <w:vAlign w:val="center"/>
                </w:tcPr>
                <w:p w14:paraId="5D18CA51">
                  <w:pPr>
                    <w:jc w:val="center"/>
                    <w:rPr>
                      <w:rFonts w:ascii="Times New Roman" w:hAnsi="Times New Roman" w:cs="Times New Roman"/>
                      <w:szCs w:val="21"/>
                    </w:rPr>
                  </w:pPr>
                  <w:r>
                    <w:rPr>
                      <w:rFonts w:hint="eastAsia" w:ascii="Times New Roman" w:hAnsi="Times New Roman" w:cs="Times New Roman"/>
                      <w:szCs w:val="21"/>
                    </w:rPr>
                    <w:t>/</w:t>
                  </w:r>
                </w:p>
              </w:tc>
              <w:tc>
                <w:tcPr>
                  <w:tcW w:w="201" w:type="pct"/>
                  <w:vMerge w:val="restart"/>
                  <w:tcBorders>
                    <w:tl2br w:val="nil"/>
                    <w:tr2bl w:val="nil"/>
                  </w:tcBorders>
                  <w:tcMar>
                    <w:top w:w="0" w:type="dxa"/>
                    <w:left w:w="28" w:type="dxa"/>
                    <w:bottom w:w="0" w:type="dxa"/>
                    <w:right w:w="28" w:type="dxa"/>
                  </w:tcMar>
                  <w:vAlign w:val="center"/>
                </w:tcPr>
                <w:p w14:paraId="1B166EB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4320</w:t>
                  </w:r>
                </w:p>
              </w:tc>
              <w:tc>
                <w:tcPr>
                  <w:tcW w:w="604" w:type="pct"/>
                  <w:gridSpan w:val="2"/>
                  <w:tcBorders>
                    <w:tl2br w:val="nil"/>
                    <w:tr2bl w:val="nil"/>
                  </w:tcBorders>
                  <w:tcMar>
                    <w:top w:w="0" w:type="dxa"/>
                    <w:left w:w="28" w:type="dxa"/>
                    <w:bottom w:w="0" w:type="dxa"/>
                    <w:right w:w="28" w:type="dxa"/>
                  </w:tcMar>
                  <w:vAlign w:val="center"/>
                </w:tcPr>
                <w:p w14:paraId="46A1AABC">
                  <w:pPr>
                    <w:jc w:val="center"/>
                    <w:rPr>
                      <w:rFonts w:ascii="Times New Roman" w:hAnsi="Times New Roman" w:cs="Times New Roman"/>
                      <w:szCs w:val="21"/>
                    </w:rPr>
                  </w:pPr>
                  <w:r>
                    <w:rPr>
                      <w:rFonts w:ascii="Times New Roman" w:hAnsi="Times New Roman" w:cs="Times New Roman"/>
                      <w:szCs w:val="21"/>
                    </w:rPr>
                    <w:t xml:space="preserve">生产设备不得有明显的无组 </w:t>
                  </w:r>
                </w:p>
                <w:p w14:paraId="431FC2BE">
                  <w:pPr>
                    <w:jc w:val="center"/>
                    <w:rPr>
                      <w:rFonts w:ascii="Times New Roman" w:hAnsi="Times New Roman" w:cs="Times New Roman"/>
                      <w:szCs w:val="21"/>
                    </w:rPr>
                  </w:pPr>
                  <w:r>
                    <w:rPr>
                      <w:rFonts w:ascii="Times New Roman" w:hAnsi="Times New Roman" w:cs="Times New Roman"/>
                      <w:szCs w:val="21"/>
                    </w:rPr>
                    <w:t>织排放存在</w:t>
                  </w:r>
                </w:p>
              </w:tc>
              <w:tc>
                <w:tcPr>
                  <w:tcW w:w="134" w:type="pct"/>
                  <w:tcBorders>
                    <w:tl2br w:val="nil"/>
                    <w:tr2bl w:val="nil"/>
                  </w:tcBorders>
                  <w:tcMar>
                    <w:top w:w="0" w:type="dxa"/>
                    <w:left w:w="28" w:type="dxa"/>
                    <w:bottom w:w="0" w:type="dxa"/>
                    <w:right w:w="28" w:type="dxa"/>
                  </w:tcMar>
                  <w:vAlign w:val="center"/>
                </w:tcPr>
                <w:p w14:paraId="347EC1B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4B75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115" w:type="pct"/>
                  <w:vMerge w:val="continue"/>
                  <w:tcBorders>
                    <w:tl2br w:val="nil"/>
                    <w:tr2bl w:val="nil"/>
                  </w:tcBorders>
                  <w:tcMar>
                    <w:top w:w="0" w:type="dxa"/>
                    <w:left w:w="28" w:type="dxa"/>
                    <w:bottom w:w="0" w:type="dxa"/>
                    <w:right w:w="28" w:type="dxa"/>
                  </w:tcMar>
                  <w:vAlign w:val="center"/>
                </w:tcPr>
                <w:p w14:paraId="2589EDB0">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377035B5">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66C92024">
                  <w:pPr>
                    <w:jc w:val="center"/>
                    <w:rPr>
                      <w:rFonts w:ascii="Times New Roman" w:hAnsi="Times New Roman" w:eastAsia="宋体" w:cs="Times New Roman"/>
                      <w:color w:val="000000"/>
                      <w:szCs w:val="21"/>
                    </w:rPr>
                  </w:pPr>
                </w:p>
              </w:tc>
              <w:tc>
                <w:tcPr>
                  <w:tcW w:w="268" w:type="pct"/>
                  <w:tcBorders>
                    <w:tl2br w:val="nil"/>
                    <w:tr2bl w:val="nil"/>
                  </w:tcBorders>
                  <w:tcMar>
                    <w:top w:w="0" w:type="dxa"/>
                    <w:left w:w="28" w:type="dxa"/>
                    <w:bottom w:w="0" w:type="dxa"/>
                    <w:right w:w="28" w:type="dxa"/>
                  </w:tcMar>
                  <w:vAlign w:val="center"/>
                </w:tcPr>
                <w:p w14:paraId="4CE2F88B">
                  <w:pPr>
                    <w:jc w:val="center"/>
                    <w:rPr>
                      <w:rFonts w:ascii="Times New Roman" w:hAnsi="Times New Roman" w:cs="Times New Roman"/>
                      <w:szCs w:val="21"/>
                    </w:rPr>
                  </w:pPr>
                  <w:r>
                    <w:rPr>
                      <w:rFonts w:ascii="Times New Roman" w:hAnsi="Times New Roman" w:cs="Times New Roman"/>
                      <w:szCs w:val="21"/>
                    </w:rPr>
                    <w:t>苯并[a]芘</w:t>
                  </w:r>
                </w:p>
              </w:tc>
              <w:tc>
                <w:tcPr>
                  <w:tcW w:w="180" w:type="pct"/>
                  <w:vMerge w:val="continue"/>
                  <w:tcBorders>
                    <w:tl2br w:val="nil"/>
                    <w:tr2bl w:val="nil"/>
                  </w:tcBorders>
                  <w:tcMar>
                    <w:top w:w="0" w:type="dxa"/>
                    <w:left w:w="28" w:type="dxa"/>
                    <w:bottom w:w="0" w:type="dxa"/>
                    <w:right w:w="28" w:type="dxa"/>
                  </w:tcMar>
                  <w:vAlign w:val="center"/>
                </w:tcPr>
                <w:p w14:paraId="3A65C2D0">
                  <w:pPr>
                    <w:jc w:val="center"/>
                    <w:rPr>
                      <w:rFonts w:ascii="Times New Roman" w:hAnsi="Times New Roman" w:eastAsia="宋体" w:cs="Times New Roman"/>
                      <w:color w:val="000000"/>
                      <w:szCs w:val="21"/>
                    </w:rPr>
                  </w:pPr>
                </w:p>
              </w:tc>
              <w:tc>
                <w:tcPr>
                  <w:tcW w:w="249" w:type="pct"/>
                  <w:tcBorders>
                    <w:tl2br w:val="nil"/>
                    <w:tr2bl w:val="nil"/>
                  </w:tcBorders>
                  <w:tcMar>
                    <w:top w:w="0" w:type="dxa"/>
                    <w:left w:w="28" w:type="dxa"/>
                    <w:bottom w:w="0" w:type="dxa"/>
                    <w:right w:w="28" w:type="dxa"/>
                  </w:tcMar>
                  <w:vAlign w:val="center"/>
                </w:tcPr>
                <w:p w14:paraId="6CEF88FD">
                  <w:pPr>
                    <w:jc w:val="center"/>
                    <w:rPr>
                      <w:rFonts w:ascii="Times New Roman" w:hAnsi="Times New Roman" w:cs="Times New Roman"/>
                      <w:szCs w:val="21"/>
                    </w:rPr>
                  </w:pPr>
                  <w:r>
                    <w:rPr>
                      <w:rFonts w:hint="eastAsia" w:ascii="Times New Roman" w:hAnsi="Times New Roman" w:cs="Times New Roman"/>
                      <w:szCs w:val="21"/>
                    </w:rPr>
                    <w:t>0.0000038</w:t>
                  </w:r>
                </w:p>
              </w:tc>
              <w:tc>
                <w:tcPr>
                  <w:tcW w:w="292" w:type="pct"/>
                  <w:tcBorders>
                    <w:tl2br w:val="nil"/>
                    <w:tr2bl w:val="nil"/>
                  </w:tcBorders>
                  <w:tcMar>
                    <w:top w:w="0" w:type="dxa"/>
                    <w:left w:w="28" w:type="dxa"/>
                    <w:bottom w:w="0" w:type="dxa"/>
                    <w:right w:w="28" w:type="dxa"/>
                  </w:tcMar>
                  <w:vAlign w:val="center"/>
                </w:tcPr>
                <w:p w14:paraId="3C675389">
                  <w:pPr>
                    <w:jc w:val="center"/>
                    <w:rPr>
                      <w:rFonts w:ascii="Times New Roman" w:hAnsi="Times New Roman" w:cs="Times New Roman"/>
                      <w:szCs w:val="21"/>
                    </w:rPr>
                  </w:pPr>
                  <w:r>
                    <w:rPr>
                      <w:rFonts w:hint="eastAsia" w:ascii="Times New Roman" w:hAnsi="Times New Roman" w:cs="Times New Roman"/>
                      <w:szCs w:val="21"/>
                    </w:rPr>
                    <w:t>0.00000089</w:t>
                  </w:r>
                </w:p>
              </w:tc>
              <w:tc>
                <w:tcPr>
                  <w:tcW w:w="302" w:type="pct"/>
                  <w:tcBorders>
                    <w:tl2br w:val="nil"/>
                    <w:tr2bl w:val="nil"/>
                  </w:tcBorders>
                  <w:tcMar>
                    <w:top w:w="0" w:type="dxa"/>
                    <w:left w:w="28" w:type="dxa"/>
                    <w:bottom w:w="0" w:type="dxa"/>
                    <w:right w:w="28" w:type="dxa"/>
                  </w:tcMar>
                  <w:vAlign w:val="center"/>
                </w:tcPr>
                <w:p w14:paraId="62FC91E6">
                  <w:pPr>
                    <w:jc w:val="center"/>
                    <w:rPr>
                      <w:rFonts w:ascii="Times New Roman" w:hAnsi="Times New Roman" w:cs="Times New Roman"/>
                      <w:szCs w:val="21"/>
                    </w:rPr>
                  </w:pPr>
                  <w:r>
                    <w:rPr>
                      <w:rFonts w:hint="eastAsia" w:ascii="Times New Roman" w:hAnsi="Times New Roman" w:cs="Times New Roman"/>
                      <w:szCs w:val="21"/>
                    </w:rPr>
                    <w:t>/</w:t>
                  </w:r>
                </w:p>
              </w:tc>
              <w:tc>
                <w:tcPr>
                  <w:tcW w:w="734" w:type="pct"/>
                  <w:vMerge w:val="continue"/>
                  <w:tcBorders>
                    <w:tl2br w:val="nil"/>
                    <w:tr2bl w:val="nil"/>
                  </w:tcBorders>
                  <w:tcMar>
                    <w:top w:w="0" w:type="dxa"/>
                    <w:left w:w="28" w:type="dxa"/>
                    <w:bottom w:w="0" w:type="dxa"/>
                    <w:right w:w="28" w:type="dxa"/>
                  </w:tcMar>
                  <w:vAlign w:val="center"/>
                </w:tcPr>
                <w:p w14:paraId="0E760A50">
                  <w:pPr>
                    <w:jc w:val="center"/>
                    <w:rPr>
                      <w:rFonts w:ascii="Times New Roman" w:hAnsi="Times New Roman" w:eastAsia="宋体" w:cs="Times New Roman"/>
                      <w:color w:val="000000"/>
                      <w:szCs w:val="21"/>
                    </w:rPr>
                  </w:pPr>
                </w:p>
              </w:tc>
              <w:tc>
                <w:tcPr>
                  <w:tcW w:w="206" w:type="pct"/>
                  <w:vMerge w:val="continue"/>
                  <w:tcBorders>
                    <w:tl2br w:val="nil"/>
                    <w:tr2bl w:val="nil"/>
                  </w:tcBorders>
                  <w:tcMar>
                    <w:top w:w="0" w:type="dxa"/>
                    <w:left w:w="28" w:type="dxa"/>
                    <w:bottom w:w="0" w:type="dxa"/>
                    <w:right w:w="28" w:type="dxa"/>
                  </w:tcMar>
                  <w:vAlign w:val="center"/>
                </w:tcPr>
                <w:p w14:paraId="617645CC">
                  <w:pPr>
                    <w:jc w:val="center"/>
                    <w:rPr>
                      <w:rFonts w:ascii="Times New Roman" w:hAnsi="Times New Roman" w:eastAsia="宋体" w:cs="Times New Roman"/>
                      <w:color w:val="000000"/>
                      <w:szCs w:val="21"/>
                    </w:rPr>
                  </w:pPr>
                </w:p>
              </w:tc>
              <w:tc>
                <w:tcPr>
                  <w:tcW w:w="264" w:type="pct"/>
                  <w:vMerge w:val="continue"/>
                  <w:tcBorders>
                    <w:tl2br w:val="nil"/>
                    <w:tr2bl w:val="nil"/>
                  </w:tcBorders>
                  <w:tcMar>
                    <w:top w:w="0" w:type="dxa"/>
                    <w:left w:w="28" w:type="dxa"/>
                    <w:bottom w:w="0" w:type="dxa"/>
                    <w:right w:w="28" w:type="dxa"/>
                  </w:tcMar>
                  <w:vAlign w:val="center"/>
                </w:tcPr>
                <w:p w14:paraId="11609FCB">
                  <w:pPr>
                    <w:jc w:val="center"/>
                    <w:rPr>
                      <w:rFonts w:ascii="Times New Roman" w:hAnsi="Times New Roman" w:eastAsia="宋体" w:cs="Times New Roman"/>
                      <w:color w:val="000000"/>
                      <w:szCs w:val="21"/>
                    </w:rPr>
                  </w:pPr>
                </w:p>
              </w:tc>
              <w:tc>
                <w:tcPr>
                  <w:tcW w:w="278" w:type="pct"/>
                  <w:vMerge w:val="continue"/>
                  <w:tcBorders>
                    <w:tl2br w:val="nil"/>
                    <w:tr2bl w:val="nil"/>
                  </w:tcBorders>
                  <w:tcMar>
                    <w:top w:w="0" w:type="dxa"/>
                    <w:left w:w="28" w:type="dxa"/>
                    <w:bottom w:w="0" w:type="dxa"/>
                    <w:right w:w="28" w:type="dxa"/>
                  </w:tcMar>
                  <w:vAlign w:val="center"/>
                </w:tcPr>
                <w:p w14:paraId="42DEEBD0">
                  <w:pPr>
                    <w:jc w:val="center"/>
                    <w:rPr>
                      <w:rFonts w:ascii="Times New Roman" w:hAnsi="Times New Roman" w:eastAsia="宋体" w:cs="Times New Roman"/>
                      <w:color w:val="000000"/>
                      <w:szCs w:val="21"/>
                    </w:rPr>
                  </w:pPr>
                </w:p>
              </w:tc>
              <w:tc>
                <w:tcPr>
                  <w:tcW w:w="196" w:type="pct"/>
                  <w:vMerge w:val="continue"/>
                  <w:tcBorders>
                    <w:tl2br w:val="nil"/>
                    <w:tr2bl w:val="nil"/>
                  </w:tcBorders>
                  <w:tcMar>
                    <w:top w:w="0" w:type="dxa"/>
                    <w:left w:w="28" w:type="dxa"/>
                    <w:bottom w:w="0" w:type="dxa"/>
                    <w:right w:w="28" w:type="dxa"/>
                  </w:tcMar>
                  <w:vAlign w:val="center"/>
                </w:tcPr>
                <w:p w14:paraId="7D0965D2">
                  <w:pPr>
                    <w:jc w:val="center"/>
                    <w:rPr>
                      <w:rFonts w:ascii="Times New Roman" w:hAnsi="Times New Roman" w:eastAsia="宋体" w:cs="Times New Roman"/>
                      <w:color w:val="000000"/>
                      <w:szCs w:val="21"/>
                    </w:rPr>
                  </w:pPr>
                </w:p>
              </w:tc>
              <w:tc>
                <w:tcPr>
                  <w:tcW w:w="234" w:type="pct"/>
                  <w:tcBorders>
                    <w:tl2br w:val="nil"/>
                    <w:tr2bl w:val="nil"/>
                  </w:tcBorders>
                  <w:tcMar>
                    <w:top w:w="0" w:type="dxa"/>
                    <w:left w:w="28" w:type="dxa"/>
                    <w:bottom w:w="0" w:type="dxa"/>
                    <w:right w:w="28" w:type="dxa"/>
                  </w:tcMar>
                  <w:vAlign w:val="center"/>
                </w:tcPr>
                <w:p w14:paraId="6C9432A1">
                  <w:pPr>
                    <w:jc w:val="center"/>
                    <w:rPr>
                      <w:rFonts w:ascii="Times New Roman" w:hAnsi="Times New Roman" w:cs="Times New Roman"/>
                      <w:szCs w:val="21"/>
                    </w:rPr>
                  </w:pPr>
                  <w:r>
                    <w:rPr>
                      <w:rFonts w:hint="eastAsia" w:ascii="Times New Roman" w:hAnsi="Times New Roman" w:cs="Times New Roman"/>
                      <w:szCs w:val="21"/>
                    </w:rPr>
                    <w:t>0.0000038</w:t>
                  </w:r>
                </w:p>
              </w:tc>
              <w:tc>
                <w:tcPr>
                  <w:tcW w:w="225" w:type="pct"/>
                  <w:tcBorders>
                    <w:tl2br w:val="nil"/>
                    <w:tr2bl w:val="nil"/>
                  </w:tcBorders>
                  <w:tcMar>
                    <w:top w:w="0" w:type="dxa"/>
                    <w:left w:w="28" w:type="dxa"/>
                    <w:bottom w:w="0" w:type="dxa"/>
                    <w:right w:w="28" w:type="dxa"/>
                  </w:tcMar>
                  <w:vAlign w:val="center"/>
                </w:tcPr>
                <w:p w14:paraId="0C6748BF">
                  <w:pPr>
                    <w:jc w:val="center"/>
                    <w:rPr>
                      <w:rFonts w:ascii="Times New Roman" w:hAnsi="Times New Roman" w:cs="Times New Roman"/>
                      <w:szCs w:val="21"/>
                    </w:rPr>
                  </w:pPr>
                  <w:r>
                    <w:rPr>
                      <w:rFonts w:hint="eastAsia" w:ascii="Times New Roman" w:hAnsi="Times New Roman" w:cs="Times New Roman"/>
                      <w:szCs w:val="21"/>
                    </w:rPr>
                    <w:t>0.00000089</w:t>
                  </w:r>
                </w:p>
              </w:tc>
              <w:tc>
                <w:tcPr>
                  <w:tcW w:w="302" w:type="pct"/>
                  <w:tcBorders>
                    <w:tl2br w:val="nil"/>
                    <w:tr2bl w:val="nil"/>
                  </w:tcBorders>
                  <w:tcMar>
                    <w:top w:w="0" w:type="dxa"/>
                    <w:left w:w="28" w:type="dxa"/>
                    <w:bottom w:w="0" w:type="dxa"/>
                    <w:right w:w="28" w:type="dxa"/>
                  </w:tcMar>
                  <w:vAlign w:val="center"/>
                </w:tcPr>
                <w:p w14:paraId="715E7D68">
                  <w:pPr>
                    <w:jc w:val="center"/>
                    <w:rPr>
                      <w:rFonts w:ascii="Times New Roman" w:hAnsi="Times New Roman" w:cs="Times New Roman"/>
                      <w:szCs w:val="21"/>
                    </w:rPr>
                  </w:pPr>
                  <w:r>
                    <w:rPr>
                      <w:rFonts w:hint="eastAsia" w:ascii="Times New Roman" w:hAnsi="Times New Roman" w:cs="Times New Roman"/>
                      <w:szCs w:val="21"/>
                    </w:rPr>
                    <w:t>/</w:t>
                  </w:r>
                </w:p>
              </w:tc>
              <w:tc>
                <w:tcPr>
                  <w:tcW w:w="201" w:type="pct"/>
                  <w:vMerge w:val="continue"/>
                  <w:tcBorders>
                    <w:tl2br w:val="nil"/>
                    <w:tr2bl w:val="nil"/>
                  </w:tcBorders>
                  <w:tcMar>
                    <w:top w:w="0" w:type="dxa"/>
                    <w:left w:w="28" w:type="dxa"/>
                    <w:bottom w:w="0" w:type="dxa"/>
                    <w:right w:w="28" w:type="dxa"/>
                  </w:tcMar>
                  <w:vAlign w:val="center"/>
                </w:tcPr>
                <w:p w14:paraId="50FDFD8F">
                  <w:pPr>
                    <w:jc w:val="center"/>
                    <w:rPr>
                      <w:rFonts w:ascii="Times New Roman" w:hAnsi="Times New Roman" w:eastAsia="宋体" w:cs="Times New Roman"/>
                      <w:color w:val="000000"/>
                      <w:szCs w:val="21"/>
                    </w:rPr>
                  </w:pPr>
                </w:p>
              </w:tc>
              <w:tc>
                <w:tcPr>
                  <w:tcW w:w="245" w:type="pct"/>
                  <w:tcBorders>
                    <w:tl2br w:val="nil"/>
                    <w:tr2bl w:val="nil"/>
                  </w:tcBorders>
                  <w:tcMar>
                    <w:top w:w="0" w:type="dxa"/>
                    <w:left w:w="28" w:type="dxa"/>
                    <w:bottom w:w="0" w:type="dxa"/>
                    <w:right w:w="28" w:type="dxa"/>
                  </w:tcMar>
                  <w:vAlign w:val="center"/>
                </w:tcPr>
                <w:p w14:paraId="3AF53DAD">
                  <w:pPr>
                    <w:jc w:val="center"/>
                    <w:rPr>
                      <w:rFonts w:ascii="Times New Roman" w:hAnsi="Times New Roman" w:eastAsia="宋体" w:cs="Times New Roman"/>
                      <w:color w:val="000000"/>
                      <w:szCs w:val="21"/>
                    </w:rPr>
                  </w:pPr>
                  <w:r>
                    <w:rPr>
                      <w:rFonts w:hint="eastAsia" w:ascii="Times New Roman" w:hAnsi="Times New Roman" w:cs="Times New Roman"/>
                      <w:szCs w:val="21"/>
                    </w:rPr>
                    <w:t>/</w:t>
                  </w:r>
                </w:p>
              </w:tc>
              <w:tc>
                <w:tcPr>
                  <w:tcW w:w="358" w:type="pct"/>
                  <w:tcBorders>
                    <w:tl2br w:val="nil"/>
                    <w:tr2bl w:val="nil"/>
                  </w:tcBorders>
                  <w:tcMar>
                    <w:top w:w="0" w:type="dxa"/>
                    <w:left w:w="28" w:type="dxa"/>
                    <w:bottom w:w="0" w:type="dxa"/>
                    <w:right w:w="28" w:type="dxa"/>
                  </w:tcMar>
                  <w:vAlign w:val="center"/>
                </w:tcPr>
                <w:p w14:paraId="6D4BF0CF">
                  <w:pPr>
                    <w:jc w:val="center"/>
                    <w:rPr>
                      <w:rFonts w:ascii="Times New Roman" w:hAnsi="Times New Roman" w:cs="Times New Roman"/>
                      <w:szCs w:val="21"/>
                    </w:rPr>
                  </w:pPr>
                  <w:r>
                    <w:rPr>
                      <w:rFonts w:ascii="Times New Roman" w:hAnsi="Times New Roman" w:cs="Times New Roman"/>
                      <w:szCs w:val="21"/>
                    </w:rPr>
                    <w:t xml:space="preserve">0.008 </w:t>
                  </w:r>
                </w:p>
                <w:p w14:paraId="156222AC">
                  <w:pPr>
                    <w:jc w:val="center"/>
                    <w:rPr>
                      <w:rFonts w:ascii="Times New Roman" w:hAnsi="Times New Roman" w:cs="Times New Roman"/>
                      <w:szCs w:val="21"/>
                    </w:rPr>
                  </w:pPr>
                  <w:r>
                    <w:rPr>
                      <w:rFonts w:ascii="Times New Roman" w:hAnsi="Times New Roman" w:cs="Times New Roman"/>
                      <w:szCs w:val="21"/>
                    </w:rPr>
                    <w:t>（μg/m</w:t>
                  </w:r>
                  <w:r>
                    <w:rPr>
                      <w:rFonts w:ascii="Times New Roman" w:hAnsi="Times New Roman" w:cs="Times New Roman"/>
                      <w:szCs w:val="21"/>
                      <w:vertAlign w:val="superscript"/>
                    </w:rPr>
                    <w:t>3</w:t>
                  </w:r>
                  <w:r>
                    <w:rPr>
                      <w:rFonts w:ascii="Times New Roman" w:hAnsi="Times New Roman" w:cs="Times New Roman"/>
                      <w:szCs w:val="21"/>
                    </w:rPr>
                    <w:t>）</w:t>
                  </w:r>
                </w:p>
              </w:tc>
              <w:tc>
                <w:tcPr>
                  <w:tcW w:w="134" w:type="pct"/>
                  <w:tcBorders>
                    <w:tl2br w:val="nil"/>
                    <w:tr2bl w:val="nil"/>
                  </w:tcBorders>
                  <w:tcMar>
                    <w:top w:w="0" w:type="dxa"/>
                    <w:left w:w="28" w:type="dxa"/>
                    <w:bottom w:w="0" w:type="dxa"/>
                    <w:right w:w="28" w:type="dxa"/>
                  </w:tcMar>
                  <w:vAlign w:val="center"/>
                </w:tcPr>
                <w:p w14:paraId="70D8E27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2F19F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5" w:type="pct"/>
                  <w:vMerge w:val="continue"/>
                  <w:tcBorders>
                    <w:tl2br w:val="nil"/>
                    <w:tr2bl w:val="nil"/>
                  </w:tcBorders>
                  <w:tcMar>
                    <w:top w:w="0" w:type="dxa"/>
                    <w:left w:w="28" w:type="dxa"/>
                    <w:bottom w:w="0" w:type="dxa"/>
                    <w:right w:w="28" w:type="dxa"/>
                  </w:tcMar>
                  <w:vAlign w:val="center"/>
                </w:tcPr>
                <w:p w14:paraId="0875D5D1">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2B9856BE">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0E448A1F">
                  <w:pPr>
                    <w:jc w:val="center"/>
                    <w:rPr>
                      <w:rFonts w:ascii="Times New Roman" w:hAnsi="Times New Roman" w:eastAsia="宋体" w:cs="Times New Roman"/>
                      <w:color w:val="000000"/>
                      <w:szCs w:val="21"/>
                    </w:rPr>
                  </w:pPr>
                </w:p>
              </w:tc>
              <w:tc>
                <w:tcPr>
                  <w:tcW w:w="268" w:type="pct"/>
                  <w:tcBorders>
                    <w:tl2br w:val="nil"/>
                    <w:tr2bl w:val="nil"/>
                  </w:tcBorders>
                  <w:tcMar>
                    <w:top w:w="0" w:type="dxa"/>
                    <w:left w:w="28" w:type="dxa"/>
                    <w:bottom w:w="0" w:type="dxa"/>
                    <w:right w:w="28" w:type="dxa"/>
                  </w:tcMar>
                  <w:vAlign w:val="center"/>
                </w:tcPr>
                <w:p w14:paraId="76738B98">
                  <w:pPr>
                    <w:jc w:val="center"/>
                    <w:rPr>
                      <w:rFonts w:ascii="Times New Roman" w:hAnsi="Times New Roman" w:cs="Times New Roman"/>
                      <w:szCs w:val="21"/>
                    </w:rPr>
                  </w:pPr>
                  <w:r>
                    <w:rPr>
                      <w:rFonts w:hint="eastAsia" w:ascii="Times New Roman" w:hAnsi="Times New Roman" w:cs="Times New Roman"/>
                      <w:szCs w:val="21"/>
                    </w:rPr>
                    <w:t>非甲烷总烃</w:t>
                  </w:r>
                </w:p>
              </w:tc>
              <w:tc>
                <w:tcPr>
                  <w:tcW w:w="180" w:type="pct"/>
                  <w:vMerge w:val="continue"/>
                  <w:tcBorders>
                    <w:tl2br w:val="nil"/>
                    <w:tr2bl w:val="nil"/>
                  </w:tcBorders>
                  <w:tcMar>
                    <w:top w:w="0" w:type="dxa"/>
                    <w:left w:w="28" w:type="dxa"/>
                    <w:bottom w:w="0" w:type="dxa"/>
                    <w:right w:w="28" w:type="dxa"/>
                  </w:tcMar>
                  <w:vAlign w:val="center"/>
                </w:tcPr>
                <w:p w14:paraId="49BF393C">
                  <w:pPr>
                    <w:jc w:val="center"/>
                    <w:rPr>
                      <w:rFonts w:ascii="Times New Roman" w:hAnsi="Times New Roman" w:eastAsia="宋体" w:cs="Times New Roman"/>
                      <w:color w:val="000000"/>
                      <w:szCs w:val="21"/>
                    </w:rPr>
                  </w:pPr>
                </w:p>
              </w:tc>
              <w:tc>
                <w:tcPr>
                  <w:tcW w:w="249" w:type="pct"/>
                  <w:tcBorders>
                    <w:tl2br w:val="nil"/>
                    <w:tr2bl w:val="nil"/>
                  </w:tcBorders>
                  <w:tcMar>
                    <w:top w:w="0" w:type="dxa"/>
                    <w:left w:w="28" w:type="dxa"/>
                    <w:bottom w:w="0" w:type="dxa"/>
                    <w:right w:w="28" w:type="dxa"/>
                  </w:tcMar>
                  <w:vAlign w:val="center"/>
                </w:tcPr>
                <w:p w14:paraId="480385BE">
                  <w:pPr>
                    <w:jc w:val="center"/>
                    <w:rPr>
                      <w:rFonts w:ascii="Times New Roman" w:hAnsi="Times New Roman" w:cs="Times New Roman"/>
                      <w:szCs w:val="21"/>
                    </w:rPr>
                  </w:pPr>
                  <w:r>
                    <w:rPr>
                      <w:rFonts w:hint="eastAsia" w:ascii="Times New Roman" w:hAnsi="Times New Roman" w:cs="Times New Roman"/>
                      <w:szCs w:val="21"/>
                    </w:rPr>
                    <w:t>0.018</w:t>
                  </w:r>
                </w:p>
              </w:tc>
              <w:tc>
                <w:tcPr>
                  <w:tcW w:w="292" w:type="pct"/>
                  <w:tcBorders>
                    <w:tl2br w:val="nil"/>
                    <w:tr2bl w:val="nil"/>
                  </w:tcBorders>
                  <w:tcMar>
                    <w:top w:w="0" w:type="dxa"/>
                    <w:left w:w="28" w:type="dxa"/>
                    <w:bottom w:w="0" w:type="dxa"/>
                    <w:right w:w="28" w:type="dxa"/>
                  </w:tcMar>
                  <w:vAlign w:val="center"/>
                </w:tcPr>
                <w:p w14:paraId="4A2EA6C9">
                  <w:pPr>
                    <w:jc w:val="center"/>
                    <w:rPr>
                      <w:rFonts w:ascii="Times New Roman" w:hAnsi="Times New Roman" w:cs="Times New Roman"/>
                      <w:szCs w:val="21"/>
                    </w:rPr>
                  </w:pPr>
                  <w:r>
                    <w:rPr>
                      <w:rFonts w:hint="eastAsia" w:ascii="Times New Roman" w:hAnsi="Times New Roman" w:cs="Times New Roman"/>
                      <w:szCs w:val="21"/>
                    </w:rPr>
                    <w:t>0.0041</w:t>
                  </w:r>
                </w:p>
              </w:tc>
              <w:tc>
                <w:tcPr>
                  <w:tcW w:w="302" w:type="pct"/>
                  <w:tcBorders>
                    <w:tl2br w:val="nil"/>
                    <w:tr2bl w:val="nil"/>
                  </w:tcBorders>
                  <w:tcMar>
                    <w:top w:w="0" w:type="dxa"/>
                    <w:left w:w="28" w:type="dxa"/>
                    <w:bottom w:w="0" w:type="dxa"/>
                    <w:right w:w="28" w:type="dxa"/>
                  </w:tcMar>
                  <w:vAlign w:val="center"/>
                </w:tcPr>
                <w:p w14:paraId="7AC141E9">
                  <w:pPr>
                    <w:jc w:val="center"/>
                    <w:rPr>
                      <w:rFonts w:ascii="Times New Roman" w:hAnsi="Times New Roman" w:cs="Times New Roman"/>
                      <w:szCs w:val="21"/>
                    </w:rPr>
                  </w:pPr>
                  <w:r>
                    <w:rPr>
                      <w:rFonts w:hint="eastAsia" w:ascii="Times New Roman" w:hAnsi="Times New Roman" w:cs="Times New Roman"/>
                      <w:szCs w:val="21"/>
                    </w:rPr>
                    <w:t>/</w:t>
                  </w:r>
                </w:p>
              </w:tc>
              <w:tc>
                <w:tcPr>
                  <w:tcW w:w="734" w:type="pct"/>
                  <w:vMerge w:val="continue"/>
                  <w:tcBorders>
                    <w:tl2br w:val="nil"/>
                    <w:tr2bl w:val="nil"/>
                  </w:tcBorders>
                  <w:tcMar>
                    <w:top w:w="0" w:type="dxa"/>
                    <w:left w:w="28" w:type="dxa"/>
                    <w:bottom w:w="0" w:type="dxa"/>
                    <w:right w:w="28" w:type="dxa"/>
                  </w:tcMar>
                  <w:vAlign w:val="center"/>
                </w:tcPr>
                <w:p w14:paraId="630A8021">
                  <w:pPr>
                    <w:jc w:val="center"/>
                    <w:rPr>
                      <w:rFonts w:ascii="Times New Roman" w:hAnsi="Times New Roman" w:eastAsia="宋体" w:cs="Times New Roman"/>
                      <w:color w:val="000000"/>
                      <w:szCs w:val="21"/>
                    </w:rPr>
                  </w:pPr>
                </w:p>
              </w:tc>
              <w:tc>
                <w:tcPr>
                  <w:tcW w:w="206" w:type="pct"/>
                  <w:vMerge w:val="continue"/>
                  <w:tcBorders>
                    <w:tl2br w:val="nil"/>
                    <w:tr2bl w:val="nil"/>
                  </w:tcBorders>
                  <w:tcMar>
                    <w:top w:w="0" w:type="dxa"/>
                    <w:left w:w="28" w:type="dxa"/>
                    <w:bottom w:w="0" w:type="dxa"/>
                    <w:right w:w="28" w:type="dxa"/>
                  </w:tcMar>
                  <w:vAlign w:val="center"/>
                </w:tcPr>
                <w:p w14:paraId="24E24ED4">
                  <w:pPr>
                    <w:jc w:val="center"/>
                    <w:rPr>
                      <w:rFonts w:ascii="Times New Roman" w:hAnsi="Times New Roman" w:eastAsia="宋体" w:cs="Times New Roman"/>
                      <w:color w:val="000000"/>
                      <w:szCs w:val="21"/>
                    </w:rPr>
                  </w:pPr>
                </w:p>
              </w:tc>
              <w:tc>
                <w:tcPr>
                  <w:tcW w:w="264" w:type="pct"/>
                  <w:vMerge w:val="continue"/>
                  <w:tcBorders>
                    <w:tl2br w:val="nil"/>
                    <w:tr2bl w:val="nil"/>
                  </w:tcBorders>
                  <w:tcMar>
                    <w:top w:w="0" w:type="dxa"/>
                    <w:left w:w="28" w:type="dxa"/>
                    <w:bottom w:w="0" w:type="dxa"/>
                    <w:right w:w="28" w:type="dxa"/>
                  </w:tcMar>
                  <w:vAlign w:val="center"/>
                </w:tcPr>
                <w:p w14:paraId="18F6D084">
                  <w:pPr>
                    <w:jc w:val="center"/>
                    <w:rPr>
                      <w:rFonts w:ascii="Times New Roman" w:hAnsi="Times New Roman" w:eastAsia="宋体" w:cs="Times New Roman"/>
                      <w:color w:val="000000"/>
                      <w:szCs w:val="21"/>
                    </w:rPr>
                  </w:pPr>
                </w:p>
              </w:tc>
              <w:tc>
                <w:tcPr>
                  <w:tcW w:w="278" w:type="pct"/>
                  <w:vMerge w:val="continue"/>
                  <w:tcBorders>
                    <w:tl2br w:val="nil"/>
                    <w:tr2bl w:val="nil"/>
                  </w:tcBorders>
                  <w:tcMar>
                    <w:top w:w="0" w:type="dxa"/>
                    <w:left w:w="28" w:type="dxa"/>
                    <w:bottom w:w="0" w:type="dxa"/>
                    <w:right w:w="28" w:type="dxa"/>
                  </w:tcMar>
                  <w:vAlign w:val="center"/>
                </w:tcPr>
                <w:p w14:paraId="4FAA25F4">
                  <w:pPr>
                    <w:jc w:val="center"/>
                    <w:rPr>
                      <w:rFonts w:ascii="Times New Roman" w:hAnsi="Times New Roman" w:eastAsia="宋体" w:cs="Times New Roman"/>
                      <w:color w:val="000000"/>
                      <w:szCs w:val="21"/>
                    </w:rPr>
                  </w:pPr>
                </w:p>
              </w:tc>
              <w:tc>
                <w:tcPr>
                  <w:tcW w:w="196" w:type="pct"/>
                  <w:vMerge w:val="continue"/>
                  <w:tcBorders>
                    <w:tl2br w:val="nil"/>
                    <w:tr2bl w:val="nil"/>
                  </w:tcBorders>
                  <w:tcMar>
                    <w:top w:w="0" w:type="dxa"/>
                    <w:left w:w="28" w:type="dxa"/>
                    <w:bottom w:w="0" w:type="dxa"/>
                    <w:right w:w="28" w:type="dxa"/>
                  </w:tcMar>
                  <w:vAlign w:val="center"/>
                </w:tcPr>
                <w:p w14:paraId="4D7EDEDA">
                  <w:pPr>
                    <w:jc w:val="center"/>
                    <w:rPr>
                      <w:rFonts w:ascii="Times New Roman" w:hAnsi="Times New Roman" w:eastAsia="宋体" w:cs="Times New Roman"/>
                      <w:color w:val="000000"/>
                      <w:szCs w:val="21"/>
                    </w:rPr>
                  </w:pPr>
                </w:p>
              </w:tc>
              <w:tc>
                <w:tcPr>
                  <w:tcW w:w="234" w:type="pct"/>
                  <w:tcBorders>
                    <w:tl2br w:val="nil"/>
                    <w:tr2bl w:val="nil"/>
                  </w:tcBorders>
                  <w:tcMar>
                    <w:top w:w="0" w:type="dxa"/>
                    <w:left w:w="28" w:type="dxa"/>
                    <w:bottom w:w="0" w:type="dxa"/>
                    <w:right w:w="28" w:type="dxa"/>
                  </w:tcMar>
                  <w:vAlign w:val="center"/>
                </w:tcPr>
                <w:p w14:paraId="1738298A">
                  <w:pPr>
                    <w:jc w:val="center"/>
                    <w:rPr>
                      <w:rFonts w:ascii="Times New Roman" w:hAnsi="Times New Roman" w:cs="Times New Roman"/>
                      <w:szCs w:val="21"/>
                    </w:rPr>
                  </w:pPr>
                  <w:r>
                    <w:rPr>
                      <w:rFonts w:hint="eastAsia" w:ascii="Times New Roman" w:hAnsi="Times New Roman" w:cs="Times New Roman"/>
                      <w:szCs w:val="21"/>
                    </w:rPr>
                    <w:t>0.018</w:t>
                  </w:r>
                </w:p>
              </w:tc>
              <w:tc>
                <w:tcPr>
                  <w:tcW w:w="225" w:type="pct"/>
                  <w:tcBorders>
                    <w:tl2br w:val="nil"/>
                    <w:tr2bl w:val="nil"/>
                  </w:tcBorders>
                  <w:tcMar>
                    <w:top w:w="0" w:type="dxa"/>
                    <w:left w:w="28" w:type="dxa"/>
                    <w:bottom w:w="0" w:type="dxa"/>
                    <w:right w:w="28" w:type="dxa"/>
                  </w:tcMar>
                  <w:vAlign w:val="center"/>
                </w:tcPr>
                <w:p w14:paraId="609E4C87">
                  <w:pPr>
                    <w:jc w:val="center"/>
                    <w:rPr>
                      <w:rFonts w:ascii="Times New Roman" w:hAnsi="Times New Roman" w:cs="Times New Roman"/>
                      <w:szCs w:val="21"/>
                    </w:rPr>
                  </w:pPr>
                  <w:r>
                    <w:rPr>
                      <w:rFonts w:hint="eastAsia" w:ascii="Times New Roman" w:hAnsi="Times New Roman" w:cs="Times New Roman"/>
                      <w:szCs w:val="21"/>
                    </w:rPr>
                    <w:t>0.0041</w:t>
                  </w:r>
                </w:p>
              </w:tc>
              <w:tc>
                <w:tcPr>
                  <w:tcW w:w="302" w:type="pct"/>
                  <w:tcBorders>
                    <w:tl2br w:val="nil"/>
                    <w:tr2bl w:val="nil"/>
                  </w:tcBorders>
                  <w:tcMar>
                    <w:top w:w="0" w:type="dxa"/>
                    <w:left w:w="28" w:type="dxa"/>
                    <w:bottom w:w="0" w:type="dxa"/>
                    <w:right w:w="28" w:type="dxa"/>
                  </w:tcMar>
                  <w:vAlign w:val="center"/>
                </w:tcPr>
                <w:p w14:paraId="33EAB621">
                  <w:pPr>
                    <w:jc w:val="center"/>
                    <w:rPr>
                      <w:rFonts w:ascii="Times New Roman" w:hAnsi="Times New Roman" w:cs="Times New Roman"/>
                      <w:szCs w:val="21"/>
                    </w:rPr>
                  </w:pPr>
                  <w:r>
                    <w:rPr>
                      <w:rFonts w:hint="eastAsia" w:ascii="Times New Roman" w:hAnsi="Times New Roman" w:cs="Times New Roman"/>
                      <w:szCs w:val="21"/>
                    </w:rPr>
                    <w:t>/</w:t>
                  </w:r>
                </w:p>
              </w:tc>
              <w:tc>
                <w:tcPr>
                  <w:tcW w:w="201" w:type="pct"/>
                  <w:vMerge w:val="continue"/>
                  <w:tcBorders>
                    <w:tl2br w:val="nil"/>
                    <w:tr2bl w:val="nil"/>
                  </w:tcBorders>
                  <w:tcMar>
                    <w:top w:w="0" w:type="dxa"/>
                    <w:left w:w="28" w:type="dxa"/>
                    <w:bottom w:w="0" w:type="dxa"/>
                    <w:right w:w="28" w:type="dxa"/>
                  </w:tcMar>
                  <w:vAlign w:val="center"/>
                </w:tcPr>
                <w:p w14:paraId="4E59D6B8">
                  <w:pPr>
                    <w:jc w:val="center"/>
                    <w:rPr>
                      <w:rFonts w:ascii="Times New Roman" w:hAnsi="Times New Roman" w:eastAsia="宋体" w:cs="Times New Roman"/>
                      <w:color w:val="000000"/>
                      <w:szCs w:val="21"/>
                    </w:rPr>
                  </w:pPr>
                </w:p>
              </w:tc>
              <w:tc>
                <w:tcPr>
                  <w:tcW w:w="245" w:type="pct"/>
                  <w:tcBorders>
                    <w:tl2br w:val="nil"/>
                    <w:tr2bl w:val="nil"/>
                  </w:tcBorders>
                  <w:tcMar>
                    <w:top w:w="0" w:type="dxa"/>
                    <w:left w:w="28" w:type="dxa"/>
                    <w:bottom w:w="0" w:type="dxa"/>
                    <w:right w:w="28" w:type="dxa"/>
                  </w:tcMar>
                  <w:vAlign w:val="center"/>
                </w:tcPr>
                <w:p w14:paraId="678F3CAA">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7D172E34">
                  <w:pPr>
                    <w:jc w:val="center"/>
                    <w:rPr>
                      <w:rFonts w:ascii="Times New Roman" w:hAnsi="Times New Roman" w:cs="Times New Roman"/>
                      <w:szCs w:val="21"/>
                    </w:rPr>
                  </w:pPr>
                  <w:r>
                    <w:rPr>
                      <w:rFonts w:ascii="Times New Roman" w:hAnsi="Times New Roman" w:cs="Times New Roman"/>
                      <w:szCs w:val="21"/>
                    </w:rPr>
                    <w:t>4.0</w:t>
                  </w:r>
                </w:p>
              </w:tc>
              <w:tc>
                <w:tcPr>
                  <w:tcW w:w="134" w:type="pct"/>
                  <w:tcBorders>
                    <w:tl2br w:val="nil"/>
                    <w:tr2bl w:val="nil"/>
                  </w:tcBorders>
                  <w:tcMar>
                    <w:top w:w="0" w:type="dxa"/>
                    <w:left w:w="28" w:type="dxa"/>
                    <w:bottom w:w="0" w:type="dxa"/>
                    <w:right w:w="28" w:type="dxa"/>
                  </w:tcMar>
                  <w:vAlign w:val="center"/>
                </w:tcPr>
                <w:p w14:paraId="7D54890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r>
            <w:tr w14:paraId="1409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115" w:type="pct"/>
                  <w:vMerge w:val="restart"/>
                  <w:tcBorders>
                    <w:tl2br w:val="nil"/>
                    <w:tr2bl w:val="nil"/>
                  </w:tcBorders>
                  <w:tcMar>
                    <w:top w:w="0" w:type="dxa"/>
                    <w:left w:w="28" w:type="dxa"/>
                    <w:bottom w:w="0" w:type="dxa"/>
                    <w:right w:w="28" w:type="dxa"/>
                  </w:tcMar>
                  <w:vAlign w:val="center"/>
                </w:tcPr>
                <w:p w14:paraId="128F5914">
                  <w:pPr>
                    <w:jc w:val="center"/>
                    <w:rPr>
                      <w:rFonts w:ascii="Times New Roman Bold" w:hAnsi="Times New Roman Bold" w:eastAsia="宋体" w:cs="Times New Roman Bold"/>
                      <w:b/>
                      <w:bCs/>
                      <w:color w:val="000000"/>
                      <w:szCs w:val="21"/>
                    </w:rPr>
                  </w:pPr>
                  <w:r>
                    <w:rPr>
                      <w:rFonts w:hint="eastAsia" w:ascii="Times New Roman Bold" w:hAnsi="Times New Roman Bold" w:eastAsia="宋体" w:cs="Times New Roman Bold"/>
                      <w:b/>
                      <w:bCs/>
                      <w:color w:val="000000"/>
                      <w:szCs w:val="21"/>
                    </w:rPr>
                    <w:t>10</w:t>
                  </w:r>
                </w:p>
              </w:tc>
              <w:tc>
                <w:tcPr>
                  <w:tcW w:w="106" w:type="pct"/>
                  <w:vMerge w:val="restart"/>
                  <w:tcBorders>
                    <w:tl2br w:val="nil"/>
                    <w:tr2bl w:val="nil"/>
                  </w:tcBorders>
                  <w:tcMar>
                    <w:top w:w="0" w:type="dxa"/>
                    <w:left w:w="28" w:type="dxa"/>
                    <w:bottom w:w="0" w:type="dxa"/>
                    <w:right w:w="28" w:type="dxa"/>
                  </w:tcMar>
                  <w:vAlign w:val="center"/>
                </w:tcPr>
                <w:p w14:paraId="20590053">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DA0</w:t>
                  </w:r>
                </w:p>
                <w:p w14:paraId="116E4280">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0</w:t>
                  </w:r>
                </w:p>
                <w:p w14:paraId="4DF9F3E1">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3</w:t>
                  </w:r>
                </w:p>
              </w:tc>
              <w:tc>
                <w:tcPr>
                  <w:tcW w:w="101" w:type="pct"/>
                  <w:vMerge w:val="restart"/>
                  <w:tcBorders>
                    <w:tl2br w:val="nil"/>
                    <w:tr2bl w:val="nil"/>
                  </w:tcBorders>
                  <w:tcMar>
                    <w:top w:w="0" w:type="dxa"/>
                    <w:left w:w="28" w:type="dxa"/>
                    <w:bottom w:w="0" w:type="dxa"/>
                    <w:right w:w="28" w:type="dxa"/>
                  </w:tcMar>
                  <w:vAlign w:val="center"/>
                </w:tcPr>
                <w:p w14:paraId="090DCE3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乳化沥青胶磨工序</w:t>
                  </w:r>
                </w:p>
              </w:tc>
              <w:tc>
                <w:tcPr>
                  <w:tcW w:w="268" w:type="pct"/>
                  <w:tcBorders>
                    <w:tl2br w:val="nil"/>
                    <w:tr2bl w:val="nil"/>
                  </w:tcBorders>
                  <w:tcMar>
                    <w:top w:w="0" w:type="dxa"/>
                    <w:left w:w="28" w:type="dxa"/>
                    <w:bottom w:w="0" w:type="dxa"/>
                    <w:right w:w="28" w:type="dxa"/>
                  </w:tcMar>
                  <w:vAlign w:val="center"/>
                </w:tcPr>
                <w:p w14:paraId="71ADC948">
                  <w:pPr>
                    <w:jc w:val="center"/>
                    <w:rPr>
                      <w:rFonts w:ascii="Times New Roman" w:hAnsi="Times New Roman" w:cs="Times New Roman"/>
                      <w:szCs w:val="21"/>
                    </w:rPr>
                  </w:pPr>
                  <w:r>
                    <w:rPr>
                      <w:rFonts w:hint="eastAsia" w:ascii="Times New Roman" w:hAnsi="Times New Roman" w:cs="Times New Roman"/>
                      <w:szCs w:val="21"/>
                    </w:rPr>
                    <w:t>沥青烟</w:t>
                  </w:r>
                </w:p>
              </w:tc>
              <w:tc>
                <w:tcPr>
                  <w:tcW w:w="180" w:type="pct"/>
                  <w:vMerge w:val="restart"/>
                  <w:tcBorders>
                    <w:tl2br w:val="nil"/>
                    <w:tr2bl w:val="nil"/>
                  </w:tcBorders>
                  <w:tcMar>
                    <w:top w:w="0" w:type="dxa"/>
                    <w:left w:w="28" w:type="dxa"/>
                    <w:bottom w:w="0" w:type="dxa"/>
                    <w:right w:w="28" w:type="dxa"/>
                  </w:tcMar>
                  <w:vAlign w:val="center"/>
                </w:tcPr>
                <w:p w14:paraId="330FC82B">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有组织</w:t>
                  </w:r>
                </w:p>
              </w:tc>
              <w:tc>
                <w:tcPr>
                  <w:tcW w:w="249" w:type="pct"/>
                  <w:tcBorders>
                    <w:tl2br w:val="nil"/>
                    <w:tr2bl w:val="nil"/>
                  </w:tcBorders>
                  <w:tcMar>
                    <w:top w:w="0" w:type="dxa"/>
                    <w:left w:w="28" w:type="dxa"/>
                    <w:bottom w:w="0" w:type="dxa"/>
                    <w:right w:w="28" w:type="dxa"/>
                  </w:tcMar>
                  <w:vAlign w:val="center"/>
                </w:tcPr>
                <w:p w14:paraId="7F7EDA95">
                  <w:pPr>
                    <w:jc w:val="center"/>
                    <w:rPr>
                      <w:rFonts w:ascii="Times New Roman" w:hAnsi="Times New Roman" w:cs="Times New Roman"/>
                      <w:szCs w:val="21"/>
                    </w:rPr>
                  </w:pPr>
                  <w:r>
                    <w:rPr>
                      <w:rFonts w:hint="eastAsia" w:ascii="Times New Roman" w:hAnsi="Times New Roman" w:cs="Times New Roman"/>
                      <w:szCs w:val="21"/>
                    </w:rPr>
                    <w:t>0.014</w:t>
                  </w:r>
                </w:p>
              </w:tc>
              <w:tc>
                <w:tcPr>
                  <w:tcW w:w="292" w:type="pct"/>
                  <w:tcBorders>
                    <w:tl2br w:val="nil"/>
                    <w:tr2bl w:val="nil"/>
                  </w:tcBorders>
                  <w:tcMar>
                    <w:top w:w="0" w:type="dxa"/>
                    <w:left w:w="28" w:type="dxa"/>
                    <w:bottom w:w="0" w:type="dxa"/>
                    <w:right w:w="28" w:type="dxa"/>
                  </w:tcMar>
                  <w:vAlign w:val="center"/>
                </w:tcPr>
                <w:p w14:paraId="4094727A">
                  <w:pPr>
                    <w:jc w:val="center"/>
                    <w:rPr>
                      <w:rFonts w:ascii="Times New Roman" w:hAnsi="Times New Roman" w:cs="Times New Roman"/>
                      <w:szCs w:val="21"/>
                    </w:rPr>
                  </w:pPr>
                  <w:r>
                    <w:rPr>
                      <w:rFonts w:hint="eastAsia" w:ascii="Times New Roman" w:hAnsi="Times New Roman" w:cs="Times New Roman"/>
                      <w:szCs w:val="21"/>
                    </w:rPr>
                    <w:t>0.28</w:t>
                  </w:r>
                </w:p>
              </w:tc>
              <w:tc>
                <w:tcPr>
                  <w:tcW w:w="302" w:type="pct"/>
                  <w:tcBorders>
                    <w:tl2br w:val="nil"/>
                    <w:tr2bl w:val="nil"/>
                  </w:tcBorders>
                  <w:tcMar>
                    <w:top w:w="0" w:type="dxa"/>
                    <w:left w:w="28" w:type="dxa"/>
                    <w:bottom w:w="0" w:type="dxa"/>
                    <w:right w:w="28" w:type="dxa"/>
                  </w:tcMar>
                  <w:vAlign w:val="center"/>
                </w:tcPr>
                <w:p w14:paraId="19F87EF9">
                  <w:pPr>
                    <w:jc w:val="center"/>
                    <w:rPr>
                      <w:rFonts w:ascii="Times New Roman" w:hAnsi="Times New Roman" w:cs="Times New Roman"/>
                      <w:szCs w:val="21"/>
                    </w:rPr>
                  </w:pPr>
                  <w:r>
                    <w:rPr>
                      <w:rFonts w:hint="eastAsia" w:ascii="Times New Roman" w:hAnsi="Times New Roman" w:cs="Times New Roman"/>
                      <w:szCs w:val="21"/>
                    </w:rPr>
                    <w:t>56</w:t>
                  </w:r>
                </w:p>
              </w:tc>
              <w:tc>
                <w:tcPr>
                  <w:tcW w:w="734" w:type="pct"/>
                  <w:vMerge w:val="restart"/>
                  <w:tcBorders>
                    <w:tl2br w:val="nil"/>
                    <w:tr2bl w:val="nil"/>
                  </w:tcBorders>
                  <w:tcMar>
                    <w:top w:w="0" w:type="dxa"/>
                    <w:left w:w="28" w:type="dxa"/>
                    <w:bottom w:w="0" w:type="dxa"/>
                    <w:right w:w="28" w:type="dxa"/>
                  </w:tcMar>
                  <w:vAlign w:val="center"/>
                </w:tcPr>
                <w:p w14:paraId="6D2BE953">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经密闭管道及设备排气口负压收集</w:t>
                  </w:r>
                  <w:r>
                    <w:rPr>
                      <w:rFonts w:hint="eastAsia" w:ascii="Times New Roman" w:hAnsi="Times New Roman" w:eastAsia="宋体" w:cs="Times New Roman"/>
                      <w:color w:val="000000"/>
                      <w:szCs w:val="21"/>
                    </w:rPr>
                    <w:t>，汇入高效二级活性炭吸附装置+</w:t>
                  </w:r>
                  <w:r>
                    <w:rPr>
                      <w:rFonts w:hint="eastAsia" w:ascii="Times New Roman" w:hAnsi="Times New Roman" w:eastAsia="宋体" w:cs="Times New Roman"/>
                      <w:color w:val="FF0000"/>
                      <w:szCs w:val="21"/>
                    </w:rPr>
                    <w:t>15m</w:t>
                  </w:r>
                  <w:r>
                    <w:rPr>
                      <w:rFonts w:hint="eastAsia" w:ascii="Times New Roman" w:hAnsi="Times New Roman" w:eastAsia="宋体" w:cs="Times New Roman"/>
                      <w:color w:val="000000"/>
                      <w:szCs w:val="21"/>
                    </w:rPr>
                    <w:t>高排气筒（DA003）排放，风机风量5000m</w:t>
                  </w:r>
                  <w:r>
                    <w:rPr>
                      <w:rFonts w:hint="eastAsia" w:ascii="Times New Roman" w:hAnsi="Times New Roman" w:eastAsia="宋体" w:cs="Times New Roman"/>
                      <w:color w:val="000000"/>
                      <w:szCs w:val="21"/>
                      <w:vertAlign w:val="superscript"/>
                    </w:rPr>
                    <w:t>3</w:t>
                  </w:r>
                  <w:r>
                    <w:rPr>
                      <w:rFonts w:hint="eastAsia" w:ascii="Times New Roman" w:hAnsi="Times New Roman" w:eastAsia="宋体" w:cs="Times New Roman"/>
                      <w:color w:val="000000"/>
                      <w:szCs w:val="21"/>
                    </w:rPr>
                    <w:t>/h。处理效率98%。</w:t>
                  </w:r>
                </w:p>
              </w:tc>
              <w:tc>
                <w:tcPr>
                  <w:tcW w:w="206" w:type="pct"/>
                  <w:vMerge w:val="restart"/>
                  <w:tcBorders>
                    <w:tl2br w:val="nil"/>
                    <w:tr2bl w:val="nil"/>
                  </w:tcBorders>
                  <w:tcMar>
                    <w:top w:w="0" w:type="dxa"/>
                    <w:left w:w="28" w:type="dxa"/>
                    <w:bottom w:w="0" w:type="dxa"/>
                    <w:right w:w="28" w:type="dxa"/>
                  </w:tcMar>
                  <w:vAlign w:val="center"/>
                </w:tcPr>
                <w:p w14:paraId="48A3114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5000</w:t>
                  </w:r>
                </w:p>
              </w:tc>
              <w:tc>
                <w:tcPr>
                  <w:tcW w:w="264" w:type="pct"/>
                  <w:vMerge w:val="restart"/>
                  <w:tcBorders>
                    <w:tl2br w:val="nil"/>
                    <w:tr2bl w:val="nil"/>
                  </w:tcBorders>
                  <w:tcMar>
                    <w:top w:w="0" w:type="dxa"/>
                    <w:left w:w="28" w:type="dxa"/>
                    <w:bottom w:w="0" w:type="dxa"/>
                    <w:right w:w="28" w:type="dxa"/>
                  </w:tcMar>
                  <w:vAlign w:val="center"/>
                </w:tcPr>
                <w:p w14:paraId="32DBDCC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78" w:type="pct"/>
                  <w:vMerge w:val="restart"/>
                  <w:tcBorders>
                    <w:tl2br w:val="nil"/>
                    <w:tr2bl w:val="nil"/>
                  </w:tcBorders>
                  <w:tcMar>
                    <w:top w:w="0" w:type="dxa"/>
                    <w:left w:w="28" w:type="dxa"/>
                    <w:bottom w:w="0" w:type="dxa"/>
                    <w:right w:w="28" w:type="dxa"/>
                  </w:tcMar>
                  <w:vAlign w:val="center"/>
                </w:tcPr>
                <w:p w14:paraId="37B20A19">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98%</w:t>
                  </w:r>
                </w:p>
              </w:tc>
              <w:tc>
                <w:tcPr>
                  <w:tcW w:w="196" w:type="pct"/>
                  <w:vMerge w:val="restart"/>
                  <w:tcBorders>
                    <w:tl2br w:val="nil"/>
                    <w:tr2bl w:val="nil"/>
                  </w:tcBorders>
                  <w:tcMar>
                    <w:top w:w="0" w:type="dxa"/>
                    <w:left w:w="28" w:type="dxa"/>
                    <w:bottom w:w="0" w:type="dxa"/>
                    <w:right w:w="28" w:type="dxa"/>
                  </w:tcMar>
                  <w:vAlign w:val="center"/>
                </w:tcPr>
                <w:p w14:paraId="443A3D5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是</w:t>
                  </w:r>
                </w:p>
              </w:tc>
              <w:tc>
                <w:tcPr>
                  <w:tcW w:w="234" w:type="pct"/>
                  <w:tcBorders>
                    <w:tl2br w:val="nil"/>
                    <w:tr2bl w:val="nil"/>
                  </w:tcBorders>
                  <w:tcMar>
                    <w:top w:w="0" w:type="dxa"/>
                    <w:left w:w="28" w:type="dxa"/>
                    <w:bottom w:w="0" w:type="dxa"/>
                    <w:right w:w="28" w:type="dxa"/>
                  </w:tcMar>
                  <w:vAlign w:val="center"/>
                </w:tcPr>
                <w:p w14:paraId="094F3D45">
                  <w:pPr>
                    <w:jc w:val="center"/>
                    <w:rPr>
                      <w:rFonts w:ascii="Times New Roman" w:hAnsi="Times New Roman" w:cs="Times New Roman"/>
                      <w:szCs w:val="21"/>
                    </w:rPr>
                  </w:pPr>
                  <w:r>
                    <w:rPr>
                      <w:rFonts w:hint="eastAsia" w:ascii="Times New Roman" w:hAnsi="Times New Roman" w:cs="Times New Roman"/>
                      <w:szCs w:val="21"/>
                    </w:rPr>
                    <w:t>0.00028</w:t>
                  </w:r>
                </w:p>
              </w:tc>
              <w:tc>
                <w:tcPr>
                  <w:tcW w:w="225" w:type="pct"/>
                  <w:tcBorders>
                    <w:tl2br w:val="nil"/>
                    <w:tr2bl w:val="nil"/>
                  </w:tcBorders>
                  <w:tcMar>
                    <w:top w:w="0" w:type="dxa"/>
                    <w:left w:w="28" w:type="dxa"/>
                    <w:bottom w:w="0" w:type="dxa"/>
                    <w:right w:w="28" w:type="dxa"/>
                  </w:tcMar>
                  <w:vAlign w:val="center"/>
                </w:tcPr>
                <w:p w14:paraId="3FEE48AC">
                  <w:pPr>
                    <w:jc w:val="center"/>
                    <w:rPr>
                      <w:rFonts w:ascii="Times New Roman" w:hAnsi="Times New Roman" w:cs="Times New Roman"/>
                      <w:szCs w:val="21"/>
                    </w:rPr>
                  </w:pPr>
                  <w:r>
                    <w:rPr>
                      <w:rFonts w:hint="eastAsia" w:ascii="Times New Roman" w:hAnsi="Times New Roman" w:cs="Times New Roman"/>
                      <w:szCs w:val="21"/>
                    </w:rPr>
                    <w:t>0.0056</w:t>
                  </w:r>
                </w:p>
              </w:tc>
              <w:tc>
                <w:tcPr>
                  <w:tcW w:w="302" w:type="pct"/>
                  <w:tcBorders>
                    <w:tl2br w:val="nil"/>
                    <w:tr2bl w:val="nil"/>
                  </w:tcBorders>
                  <w:tcMar>
                    <w:top w:w="0" w:type="dxa"/>
                    <w:left w:w="28" w:type="dxa"/>
                    <w:bottom w:w="0" w:type="dxa"/>
                    <w:right w:w="28" w:type="dxa"/>
                  </w:tcMar>
                  <w:vAlign w:val="center"/>
                </w:tcPr>
                <w:p w14:paraId="3366C8B3">
                  <w:pPr>
                    <w:jc w:val="center"/>
                    <w:rPr>
                      <w:rFonts w:ascii="Times New Roman" w:hAnsi="Times New Roman" w:cs="Times New Roman"/>
                      <w:szCs w:val="21"/>
                    </w:rPr>
                  </w:pPr>
                  <w:r>
                    <w:rPr>
                      <w:rFonts w:hint="eastAsia" w:ascii="Times New Roman" w:hAnsi="Times New Roman" w:cs="Times New Roman"/>
                      <w:szCs w:val="21"/>
                    </w:rPr>
                    <w:t>1.12</w:t>
                  </w:r>
                </w:p>
              </w:tc>
              <w:tc>
                <w:tcPr>
                  <w:tcW w:w="201" w:type="pct"/>
                  <w:vMerge w:val="restart"/>
                  <w:tcBorders>
                    <w:tl2br w:val="nil"/>
                    <w:tr2bl w:val="nil"/>
                  </w:tcBorders>
                  <w:tcMar>
                    <w:top w:w="0" w:type="dxa"/>
                    <w:left w:w="28" w:type="dxa"/>
                    <w:bottom w:w="0" w:type="dxa"/>
                    <w:right w:w="28" w:type="dxa"/>
                  </w:tcMar>
                  <w:vAlign w:val="center"/>
                </w:tcPr>
                <w:p w14:paraId="092E492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50</w:t>
                  </w:r>
                </w:p>
              </w:tc>
              <w:tc>
                <w:tcPr>
                  <w:tcW w:w="245" w:type="pct"/>
                  <w:tcBorders>
                    <w:tl2br w:val="nil"/>
                    <w:tr2bl w:val="nil"/>
                  </w:tcBorders>
                  <w:tcMar>
                    <w:top w:w="0" w:type="dxa"/>
                    <w:left w:w="28" w:type="dxa"/>
                    <w:bottom w:w="0" w:type="dxa"/>
                    <w:right w:w="28" w:type="dxa"/>
                  </w:tcMar>
                  <w:vAlign w:val="center"/>
                </w:tcPr>
                <w:p w14:paraId="4FBA2E7F">
                  <w:pPr>
                    <w:jc w:val="center"/>
                    <w:rPr>
                      <w:rFonts w:ascii="Times New Roman" w:hAnsi="Times New Roman" w:eastAsia="宋体" w:cs="Times New Roman"/>
                      <w:color w:val="FF0000"/>
                      <w:szCs w:val="21"/>
                    </w:rPr>
                  </w:pPr>
                  <w:r>
                    <w:rPr>
                      <w:rFonts w:hint="eastAsia" w:ascii="Times New Roman" w:hAnsi="Times New Roman" w:cs="Times New Roman"/>
                      <w:color w:val="FF0000"/>
                      <w:szCs w:val="21"/>
                    </w:rPr>
                    <w:t>0.09</w:t>
                  </w:r>
                </w:p>
              </w:tc>
              <w:tc>
                <w:tcPr>
                  <w:tcW w:w="358" w:type="pct"/>
                  <w:tcBorders>
                    <w:tl2br w:val="nil"/>
                    <w:tr2bl w:val="nil"/>
                  </w:tcBorders>
                  <w:tcMar>
                    <w:top w:w="0" w:type="dxa"/>
                    <w:left w:w="28" w:type="dxa"/>
                    <w:bottom w:w="0" w:type="dxa"/>
                    <w:right w:w="28" w:type="dxa"/>
                  </w:tcMar>
                  <w:vAlign w:val="center"/>
                </w:tcPr>
                <w:p w14:paraId="34968E3C">
                  <w:pPr>
                    <w:jc w:val="center"/>
                    <w:rPr>
                      <w:rFonts w:ascii="Times New Roman" w:hAnsi="Times New Roman" w:cs="Times New Roman"/>
                      <w:color w:val="FF0000"/>
                      <w:szCs w:val="21"/>
                    </w:rPr>
                  </w:pPr>
                  <w:r>
                    <w:rPr>
                      <w:rFonts w:hint="eastAsia" w:ascii="Times New Roman" w:hAnsi="Times New Roman" w:eastAsia="宋体" w:cs="Times New Roman"/>
                      <w:color w:val="FF0000"/>
                      <w:szCs w:val="21"/>
                    </w:rPr>
                    <w:t>75</w:t>
                  </w:r>
                </w:p>
              </w:tc>
              <w:tc>
                <w:tcPr>
                  <w:tcW w:w="134" w:type="pct"/>
                  <w:tcBorders>
                    <w:tl2br w:val="nil"/>
                    <w:tr2bl w:val="nil"/>
                  </w:tcBorders>
                  <w:tcMar>
                    <w:top w:w="0" w:type="dxa"/>
                    <w:left w:w="28" w:type="dxa"/>
                    <w:bottom w:w="0" w:type="dxa"/>
                    <w:right w:w="28" w:type="dxa"/>
                  </w:tcMar>
                  <w:vAlign w:val="center"/>
                </w:tcPr>
                <w:p w14:paraId="0EDB744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63584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15" w:type="pct"/>
                  <w:vMerge w:val="continue"/>
                  <w:tcBorders>
                    <w:tl2br w:val="nil"/>
                    <w:tr2bl w:val="nil"/>
                  </w:tcBorders>
                  <w:tcMar>
                    <w:top w:w="0" w:type="dxa"/>
                    <w:left w:w="28" w:type="dxa"/>
                    <w:bottom w:w="0" w:type="dxa"/>
                    <w:right w:w="28" w:type="dxa"/>
                  </w:tcMar>
                  <w:vAlign w:val="center"/>
                </w:tcPr>
                <w:p w14:paraId="5226C91F">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34FE99D5">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2660459D">
                  <w:pPr>
                    <w:jc w:val="center"/>
                    <w:rPr>
                      <w:rFonts w:ascii="Times New Roman" w:hAnsi="Times New Roman" w:eastAsia="宋体" w:cs="Times New Roman"/>
                      <w:color w:val="000000"/>
                      <w:szCs w:val="21"/>
                    </w:rPr>
                  </w:pPr>
                </w:p>
              </w:tc>
              <w:tc>
                <w:tcPr>
                  <w:tcW w:w="268" w:type="pct"/>
                  <w:tcBorders>
                    <w:tl2br w:val="nil"/>
                    <w:tr2bl w:val="nil"/>
                  </w:tcBorders>
                  <w:tcMar>
                    <w:top w:w="0" w:type="dxa"/>
                    <w:left w:w="28" w:type="dxa"/>
                    <w:bottom w:w="0" w:type="dxa"/>
                    <w:right w:w="28" w:type="dxa"/>
                  </w:tcMar>
                  <w:vAlign w:val="center"/>
                </w:tcPr>
                <w:p w14:paraId="565B6B94">
                  <w:pPr>
                    <w:jc w:val="center"/>
                    <w:rPr>
                      <w:rFonts w:ascii="Times New Roman" w:hAnsi="Times New Roman" w:cs="Times New Roman"/>
                      <w:szCs w:val="21"/>
                    </w:rPr>
                  </w:pPr>
                  <w:r>
                    <w:rPr>
                      <w:rFonts w:ascii="Times New Roman" w:hAnsi="Times New Roman" w:cs="Times New Roman"/>
                      <w:szCs w:val="21"/>
                    </w:rPr>
                    <w:t>苯并[a]芘</w:t>
                  </w:r>
                </w:p>
              </w:tc>
              <w:tc>
                <w:tcPr>
                  <w:tcW w:w="180" w:type="pct"/>
                  <w:vMerge w:val="continue"/>
                  <w:tcBorders>
                    <w:tl2br w:val="nil"/>
                    <w:tr2bl w:val="nil"/>
                  </w:tcBorders>
                  <w:tcMar>
                    <w:top w:w="0" w:type="dxa"/>
                    <w:left w:w="28" w:type="dxa"/>
                    <w:bottom w:w="0" w:type="dxa"/>
                    <w:right w:w="28" w:type="dxa"/>
                  </w:tcMar>
                  <w:vAlign w:val="center"/>
                </w:tcPr>
                <w:p w14:paraId="0C3AFAEA">
                  <w:pPr>
                    <w:jc w:val="center"/>
                    <w:rPr>
                      <w:rFonts w:ascii="Times New Roman" w:hAnsi="Times New Roman" w:eastAsia="宋体" w:cs="Times New Roman"/>
                      <w:color w:val="000000"/>
                      <w:szCs w:val="21"/>
                    </w:rPr>
                  </w:pPr>
                </w:p>
              </w:tc>
              <w:tc>
                <w:tcPr>
                  <w:tcW w:w="249" w:type="pct"/>
                  <w:tcBorders>
                    <w:tl2br w:val="nil"/>
                    <w:tr2bl w:val="nil"/>
                  </w:tcBorders>
                  <w:tcMar>
                    <w:top w:w="0" w:type="dxa"/>
                    <w:left w:w="28" w:type="dxa"/>
                    <w:bottom w:w="0" w:type="dxa"/>
                    <w:right w:w="28" w:type="dxa"/>
                  </w:tcMar>
                  <w:vAlign w:val="center"/>
                </w:tcPr>
                <w:p w14:paraId="4DB896EF">
                  <w:pPr>
                    <w:jc w:val="center"/>
                    <w:rPr>
                      <w:rFonts w:ascii="Times New Roman" w:hAnsi="Times New Roman" w:cs="Times New Roman"/>
                      <w:szCs w:val="21"/>
                    </w:rPr>
                  </w:pPr>
                  <w:r>
                    <w:rPr>
                      <w:rFonts w:hint="eastAsia" w:ascii="Times New Roman" w:hAnsi="Times New Roman" w:cs="Times New Roman"/>
                      <w:szCs w:val="21"/>
                    </w:rPr>
                    <w:t>0.0000021</w:t>
                  </w:r>
                </w:p>
              </w:tc>
              <w:tc>
                <w:tcPr>
                  <w:tcW w:w="292" w:type="pct"/>
                  <w:tcBorders>
                    <w:tl2br w:val="nil"/>
                    <w:tr2bl w:val="nil"/>
                  </w:tcBorders>
                  <w:tcMar>
                    <w:top w:w="0" w:type="dxa"/>
                    <w:left w:w="28" w:type="dxa"/>
                    <w:bottom w:w="0" w:type="dxa"/>
                    <w:right w:w="28" w:type="dxa"/>
                  </w:tcMar>
                  <w:vAlign w:val="center"/>
                </w:tcPr>
                <w:p w14:paraId="3D8323F1">
                  <w:pPr>
                    <w:jc w:val="center"/>
                    <w:rPr>
                      <w:rFonts w:ascii="Times New Roman" w:hAnsi="Times New Roman" w:eastAsia="仿宋" w:cs="Times New Roman"/>
                      <w:szCs w:val="21"/>
                    </w:rPr>
                  </w:pPr>
                  <w:r>
                    <w:rPr>
                      <w:rFonts w:hint="eastAsia" w:ascii="Times New Roman" w:hAnsi="Times New Roman" w:eastAsia="仿宋" w:cs="Times New Roman"/>
                      <w:szCs w:val="21"/>
                    </w:rPr>
                    <w:t>0.0000</w:t>
                  </w:r>
                </w:p>
                <w:p w14:paraId="6B06BB93">
                  <w:pPr>
                    <w:jc w:val="center"/>
                    <w:rPr>
                      <w:rFonts w:ascii="Times New Roman" w:hAnsi="Times New Roman" w:cs="Times New Roman"/>
                      <w:szCs w:val="21"/>
                    </w:rPr>
                  </w:pPr>
                  <w:r>
                    <w:rPr>
                      <w:rFonts w:hint="eastAsia" w:ascii="Times New Roman" w:hAnsi="Times New Roman" w:eastAsia="仿宋" w:cs="Times New Roman"/>
                      <w:szCs w:val="21"/>
                    </w:rPr>
                    <w:t>42</w:t>
                  </w:r>
                </w:p>
              </w:tc>
              <w:tc>
                <w:tcPr>
                  <w:tcW w:w="302" w:type="pct"/>
                  <w:tcBorders>
                    <w:tl2br w:val="nil"/>
                    <w:tr2bl w:val="nil"/>
                  </w:tcBorders>
                  <w:tcMar>
                    <w:top w:w="0" w:type="dxa"/>
                    <w:left w:w="28" w:type="dxa"/>
                    <w:bottom w:w="0" w:type="dxa"/>
                    <w:right w:w="28" w:type="dxa"/>
                  </w:tcMar>
                  <w:vAlign w:val="center"/>
                </w:tcPr>
                <w:p w14:paraId="7C56ED3C">
                  <w:pPr>
                    <w:jc w:val="center"/>
                    <w:rPr>
                      <w:rFonts w:ascii="Times New Roman" w:hAnsi="Times New Roman" w:cs="Times New Roman"/>
                      <w:szCs w:val="21"/>
                    </w:rPr>
                  </w:pPr>
                  <w:r>
                    <w:rPr>
                      <w:rFonts w:hint="eastAsia" w:ascii="Times New Roman" w:hAnsi="Times New Roman" w:cs="Times New Roman"/>
                      <w:szCs w:val="21"/>
                    </w:rPr>
                    <w:t>0.0084</w:t>
                  </w:r>
                </w:p>
              </w:tc>
              <w:tc>
                <w:tcPr>
                  <w:tcW w:w="734" w:type="pct"/>
                  <w:vMerge w:val="continue"/>
                  <w:tcBorders>
                    <w:tl2br w:val="nil"/>
                    <w:tr2bl w:val="nil"/>
                  </w:tcBorders>
                  <w:tcMar>
                    <w:top w:w="0" w:type="dxa"/>
                    <w:left w:w="28" w:type="dxa"/>
                    <w:bottom w:w="0" w:type="dxa"/>
                    <w:right w:w="28" w:type="dxa"/>
                  </w:tcMar>
                  <w:vAlign w:val="center"/>
                </w:tcPr>
                <w:p w14:paraId="2DD81A4C">
                  <w:pPr>
                    <w:jc w:val="center"/>
                    <w:rPr>
                      <w:rFonts w:ascii="Times New Roman" w:hAnsi="Times New Roman" w:eastAsia="宋体" w:cs="Times New Roman"/>
                      <w:color w:val="000000"/>
                      <w:szCs w:val="21"/>
                    </w:rPr>
                  </w:pPr>
                </w:p>
              </w:tc>
              <w:tc>
                <w:tcPr>
                  <w:tcW w:w="206" w:type="pct"/>
                  <w:vMerge w:val="continue"/>
                  <w:tcBorders>
                    <w:tl2br w:val="nil"/>
                    <w:tr2bl w:val="nil"/>
                  </w:tcBorders>
                  <w:tcMar>
                    <w:top w:w="0" w:type="dxa"/>
                    <w:left w:w="28" w:type="dxa"/>
                    <w:bottom w:w="0" w:type="dxa"/>
                    <w:right w:w="28" w:type="dxa"/>
                  </w:tcMar>
                  <w:vAlign w:val="center"/>
                </w:tcPr>
                <w:p w14:paraId="5675A70E">
                  <w:pPr>
                    <w:jc w:val="center"/>
                    <w:rPr>
                      <w:rFonts w:ascii="Times New Roman" w:hAnsi="Times New Roman" w:eastAsia="宋体" w:cs="Times New Roman"/>
                      <w:color w:val="000000"/>
                      <w:szCs w:val="21"/>
                    </w:rPr>
                  </w:pPr>
                </w:p>
              </w:tc>
              <w:tc>
                <w:tcPr>
                  <w:tcW w:w="264" w:type="pct"/>
                  <w:vMerge w:val="continue"/>
                  <w:tcBorders>
                    <w:tl2br w:val="nil"/>
                    <w:tr2bl w:val="nil"/>
                  </w:tcBorders>
                  <w:tcMar>
                    <w:top w:w="0" w:type="dxa"/>
                    <w:left w:w="28" w:type="dxa"/>
                    <w:bottom w:w="0" w:type="dxa"/>
                    <w:right w:w="28" w:type="dxa"/>
                  </w:tcMar>
                  <w:vAlign w:val="center"/>
                </w:tcPr>
                <w:p w14:paraId="7A96AEEE">
                  <w:pPr>
                    <w:jc w:val="center"/>
                    <w:rPr>
                      <w:rFonts w:ascii="Times New Roman" w:hAnsi="Times New Roman" w:eastAsia="宋体" w:cs="Times New Roman"/>
                      <w:color w:val="000000"/>
                      <w:szCs w:val="21"/>
                    </w:rPr>
                  </w:pPr>
                </w:p>
              </w:tc>
              <w:tc>
                <w:tcPr>
                  <w:tcW w:w="278" w:type="pct"/>
                  <w:vMerge w:val="continue"/>
                  <w:tcBorders>
                    <w:tl2br w:val="nil"/>
                    <w:tr2bl w:val="nil"/>
                  </w:tcBorders>
                  <w:tcMar>
                    <w:top w:w="0" w:type="dxa"/>
                    <w:left w:w="28" w:type="dxa"/>
                    <w:bottom w:w="0" w:type="dxa"/>
                    <w:right w:w="28" w:type="dxa"/>
                  </w:tcMar>
                  <w:vAlign w:val="center"/>
                </w:tcPr>
                <w:p w14:paraId="01C1E16B">
                  <w:pPr>
                    <w:jc w:val="center"/>
                    <w:rPr>
                      <w:rFonts w:ascii="Times New Roman" w:hAnsi="Times New Roman" w:eastAsia="宋体" w:cs="Times New Roman"/>
                      <w:color w:val="000000"/>
                      <w:szCs w:val="21"/>
                    </w:rPr>
                  </w:pPr>
                </w:p>
              </w:tc>
              <w:tc>
                <w:tcPr>
                  <w:tcW w:w="196" w:type="pct"/>
                  <w:vMerge w:val="continue"/>
                  <w:tcBorders>
                    <w:tl2br w:val="nil"/>
                    <w:tr2bl w:val="nil"/>
                  </w:tcBorders>
                  <w:tcMar>
                    <w:top w:w="0" w:type="dxa"/>
                    <w:left w:w="28" w:type="dxa"/>
                    <w:bottom w:w="0" w:type="dxa"/>
                    <w:right w:w="28" w:type="dxa"/>
                  </w:tcMar>
                  <w:vAlign w:val="center"/>
                </w:tcPr>
                <w:p w14:paraId="05F16A37">
                  <w:pPr>
                    <w:jc w:val="center"/>
                    <w:rPr>
                      <w:rFonts w:ascii="Times New Roman" w:hAnsi="Times New Roman" w:eastAsia="宋体" w:cs="Times New Roman"/>
                      <w:color w:val="000000"/>
                      <w:szCs w:val="21"/>
                    </w:rPr>
                  </w:pPr>
                </w:p>
              </w:tc>
              <w:tc>
                <w:tcPr>
                  <w:tcW w:w="234" w:type="pct"/>
                  <w:tcBorders>
                    <w:tl2br w:val="nil"/>
                    <w:tr2bl w:val="nil"/>
                  </w:tcBorders>
                  <w:tcMar>
                    <w:top w:w="0" w:type="dxa"/>
                    <w:left w:w="28" w:type="dxa"/>
                    <w:bottom w:w="0" w:type="dxa"/>
                    <w:right w:w="28" w:type="dxa"/>
                  </w:tcMar>
                  <w:vAlign w:val="center"/>
                </w:tcPr>
                <w:p w14:paraId="19847722">
                  <w:pPr>
                    <w:jc w:val="center"/>
                    <w:rPr>
                      <w:rFonts w:ascii="Times New Roman" w:hAnsi="Times New Roman" w:cs="Times New Roman"/>
                      <w:szCs w:val="21"/>
                    </w:rPr>
                  </w:pPr>
                  <w:r>
                    <w:rPr>
                      <w:rFonts w:hint="eastAsia" w:ascii="Times New Roman" w:hAnsi="Times New Roman" w:eastAsia="仿宋" w:cs="Times New Roman"/>
                      <w:szCs w:val="21"/>
                    </w:rPr>
                    <w:t>4.2</w:t>
                  </w:r>
                  <w:r>
                    <w:rPr>
                      <w:rFonts w:ascii="Times New Roman" w:hAnsi="Times New Roman" w:eastAsia="仿宋" w:cs="Times New Roman"/>
                      <w:szCs w:val="21"/>
                    </w:rPr>
                    <w:t>×10</w:t>
                  </w:r>
                  <w:r>
                    <w:rPr>
                      <w:rFonts w:ascii="Times New Roman" w:hAnsi="Times New Roman" w:eastAsia="仿宋" w:cs="Times New Roman"/>
                      <w:szCs w:val="21"/>
                      <w:vertAlign w:val="superscript"/>
                    </w:rPr>
                    <w:t>-</w:t>
                  </w:r>
                  <w:r>
                    <w:rPr>
                      <w:rFonts w:hint="eastAsia" w:ascii="Times New Roman" w:hAnsi="Times New Roman" w:eastAsia="仿宋" w:cs="Times New Roman"/>
                      <w:szCs w:val="21"/>
                      <w:vertAlign w:val="superscript"/>
                    </w:rPr>
                    <w:t>8</w:t>
                  </w:r>
                </w:p>
              </w:tc>
              <w:tc>
                <w:tcPr>
                  <w:tcW w:w="225" w:type="pct"/>
                  <w:tcBorders>
                    <w:tl2br w:val="nil"/>
                    <w:tr2bl w:val="nil"/>
                  </w:tcBorders>
                  <w:tcMar>
                    <w:top w:w="0" w:type="dxa"/>
                    <w:left w:w="28" w:type="dxa"/>
                    <w:bottom w:w="0" w:type="dxa"/>
                    <w:right w:w="28" w:type="dxa"/>
                  </w:tcMar>
                  <w:vAlign w:val="center"/>
                </w:tcPr>
                <w:p w14:paraId="09DB11D6">
                  <w:pPr>
                    <w:jc w:val="center"/>
                    <w:rPr>
                      <w:rFonts w:ascii="Times New Roman" w:hAnsi="Times New Roman" w:cs="Times New Roman"/>
                      <w:szCs w:val="21"/>
                    </w:rPr>
                  </w:pPr>
                  <w:r>
                    <w:rPr>
                      <w:rFonts w:hint="eastAsia" w:ascii="Times New Roman" w:hAnsi="Times New Roman" w:eastAsia="仿宋" w:cs="Times New Roman"/>
                      <w:szCs w:val="21"/>
                    </w:rPr>
                    <w:t>8.4</w:t>
                  </w:r>
                  <w:r>
                    <w:rPr>
                      <w:rFonts w:ascii="Times New Roman" w:hAnsi="Times New Roman" w:eastAsia="仿宋" w:cs="Times New Roman"/>
                      <w:szCs w:val="21"/>
                    </w:rPr>
                    <w:t>×10</w:t>
                  </w:r>
                  <w:r>
                    <w:rPr>
                      <w:rFonts w:ascii="Times New Roman" w:hAnsi="Times New Roman" w:eastAsia="仿宋" w:cs="Times New Roman"/>
                      <w:szCs w:val="21"/>
                      <w:vertAlign w:val="superscript"/>
                    </w:rPr>
                    <w:t>-</w:t>
                  </w:r>
                  <w:r>
                    <w:rPr>
                      <w:rFonts w:hint="eastAsia" w:ascii="Times New Roman" w:hAnsi="Times New Roman" w:eastAsia="仿宋" w:cs="Times New Roman"/>
                      <w:szCs w:val="21"/>
                      <w:vertAlign w:val="superscript"/>
                    </w:rPr>
                    <w:t>7</w:t>
                  </w:r>
                </w:p>
              </w:tc>
              <w:tc>
                <w:tcPr>
                  <w:tcW w:w="302" w:type="pct"/>
                  <w:tcBorders>
                    <w:tl2br w:val="nil"/>
                    <w:tr2bl w:val="nil"/>
                  </w:tcBorders>
                  <w:tcMar>
                    <w:top w:w="0" w:type="dxa"/>
                    <w:left w:w="28" w:type="dxa"/>
                    <w:bottom w:w="0" w:type="dxa"/>
                    <w:right w:w="28" w:type="dxa"/>
                  </w:tcMar>
                  <w:vAlign w:val="center"/>
                </w:tcPr>
                <w:p w14:paraId="3447F5B4">
                  <w:pPr>
                    <w:jc w:val="center"/>
                    <w:rPr>
                      <w:rFonts w:ascii="Times New Roman" w:hAnsi="Times New Roman" w:cs="Times New Roman"/>
                      <w:szCs w:val="21"/>
                    </w:rPr>
                  </w:pPr>
                  <w:r>
                    <w:rPr>
                      <w:rFonts w:hint="eastAsia" w:ascii="Times New Roman" w:hAnsi="Times New Roman" w:cs="Times New Roman"/>
                      <w:szCs w:val="21"/>
                    </w:rPr>
                    <w:t>0.000168</w:t>
                  </w:r>
                </w:p>
              </w:tc>
              <w:tc>
                <w:tcPr>
                  <w:tcW w:w="201" w:type="pct"/>
                  <w:vMerge w:val="continue"/>
                  <w:tcBorders>
                    <w:tl2br w:val="nil"/>
                    <w:tr2bl w:val="nil"/>
                  </w:tcBorders>
                  <w:tcMar>
                    <w:top w:w="0" w:type="dxa"/>
                    <w:left w:w="28" w:type="dxa"/>
                    <w:bottom w:w="0" w:type="dxa"/>
                    <w:right w:w="28" w:type="dxa"/>
                  </w:tcMar>
                  <w:vAlign w:val="center"/>
                </w:tcPr>
                <w:p w14:paraId="47A9CA00">
                  <w:pPr>
                    <w:jc w:val="center"/>
                    <w:rPr>
                      <w:rFonts w:ascii="Times New Roman" w:hAnsi="Times New Roman" w:eastAsia="宋体" w:cs="Times New Roman"/>
                      <w:color w:val="000000"/>
                      <w:szCs w:val="21"/>
                    </w:rPr>
                  </w:pPr>
                </w:p>
              </w:tc>
              <w:tc>
                <w:tcPr>
                  <w:tcW w:w="245" w:type="pct"/>
                  <w:tcBorders>
                    <w:tl2br w:val="nil"/>
                    <w:tr2bl w:val="nil"/>
                  </w:tcBorders>
                  <w:tcMar>
                    <w:top w:w="0" w:type="dxa"/>
                    <w:left w:w="28" w:type="dxa"/>
                    <w:bottom w:w="0" w:type="dxa"/>
                    <w:right w:w="28" w:type="dxa"/>
                  </w:tcMar>
                  <w:vAlign w:val="center"/>
                </w:tcPr>
                <w:p w14:paraId="57B74EC2">
                  <w:pPr>
                    <w:jc w:val="center"/>
                    <w:rPr>
                      <w:rFonts w:ascii="Times New Roman" w:hAnsi="Times New Roman" w:eastAsia="宋体" w:cs="Times New Roman"/>
                      <w:color w:val="FF0000"/>
                      <w:szCs w:val="21"/>
                    </w:rPr>
                  </w:pPr>
                  <w:r>
                    <w:rPr>
                      <w:rFonts w:ascii="Times New Roman" w:hAnsi="Times New Roman" w:cs="Times New Roman"/>
                      <w:color w:val="FF0000"/>
                      <w:szCs w:val="21"/>
                    </w:rPr>
                    <w:t>0.025×10</w:t>
                  </w:r>
                  <w:r>
                    <w:rPr>
                      <w:rFonts w:hint="eastAsia" w:ascii="Times New Roman" w:hAnsi="Times New Roman" w:cs="Times New Roman"/>
                      <w:color w:val="FF0000"/>
                      <w:szCs w:val="21"/>
                      <w:vertAlign w:val="superscript"/>
                    </w:rPr>
                    <w:t>-3</w:t>
                  </w:r>
                </w:p>
              </w:tc>
              <w:tc>
                <w:tcPr>
                  <w:tcW w:w="358" w:type="pct"/>
                  <w:tcBorders>
                    <w:tl2br w:val="nil"/>
                    <w:tr2bl w:val="nil"/>
                  </w:tcBorders>
                  <w:tcMar>
                    <w:top w:w="0" w:type="dxa"/>
                    <w:left w:w="28" w:type="dxa"/>
                    <w:bottom w:w="0" w:type="dxa"/>
                    <w:right w:w="28" w:type="dxa"/>
                  </w:tcMar>
                  <w:vAlign w:val="center"/>
                </w:tcPr>
                <w:p w14:paraId="2E554816">
                  <w:pPr>
                    <w:jc w:val="center"/>
                    <w:rPr>
                      <w:rFonts w:ascii="Times New Roman" w:hAnsi="Times New Roman" w:cs="Times New Roman"/>
                      <w:color w:val="FF0000"/>
                      <w:szCs w:val="21"/>
                    </w:rPr>
                  </w:pPr>
                  <w:r>
                    <w:rPr>
                      <w:rFonts w:ascii="Times New Roman" w:hAnsi="Times New Roman" w:cs="Times New Roman"/>
                      <w:color w:val="FF0000"/>
                      <w:szCs w:val="21"/>
                    </w:rPr>
                    <w:t>0.3×10</w:t>
                  </w:r>
                  <w:r>
                    <w:rPr>
                      <w:rFonts w:ascii="Times New Roman" w:hAnsi="Times New Roman" w:cs="Times New Roman"/>
                      <w:color w:val="FF0000"/>
                      <w:szCs w:val="21"/>
                      <w:vertAlign w:val="superscript"/>
                    </w:rPr>
                    <w:t>-3</w:t>
                  </w:r>
                </w:p>
              </w:tc>
              <w:tc>
                <w:tcPr>
                  <w:tcW w:w="134" w:type="pct"/>
                  <w:tcBorders>
                    <w:tl2br w:val="nil"/>
                    <w:tr2bl w:val="nil"/>
                  </w:tcBorders>
                  <w:tcMar>
                    <w:top w:w="0" w:type="dxa"/>
                    <w:left w:w="28" w:type="dxa"/>
                    <w:bottom w:w="0" w:type="dxa"/>
                    <w:right w:w="28" w:type="dxa"/>
                  </w:tcMar>
                  <w:vAlign w:val="center"/>
                </w:tcPr>
                <w:p w14:paraId="18BB452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2D271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15" w:type="pct"/>
                  <w:vMerge w:val="continue"/>
                  <w:tcBorders>
                    <w:tl2br w:val="nil"/>
                    <w:tr2bl w:val="nil"/>
                  </w:tcBorders>
                  <w:tcMar>
                    <w:top w:w="0" w:type="dxa"/>
                    <w:left w:w="28" w:type="dxa"/>
                    <w:bottom w:w="0" w:type="dxa"/>
                    <w:right w:w="28" w:type="dxa"/>
                  </w:tcMar>
                  <w:vAlign w:val="center"/>
                </w:tcPr>
                <w:p w14:paraId="4C5DEECB">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4A9ED13D">
                  <w:pPr>
                    <w:jc w:val="center"/>
                    <w:rPr>
                      <w:rFonts w:ascii="Times New Roman" w:hAnsi="Times New Roman" w:eastAsia="宋体" w:cs="Times New Roman"/>
                      <w:color w:val="000000"/>
                      <w:szCs w:val="21"/>
                    </w:rPr>
                  </w:pPr>
                </w:p>
              </w:tc>
              <w:tc>
                <w:tcPr>
                  <w:tcW w:w="101" w:type="pct"/>
                  <w:vMerge w:val="continue"/>
                  <w:tcBorders>
                    <w:bottom w:val="single" w:color="000000" w:sz="4" w:space="0"/>
                    <w:tl2br w:val="nil"/>
                    <w:tr2bl w:val="nil"/>
                  </w:tcBorders>
                  <w:tcMar>
                    <w:top w:w="0" w:type="dxa"/>
                    <w:left w:w="28" w:type="dxa"/>
                    <w:bottom w:w="0" w:type="dxa"/>
                    <w:right w:w="28" w:type="dxa"/>
                  </w:tcMar>
                  <w:vAlign w:val="center"/>
                </w:tcPr>
                <w:p w14:paraId="49CDF5CA">
                  <w:pPr>
                    <w:jc w:val="center"/>
                    <w:rPr>
                      <w:rFonts w:ascii="Times New Roman" w:hAnsi="Times New Roman" w:eastAsia="宋体" w:cs="Times New Roman"/>
                      <w:color w:val="000000"/>
                      <w:szCs w:val="21"/>
                    </w:rPr>
                  </w:pPr>
                </w:p>
              </w:tc>
              <w:tc>
                <w:tcPr>
                  <w:tcW w:w="268" w:type="pct"/>
                  <w:tcBorders>
                    <w:bottom w:val="single" w:color="000000" w:sz="4" w:space="0"/>
                    <w:tl2br w:val="nil"/>
                    <w:tr2bl w:val="nil"/>
                  </w:tcBorders>
                  <w:tcMar>
                    <w:top w:w="0" w:type="dxa"/>
                    <w:left w:w="28" w:type="dxa"/>
                    <w:bottom w:w="0" w:type="dxa"/>
                    <w:right w:w="28" w:type="dxa"/>
                  </w:tcMar>
                  <w:vAlign w:val="center"/>
                </w:tcPr>
                <w:p w14:paraId="7D5B1E0C">
                  <w:pPr>
                    <w:jc w:val="center"/>
                    <w:rPr>
                      <w:rFonts w:ascii="Times New Roman" w:hAnsi="Times New Roman" w:cs="Times New Roman"/>
                      <w:szCs w:val="21"/>
                    </w:rPr>
                  </w:pPr>
                  <w:r>
                    <w:rPr>
                      <w:rFonts w:hint="eastAsia" w:ascii="Times New Roman" w:hAnsi="Times New Roman" w:cs="Times New Roman"/>
                      <w:szCs w:val="21"/>
                    </w:rPr>
                    <w:t>非甲烷总烃</w:t>
                  </w:r>
                </w:p>
              </w:tc>
              <w:tc>
                <w:tcPr>
                  <w:tcW w:w="180" w:type="pct"/>
                  <w:vMerge w:val="continue"/>
                  <w:tcBorders>
                    <w:bottom w:val="single" w:color="000000" w:sz="4" w:space="0"/>
                    <w:tl2br w:val="nil"/>
                    <w:tr2bl w:val="nil"/>
                  </w:tcBorders>
                  <w:tcMar>
                    <w:top w:w="0" w:type="dxa"/>
                    <w:left w:w="28" w:type="dxa"/>
                    <w:bottom w:w="0" w:type="dxa"/>
                    <w:right w:w="28" w:type="dxa"/>
                  </w:tcMar>
                  <w:vAlign w:val="center"/>
                </w:tcPr>
                <w:p w14:paraId="2B9CA022">
                  <w:pPr>
                    <w:jc w:val="center"/>
                    <w:rPr>
                      <w:rFonts w:ascii="Times New Roman" w:hAnsi="Times New Roman" w:eastAsia="宋体" w:cs="Times New Roman"/>
                      <w:color w:val="000000"/>
                      <w:szCs w:val="21"/>
                    </w:rPr>
                  </w:pPr>
                </w:p>
              </w:tc>
              <w:tc>
                <w:tcPr>
                  <w:tcW w:w="249" w:type="pct"/>
                  <w:tcBorders>
                    <w:bottom w:val="single" w:color="000000" w:sz="4" w:space="0"/>
                    <w:tl2br w:val="nil"/>
                    <w:tr2bl w:val="nil"/>
                  </w:tcBorders>
                  <w:tcMar>
                    <w:top w:w="0" w:type="dxa"/>
                    <w:left w:w="28" w:type="dxa"/>
                    <w:bottom w:w="0" w:type="dxa"/>
                    <w:right w:w="28" w:type="dxa"/>
                  </w:tcMar>
                  <w:vAlign w:val="center"/>
                </w:tcPr>
                <w:p w14:paraId="32B7EFE0">
                  <w:pPr>
                    <w:jc w:val="center"/>
                    <w:rPr>
                      <w:rFonts w:ascii="Times New Roman" w:hAnsi="Times New Roman" w:cs="Times New Roman"/>
                      <w:szCs w:val="21"/>
                    </w:rPr>
                  </w:pPr>
                  <w:r>
                    <w:rPr>
                      <w:rFonts w:hint="eastAsia" w:ascii="Times New Roman" w:hAnsi="Times New Roman" w:cs="Times New Roman"/>
                      <w:szCs w:val="21"/>
                    </w:rPr>
                    <w:t>0.007</w:t>
                  </w:r>
                </w:p>
              </w:tc>
              <w:tc>
                <w:tcPr>
                  <w:tcW w:w="292" w:type="pct"/>
                  <w:tcBorders>
                    <w:bottom w:val="single" w:color="000000" w:sz="4" w:space="0"/>
                    <w:tl2br w:val="nil"/>
                    <w:tr2bl w:val="nil"/>
                  </w:tcBorders>
                  <w:tcMar>
                    <w:top w:w="0" w:type="dxa"/>
                    <w:left w:w="28" w:type="dxa"/>
                    <w:bottom w:w="0" w:type="dxa"/>
                    <w:right w:w="28" w:type="dxa"/>
                  </w:tcMar>
                  <w:vAlign w:val="center"/>
                </w:tcPr>
                <w:p w14:paraId="557A2EB4">
                  <w:pPr>
                    <w:jc w:val="center"/>
                    <w:rPr>
                      <w:rFonts w:ascii="Times New Roman" w:hAnsi="Times New Roman" w:cs="Times New Roman"/>
                      <w:szCs w:val="21"/>
                    </w:rPr>
                  </w:pPr>
                  <w:r>
                    <w:rPr>
                      <w:rFonts w:hint="eastAsia" w:ascii="Times New Roman" w:hAnsi="Times New Roman" w:cs="Times New Roman"/>
                      <w:szCs w:val="21"/>
                    </w:rPr>
                    <w:t>0.14</w:t>
                  </w:r>
                </w:p>
              </w:tc>
              <w:tc>
                <w:tcPr>
                  <w:tcW w:w="302" w:type="pct"/>
                  <w:tcBorders>
                    <w:bottom w:val="single" w:color="000000" w:sz="4" w:space="0"/>
                    <w:tl2br w:val="nil"/>
                    <w:tr2bl w:val="nil"/>
                  </w:tcBorders>
                  <w:tcMar>
                    <w:top w:w="0" w:type="dxa"/>
                    <w:left w:w="28" w:type="dxa"/>
                    <w:bottom w:w="0" w:type="dxa"/>
                    <w:right w:w="28" w:type="dxa"/>
                  </w:tcMar>
                  <w:vAlign w:val="center"/>
                </w:tcPr>
                <w:p w14:paraId="4B5E906C">
                  <w:pPr>
                    <w:jc w:val="center"/>
                    <w:rPr>
                      <w:rFonts w:ascii="Times New Roman" w:hAnsi="Times New Roman" w:cs="Times New Roman"/>
                      <w:szCs w:val="21"/>
                    </w:rPr>
                  </w:pPr>
                  <w:r>
                    <w:rPr>
                      <w:rFonts w:hint="eastAsia" w:ascii="Times New Roman" w:hAnsi="Times New Roman" w:cs="Times New Roman"/>
                      <w:szCs w:val="21"/>
                    </w:rPr>
                    <w:t>28</w:t>
                  </w:r>
                </w:p>
              </w:tc>
              <w:tc>
                <w:tcPr>
                  <w:tcW w:w="734" w:type="pct"/>
                  <w:vMerge w:val="continue"/>
                  <w:tcBorders>
                    <w:tl2br w:val="nil"/>
                    <w:tr2bl w:val="nil"/>
                  </w:tcBorders>
                  <w:tcMar>
                    <w:top w:w="0" w:type="dxa"/>
                    <w:left w:w="28" w:type="dxa"/>
                    <w:bottom w:w="0" w:type="dxa"/>
                    <w:right w:w="28" w:type="dxa"/>
                  </w:tcMar>
                  <w:vAlign w:val="center"/>
                </w:tcPr>
                <w:p w14:paraId="05D761B2">
                  <w:pPr>
                    <w:jc w:val="center"/>
                    <w:rPr>
                      <w:rFonts w:ascii="Times New Roman" w:hAnsi="Times New Roman" w:eastAsia="宋体" w:cs="Times New Roman"/>
                      <w:color w:val="000000"/>
                      <w:szCs w:val="21"/>
                    </w:rPr>
                  </w:pPr>
                </w:p>
              </w:tc>
              <w:tc>
                <w:tcPr>
                  <w:tcW w:w="206" w:type="pct"/>
                  <w:vMerge w:val="continue"/>
                  <w:tcBorders>
                    <w:bottom w:val="single" w:color="000000" w:sz="4" w:space="0"/>
                    <w:tl2br w:val="nil"/>
                    <w:tr2bl w:val="nil"/>
                  </w:tcBorders>
                  <w:tcMar>
                    <w:top w:w="0" w:type="dxa"/>
                    <w:left w:w="28" w:type="dxa"/>
                    <w:bottom w:w="0" w:type="dxa"/>
                    <w:right w:w="28" w:type="dxa"/>
                  </w:tcMar>
                  <w:vAlign w:val="center"/>
                </w:tcPr>
                <w:p w14:paraId="32CB90B4">
                  <w:pPr>
                    <w:jc w:val="center"/>
                    <w:rPr>
                      <w:rFonts w:ascii="Times New Roman" w:hAnsi="Times New Roman" w:eastAsia="宋体" w:cs="Times New Roman"/>
                      <w:color w:val="000000"/>
                      <w:szCs w:val="21"/>
                    </w:rPr>
                  </w:pPr>
                </w:p>
              </w:tc>
              <w:tc>
                <w:tcPr>
                  <w:tcW w:w="264" w:type="pct"/>
                  <w:vMerge w:val="continue"/>
                  <w:tcBorders>
                    <w:bottom w:val="single" w:color="000000" w:sz="4" w:space="0"/>
                    <w:tl2br w:val="nil"/>
                    <w:tr2bl w:val="nil"/>
                  </w:tcBorders>
                  <w:tcMar>
                    <w:top w:w="0" w:type="dxa"/>
                    <w:left w:w="28" w:type="dxa"/>
                    <w:bottom w:w="0" w:type="dxa"/>
                    <w:right w:w="28" w:type="dxa"/>
                  </w:tcMar>
                  <w:vAlign w:val="center"/>
                </w:tcPr>
                <w:p w14:paraId="467B1538">
                  <w:pPr>
                    <w:jc w:val="center"/>
                    <w:rPr>
                      <w:rFonts w:ascii="Times New Roman" w:hAnsi="Times New Roman" w:eastAsia="宋体" w:cs="Times New Roman"/>
                      <w:color w:val="000000"/>
                      <w:szCs w:val="21"/>
                    </w:rPr>
                  </w:pPr>
                </w:p>
              </w:tc>
              <w:tc>
                <w:tcPr>
                  <w:tcW w:w="278" w:type="pct"/>
                  <w:vMerge w:val="continue"/>
                  <w:tcBorders>
                    <w:bottom w:val="single" w:color="000000" w:sz="4" w:space="0"/>
                    <w:tl2br w:val="nil"/>
                    <w:tr2bl w:val="nil"/>
                  </w:tcBorders>
                  <w:tcMar>
                    <w:top w:w="0" w:type="dxa"/>
                    <w:left w:w="28" w:type="dxa"/>
                    <w:bottom w:w="0" w:type="dxa"/>
                    <w:right w:w="28" w:type="dxa"/>
                  </w:tcMar>
                  <w:vAlign w:val="center"/>
                </w:tcPr>
                <w:p w14:paraId="7AE9D849">
                  <w:pPr>
                    <w:jc w:val="center"/>
                    <w:rPr>
                      <w:rFonts w:ascii="Times New Roman" w:hAnsi="Times New Roman" w:eastAsia="宋体" w:cs="Times New Roman"/>
                      <w:color w:val="000000"/>
                      <w:szCs w:val="21"/>
                    </w:rPr>
                  </w:pPr>
                </w:p>
              </w:tc>
              <w:tc>
                <w:tcPr>
                  <w:tcW w:w="196" w:type="pct"/>
                  <w:vMerge w:val="continue"/>
                  <w:tcBorders>
                    <w:bottom w:val="single" w:color="000000" w:sz="4" w:space="0"/>
                    <w:tl2br w:val="nil"/>
                    <w:tr2bl w:val="nil"/>
                  </w:tcBorders>
                  <w:tcMar>
                    <w:top w:w="0" w:type="dxa"/>
                    <w:left w:w="28" w:type="dxa"/>
                    <w:bottom w:w="0" w:type="dxa"/>
                    <w:right w:w="28" w:type="dxa"/>
                  </w:tcMar>
                  <w:vAlign w:val="center"/>
                </w:tcPr>
                <w:p w14:paraId="781B6BA4">
                  <w:pPr>
                    <w:jc w:val="center"/>
                    <w:rPr>
                      <w:rFonts w:ascii="Times New Roman" w:hAnsi="Times New Roman" w:eastAsia="宋体" w:cs="Times New Roman"/>
                      <w:color w:val="000000"/>
                      <w:szCs w:val="21"/>
                    </w:rPr>
                  </w:pPr>
                </w:p>
              </w:tc>
              <w:tc>
                <w:tcPr>
                  <w:tcW w:w="234" w:type="pct"/>
                  <w:tcBorders>
                    <w:bottom w:val="single" w:color="000000" w:sz="4" w:space="0"/>
                    <w:tl2br w:val="nil"/>
                    <w:tr2bl w:val="nil"/>
                  </w:tcBorders>
                  <w:tcMar>
                    <w:top w:w="0" w:type="dxa"/>
                    <w:left w:w="28" w:type="dxa"/>
                    <w:bottom w:w="0" w:type="dxa"/>
                    <w:right w:w="28" w:type="dxa"/>
                  </w:tcMar>
                  <w:vAlign w:val="center"/>
                </w:tcPr>
                <w:p w14:paraId="4EFD6DFC">
                  <w:pPr>
                    <w:jc w:val="center"/>
                    <w:rPr>
                      <w:rFonts w:ascii="Times New Roman" w:hAnsi="Times New Roman" w:cs="Times New Roman"/>
                      <w:szCs w:val="21"/>
                    </w:rPr>
                  </w:pPr>
                  <w:r>
                    <w:rPr>
                      <w:rFonts w:hint="eastAsia" w:ascii="Times New Roman" w:hAnsi="Times New Roman" w:cs="Times New Roman"/>
                      <w:szCs w:val="21"/>
                    </w:rPr>
                    <w:t>0.00014</w:t>
                  </w:r>
                </w:p>
              </w:tc>
              <w:tc>
                <w:tcPr>
                  <w:tcW w:w="225" w:type="pct"/>
                  <w:tcBorders>
                    <w:bottom w:val="single" w:color="000000" w:sz="4" w:space="0"/>
                    <w:tl2br w:val="nil"/>
                    <w:tr2bl w:val="nil"/>
                  </w:tcBorders>
                  <w:tcMar>
                    <w:top w:w="0" w:type="dxa"/>
                    <w:left w:w="28" w:type="dxa"/>
                    <w:bottom w:w="0" w:type="dxa"/>
                    <w:right w:w="28" w:type="dxa"/>
                  </w:tcMar>
                  <w:vAlign w:val="center"/>
                </w:tcPr>
                <w:p w14:paraId="6B713CAD">
                  <w:pPr>
                    <w:jc w:val="center"/>
                    <w:rPr>
                      <w:rFonts w:ascii="Times New Roman" w:hAnsi="Times New Roman" w:cs="Times New Roman"/>
                      <w:szCs w:val="21"/>
                    </w:rPr>
                  </w:pPr>
                  <w:r>
                    <w:rPr>
                      <w:rFonts w:hint="eastAsia" w:ascii="Times New Roman" w:hAnsi="Times New Roman" w:cs="Times New Roman"/>
                      <w:szCs w:val="21"/>
                    </w:rPr>
                    <w:t>0.0028</w:t>
                  </w:r>
                </w:p>
              </w:tc>
              <w:tc>
                <w:tcPr>
                  <w:tcW w:w="302" w:type="pct"/>
                  <w:tcBorders>
                    <w:bottom w:val="single" w:color="000000" w:sz="4" w:space="0"/>
                    <w:tl2br w:val="nil"/>
                    <w:tr2bl w:val="nil"/>
                  </w:tcBorders>
                  <w:tcMar>
                    <w:top w:w="0" w:type="dxa"/>
                    <w:left w:w="28" w:type="dxa"/>
                    <w:bottom w:w="0" w:type="dxa"/>
                    <w:right w:w="28" w:type="dxa"/>
                  </w:tcMar>
                  <w:vAlign w:val="center"/>
                </w:tcPr>
                <w:p w14:paraId="7231BAC5">
                  <w:pPr>
                    <w:jc w:val="center"/>
                    <w:rPr>
                      <w:rFonts w:ascii="Times New Roman" w:hAnsi="Times New Roman" w:cs="Times New Roman"/>
                      <w:szCs w:val="21"/>
                    </w:rPr>
                  </w:pPr>
                  <w:r>
                    <w:rPr>
                      <w:rFonts w:hint="eastAsia" w:ascii="Times New Roman" w:hAnsi="Times New Roman" w:cs="Times New Roman"/>
                      <w:szCs w:val="21"/>
                    </w:rPr>
                    <w:t>0.56</w:t>
                  </w:r>
                </w:p>
              </w:tc>
              <w:tc>
                <w:tcPr>
                  <w:tcW w:w="201" w:type="pct"/>
                  <w:vMerge w:val="continue"/>
                  <w:tcBorders>
                    <w:bottom w:val="single" w:color="000000" w:sz="4" w:space="0"/>
                    <w:tl2br w:val="nil"/>
                    <w:tr2bl w:val="nil"/>
                  </w:tcBorders>
                  <w:tcMar>
                    <w:top w:w="0" w:type="dxa"/>
                    <w:left w:w="28" w:type="dxa"/>
                    <w:bottom w:w="0" w:type="dxa"/>
                    <w:right w:w="28" w:type="dxa"/>
                  </w:tcMar>
                  <w:vAlign w:val="center"/>
                </w:tcPr>
                <w:p w14:paraId="78D71691">
                  <w:pPr>
                    <w:jc w:val="center"/>
                    <w:rPr>
                      <w:rFonts w:ascii="Times New Roman" w:hAnsi="Times New Roman" w:eastAsia="宋体" w:cs="Times New Roman"/>
                      <w:color w:val="000000"/>
                      <w:szCs w:val="21"/>
                    </w:rPr>
                  </w:pPr>
                </w:p>
              </w:tc>
              <w:tc>
                <w:tcPr>
                  <w:tcW w:w="245" w:type="pct"/>
                  <w:tcBorders>
                    <w:bottom w:val="single" w:color="000000" w:sz="4" w:space="0"/>
                    <w:tl2br w:val="nil"/>
                    <w:tr2bl w:val="nil"/>
                  </w:tcBorders>
                  <w:tcMar>
                    <w:top w:w="0" w:type="dxa"/>
                    <w:left w:w="28" w:type="dxa"/>
                    <w:bottom w:w="0" w:type="dxa"/>
                    <w:right w:w="28" w:type="dxa"/>
                  </w:tcMar>
                  <w:vAlign w:val="center"/>
                </w:tcPr>
                <w:p w14:paraId="6E89B461">
                  <w:pPr>
                    <w:jc w:val="center"/>
                    <w:rPr>
                      <w:rFonts w:ascii="Times New Roman" w:hAnsi="Times New Roman" w:eastAsia="宋体" w:cs="Times New Roman"/>
                      <w:color w:val="FF0000"/>
                      <w:szCs w:val="21"/>
                    </w:rPr>
                  </w:pPr>
                  <w:r>
                    <w:rPr>
                      <w:rFonts w:hint="eastAsia" w:ascii="Times New Roman" w:hAnsi="Times New Roman" w:cs="Times New Roman"/>
                      <w:color w:val="FF0000"/>
                      <w:szCs w:val="21"/>
                    </w:rPr>
                    <w:t>5</w:t>
                  </w:r>
                </w:p>
              </w:tc>
              <w:tc>
                <w:tcPr>
                  <w:tcW w:w="358" w:type="pct"/>
                  <w:tcBorders>
                    <w:bottom w:val="single" w:color="000000" w:sz="4" w:space="0"/>
                    <w:tl2br w:val="nil"/>
                    <w:tr2bl w:val="nil"/>
                  </w:tcBorders>
                  <w:tcMar>
                    <w:top w:w="0" w:type="dxa"/>
                    <w:left w:w="28" w:type="dxa"/>
                    <w:bottom w:w="0" w:type="dxa"/>
                    <w:right w:w="28" w:type="dxa"/>
                  </w:tcMar>
                  <w:vAlign w:val="center"/>
                </w:tcPr>
                <w:p w14:paraId="33D9E93F">
                  <w:pPr>
                    <w:jc w:val="center"/>
                    <w:rPr>
                      <w:rFonts w:ascii="Times New Roman" w:hAnsi="Times New Roman" w:cs="Times New Roman"/>
                      <w:color w:val="FF0000"/>
                      <w:szCs w:val="21"/>
                    </w:rPr>
                  </w:pPr>
                  <w:r>
                    <w:rPr>
                      <w:rFonts w:hint="eastAsia" w:ascii="Times New Roman" w:hAnsi="Times New Roman" w:eastAsia="宋体" w:cs="Times New Roman"/>
                      <w:color w:val="FF0000"/>
                      <w:szCs w:val="21"/>
                    </w:rPr>
                    <w:t>120</w:t>
                  </w:r>
                </w:p>
              </w:tc>
              <w:tc>
                <w:tcPr>
                  <w:tcW w:w="134" w:type="pct"/>
                  <w:tcBorders>
                    <w:bottom w:val="single" w:color="000000" w:sz="4" w:space="0"/>
                    <w:tl2br w:val="nil"/>
                    <w:tr2bl w:val="nil"/>
                  </w:tcBorders>
                  <w:tcMar>
                    <w:top w:w="0" w:type="dxa"/>
                    <w:left w:w="28" w:type="dxa"/>
                    <w:bottom w:w="0" w:type="dxa"/>
                    <w:right w:w="28" w:type="dxa"/>
                  </w:tcMar>
                  <w:vAlign w:val="center"/>
                </w:tcPr>
                <w:p w14:paraId="49D5E10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007C7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15" w:type="pct"/>
                  <w:vMerge w:val="continue"/>
                  <w:tcBorders>
                    <w:tl2br w:val="nil"/>
                    <w:tr2bl w:val="nil"/>
                  </w:tcBorders>
                  <w:tcMar>
                    <w:top w:w="0" w:type="dxa"/>
                    <w:left w:w="28" w:type="dxa"/>
                    <w:bottom w:w="0" w:type="dxa"/>
                    <w:right w:w="28" w:type="dxa"/>
                  </w:tcMar>
                  <w:vAlign w:val="center"/>
                </w:tcPr>
                <w:p w14:paraId="50A70558">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3284D27E">
                  <w:pPr>
                    <w:jc w:val="center"/>
                    <w:rPr>
                      <w:rFonts w:ascii="Times New Roman" w:hAnsi="Times New Roman" w:eastAsia="宋体" w:cs="Times New Roman"/>
                      <w:color w:val="000000"/>
                      <w:szCs w:val="21"/>
                    </w:rPr>
                  </w:pPr>
                </w:p>
              </w:tc>
              <w:tc>
                <w:tcPr>
                  <w:tcW w:w="101" w:type="pct"/>
                  <w:vMerge w:val="restart"/>
                  <w:tcBorders>
                    <w:top w:val="single" w:color="000000" w:sz="4" w:space="0"/>
                    <w:tl2br w:val="nil"/>
                    <w:tr2bl w:val="nil"/>
                  </w:tcBorders>
                  <w:tcMar>
                    <w:top w:w="0" w:type="dxa"/>
                    <w:left w:w="28" w:type="dxa"/>
                    <w:bottom w:w="0" w:type="dxa"/>
                    <w:right w:w="28" w:type="dxa"/>
                  </w:tcMar>
                  <w:vAlign w:val="center"/>
                </w:tcPr>
                <w:p w14:paraId="2C8BF73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乳化沥青出料</w:t>
                  </w:r>
                </w:p>
              </w:tc>
              <w:tc>
                <w:tcPr>
                  <w:tcW w:w="268" w:type="pct"/>
                  <w:tcBorders>
                    <w:top w:val="single" w:color="000000" w:sz="4" w:space="0"/>
                    <w:bottom w:val="single" w:color="000000" w:sz="4" w:space="0"/>
                    <w:tl2br w:val="nil"/>
                    <w:tr2bl w:val="nil"/>
                  </w:tcBorders>
                  <w:tcMar>
                    <w:top w:w="0" w:type="dxa"/>
                    <w:left w:w="28" w:type="dxa"/>
                    <w:bottom w:w="0" w:type="dxa"/>
                    <w:right w:w="28" w:type="dxa"/>
                  </w:tcMar>
                  <w:vAlign w:val="center"/>
                </w:tcPr>
                <w:p w14:paraId="1098428A">
                  <w:pPr>
                    <w:jc w:val="center"/>
                    <w:rPr>
                      <w:rFonts w:ascii="Times New Roman" w:hAnsi="Times New Roman" w:cs="Times New Roman"/>
                      <w:szCs w:val="21"/>
                    </w:rPr>
                  </w:pPr>
                  <w:r>
                    <w:rPr>
                      <w:rFonts w:hint="eastAsia" w:ascii="Times New Roman" w:hAnsi="Times New Roman" w:cs="Times New Roman"/>
                      <w:szCs w:val="21"/>
                    </w:rPr>
                    <w:t>沥青烟</w:t>
                  </w:r>
                </w:p>
              </w:tc>
              <w:tc>
                <w:tcPr>
                  <w:tcW w:w="180" w:type="pct"/>
                  <w:vMerge w:val="restart"/>
                  <w:tcBorders>
                    <w:top w:val="single" w:color="000000" w:sz="4" w:space="0"/>
                    <w:tl2br w:val="nil"/>
                    <w:tr2bl w:val="nil"/>
                  </w:tcBorders>
                  <w:tcMar>
                    <w:top w:w="0" w:type="dxa"/>
                    <w:left w:w="28" w:type="dxa"/>
                    <w:bottom w:w="0" w:type="dxa"/>
                    <w:right w:w="28" w:type="dxa"/>
                  </w:tcMar>
                  <w:vAlign w:val="center"/>
                </w:tcPr>
                <w:p w14:paraId="3C3D732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有组织</w:t>
                  </w:r>
                </w:p>
              </w:tc>
              <w:tc>
                <w:tcPr>
                  <w:tcW w:w="249" w:type="pct"/>
                  <w:vMerge w:val="restart"/>
                  <w:tcBorders>
                    <w:top w:val="single" w:color="000000" w:sz="4" w:space="0"/>
                    <w:tl2br w:val="nil"/>
                    <w:tr2bl w:val="nil"/>
                  </w:tcBorders>
                  <w:tcMar>
                    <w:top w:w="0" w:type="dxa"/>
                    <w:left w:w="28" w:type="dxa"/>
                    <w:bottom w:w="0" w:type="dxa"/>
                    <w:right w:w="28" w:type="dxa"/>
                  </w:tcMar>
                  <w:vAlign w:val="center"/>
                </w:tcPr>
                <w:p w14:paraId="1C76D8BD">
                  <w:pPr>
                    <w:jc w:val="center"/>
                    <w:rPr>
                      <w:rFonts w:ascii="Times New Roman" w:hAnsi="Times New Roman" w:cs="Times New Roman"/>
                      <w:szCs w:val="21"/>
                    </w:rPr>
                  </w:pPr>
                  <w:r>
                    <w:rPr>
                      <w:rFonts w:hint="eastAsia" w:ascii="Times New Roman" w:hAnsi="Times New Roman" w:cs="Times New Roman"/>
                      <w:szCs w:val="21"/>
                    </w:rPr>
                    <w:t>/</w:t>
                  </w:r>
                </w:p>
              </w:tc>
              <w:tc>
                <w:tcPr>
                  <w:tcW w:w="292" w:type="pct"/>
                  <w:vMerge w:val="restart"/>
                  <w:tcBorders>
                    <w:top w:val="single" w:color="000000" w:sz="4" w:space="0"/>
                    <w:tl2br w:val="nil"/>
                    <w:tr2bl w:val="nil"/>
                  </w:tcBorders>
                  <w:tcMar>
                    <w:top w:w="0" w:type="dxa"/>
                    <w:left w:w="28" w:type="dxa"/>
                    <w:bottom w:w="0" w:type="dxa"/>
                    <w:right w:w="28" w:type="dxa"/>
                  </w:tcMar>
                  <w:vAlign w:val="center"/>
                </w:tcPr>
                <w:p w14:paraId="16658807">
                  <w:pPr>
                    <w:jc w:val="center"/>
                    <w:rPr>
                      <w:rFonts w:ascii="Times New Roman" w:hAnsi="Times New Roman" w:cs="Times New Roman"/>
                      <w:szCs w:val="21"/>
                    </w:rPr>
                  </w:pPr>
                  <w:r>
                    <w:rPr>
                      <w:rFonts w:hint="eastAsia" w:ascii="Times New Roman" w:hAnsi="Times New Roman" w:cs="Times New Roman"/>
                      <w:szCs w:val="21"/>
                    </w:rPr>
                    <w:t>/</w:t>
                  </w:r>
                </w:p>
              </w:tc>
              <w:tc>
                <w:tcPr>
                  <w:tcW w:w="302" w:type="pct"/>
                  <w:vMerge w:val="restart"/>
                  <w:tcBorders>
                    <w:top w:val="single" w:color="000000" w:sz="4" w:space="0"/>
                    <w:tl2br w:val="nil"/>
                    <w:tr2bl w:val="nil"/>
                  </w:tcBorders>
                  <w:tcMar>
                    <w:top w:w="0" w:type="dxa"/>
                    <w:left w:w="28" w:type="dxa"/>
                    <w:bottom w:w="0" w:type="dxa"/>
                    <w:right w:w="28" w:type="dxa"/>
                  </w:tcMar>
                  <w:vAlign w:val="center"/>
                </w:tcPr>
                <w:p w14:paraId="50204551">
                  <w:pPr>
                    <w:jc w:val="center"/>
                    <w:rPr>
                      <w:rFonts w:ascii="Times New Roman" w:hAnsi="Times New Roman" w:cs="Times New Roman"/>
                      <w:szCs w:val="21"/>
                    </w:rPr>
                  </w:pPr>
                  <w:r>
                    <w:rPr>
                      <w:rFonts w:hint="eastAsia" w:ascii="Times New Roman" w:hAnsi="Times New Roman" w:cs="Times New Roman"/>
                      <w:szCs w:val="21"/>
                    </w:rPr>
                    <w:t>/</w:t>
                  </w:r>
                </w:p>
              </w:tc>
              <w:tc>
                <w:tcPr>
                  <w:tcW w:w="734" w:type="pct"/>
                  <w:vMerge w:val="continue"/>
                  <w:tcBorders>
                    <w:tl2br w:val="nil"/>
                    <w:tr2bl w:val="nil"/>
                  </w:tcBorders>
                  <w:tcMar>
                    <w:top w:w="0" w:type="dxa"/>
                    <w:left w:w="28" w:type="dxa"/>
                    <w:bottom w:w="0" w:type="dxa"/>
                    <w:right w:w="28" w:type="dxa"/>
                  </w:tcMar>
                  <w:vAlign w:val="center"/>
                </w:tcPr>
                <w:p w14:paraId="011006ED">
                  <w:pPr>
                    <w:jc w:val="center"/>
                    <w:rPr>
                      <w:rFonts w:ascii="Times New Roman" w:hAnsi="Times New Roman" w:eastAsia="宋体" w:cs="Times New Roman"/>
                      <w:color w:val="000000"/>
                      <w:szCs w:val="21"/>
                    </w:rPr>
                  </w:pPr>
                </w:p>
              </w:tc>
              <w:tc>
                <w:tcPr>
                  <w:tcW w:w="206" w:type="pct"/>
                  <w:vMerge w:val="restart"/>
                  <w:tcBorders>
                    <w:top w:val="single" w:color="000000" w:sz="4" w:space="0"/>
                    <w:tl2br w:val="nil"/>
                    <w:tr2bl w:val="nil"/>
                  </w:tcBorders>
                  <w:tcMar>
                    <w:top w:w="0" w:type="dxa"/>
                    <w:left w:w="28" w:type="dxa"/>
                    <w:bottom w:w="0" w:type="dxa"/>
                    <w:right w:w="28" w:type="dxa"/>
                  </w:tcMar>
                  <w:vAlign w:val="center"/>
                </w:tcPr>
                <w:p w14:paraId="5EE6650C">
                  <w:pPr>
                    <w:jc w:val="center"/>
                    <w:rPr>
                      <w:rFonts w:ascii="Times New Roman" w:hAnsi="Times New Roman" w:eastAsia="宋体" w:cs="Times New Roman"/>
                      <w:color w:val="000000"/>
                      <w:szCs w:val="21"/>
                    </w:rPr>
                  </w:pPr>
                  <w:r>
                    <w:rPr>
                      <w:rFonts w:hint="eastAsia" w:ascii="Times New Roman" w:hAnsi="Times New Roman" w:cs="Times New Roman"/>
                      <w:szCs w:val="21"/>
                    </w:rPr>
                    <w:t>/</w:t>
                  </w:r>
                </w:p>
              </w:tc>
              <w:tc>
                <w:tcPr>
                  <w:tcW w:w="264" w:type="pct"/>
                  <w:vMerge w:val="restart"/>
                  <w:tcBorders>
                    <w:top w:val="single" w:color="000000" w:sz="4" w:space="0"/>
                    <w:tl2br w:val="nil"/>
                    <w:tr2bl w:val="nil"/>
                  </w:tcBorders>
                  <w:tcMar>
                    <w:top w:w="0" w:type="dxa"/>
                    <w:left w:w="28" w:type="dxa"/>
                    <w:bottom w:w="0" w:type="dxa"/>
                    <w:right w:w="28" w:type="dxa"/>
                  </w:tcMar>
                  <w:vAlign w:val="center"/>
                </w:tcPr>
                <w:p w14:paraId="47BF6AFB">
                  <w:pPr>
                    <w:jc w:val="center"/>
                    <w:rPr>
                      <w:rFonts w:ascii="Times New Roman" w:hAnsi="Times New Roman" w:eastAsia="宋体" w:cs="Times New Roman"/>
                      <w:color w:val="000000"/>
                      <w:szCs w:val="21"/>
                    </w:rPr>
                  </w:pPr>
                  <w:r>
                    <w:rPr>
                      <w:rFonts w:hint="eastAsia" w:ascii="Times New Roman" w:hAnsi="Times New Roman" w:cs="Times New Roman"/>
                      <w:szCs w:val="21"/>
                    </w:rPr>
                    <w:t>/</w:t>
                  </w:r>
                </w:p>
              </w:tc>
              <w:tc>
                <w:tcPr>
                  <w:tcW w:w="278" w:type="pct"/>
                  <w:vMerge w:val="restart"/>
                  <w:tcBorders>
                    <w:top w:val="single" w:color="000000" w:sz="4" w:space="0"/>
                    <w:tl2br w:val="nil"/>
                    <w:tr2bl w:val="nil"/>
                  </w:tcBorders>
                  <w:tcMar>
                    <w:top w:w="0" w:type="dxa"/>
                    <w:left w:w="28" w:type="dxa"/>
                    <w:bottom w:w="0" w:type="dxa"/>
                    <w:right w:w="28" w:type="dxa"/>
                  </w:tcMar>
                  <w:vAlign w:val="center"/>
                </w:tcPr>
                <w:p w14:paraId="1577FA86">
                  <w:pPr>
                    <w:jc w:val="center"/>
                    <w:rPr>
                      <w:rFonts w:ascii="Times New Roman" w:hAnsi="Times New Roman" w:eastAsia="宋体" w:cs="Times New Roman"/>
                      <w:color w:val="000000"/>
                      <w:szCs w:val="21"/>
                    </w:rPr>
                  </w:pPr>
                  <w:r>
                    <w:rPr>
                      <w:rFonts w:hint="eastAsia" w:ascii="Times New Roman" w:hAnsi="Times New Roman" w:cs="Times New Roman"/>
                      <w:szCs w:val="21"/>
                    </w:rPr>
                    <w:t>/</w:t>
                  </w:r>
                </w:p>
              </w:tc>
              <w:tc>
                <w:tcPr>
                  <w:tcW w:w="196" w:type="pct"/>
                  <w:vMerge w:val="restart"/>
                  <w:tcBorders>
                    <w:top w:val="single" w:color="000000" w:sz="4" w:space="0"/>
                    <w:tl2br w:val="nil"/>
                    <w:tr2bl w:val="nil"/>
                  </w:tcBorders>
                  <w:tcMar>
                    <w:top w:w="0" w:type="dxa"/>
                    <w:left w:w="28" w:type="dxa"/>
                    <w:bottom w:w="0" w:type="dxa"/>
                    <w:right w:w="28" w:type="dxa"/>
                  </w:tcMar>
                  <w:vAlign w:val="center"/>
                </w:tcPr>
                <w:p w14:paraId="36D2AA4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是</w:t>
                  </w:r>
                </w:p>
              </w:tc>
              <w:tc>
                <w:tcPr>
                  <w:tcW w:w="234" w:type="pct"/>
                  <w:vMerge w:val="restart"/>
                  <w:tcBorders>
                    <w:top w:val="single" w:color="000000" w:sz="4" w:space="0"/>
                    <w:tl2br w:val="nil"/>
                    <w:tr2bl w:val="nil"/>
                  </w:tcBorders>
                  <w:tcMar>
                    <w:top w:w="0" w:type="dxa"/>
                    <w:left w:w="28" w:type="dxa"/>
                    <w:bottom w:w="0" w:type="dxa"/>
                    <w:right w:w="28" w:type="dxa"/>
                  </w:tcMar>
                  <w:vAlign w:val="center"/>
                </w:tcPr>
                <w:p w14:paraId="4ADAC666">
                  <w:pPr>
                    <w:jc w:val="center"/>
                    <w:rPr>
                      <w:rFonts w:ascii="Times New Roman" w:hAnsi="Times New Roman" w:cs="Times New Roman"/>
                      <w:szCs w:val="21"/>
                    </w:rPr>
                  </w:pPr>
                  <w:r>
                    <w:rPr>
                      <w:rFonts w:hint="eastAsia" w:ascii="Times New Roman" w:hAnsi="Times New Roman" w:cs="Times New Roman"/>
                      <w:szCs w:val="21"/>
                    </w:rPr>
                    <w:t>/</w:t>
                  </w:r>
                </w:p>
              </w:tc>
              <w:tc>
                <w:tcPr>
                  <w:tcW w:w="225" w:type="pct"/>
                  <w:vMerge w:val="restart"/>
                  <w:tcBorders>
                    <w:top w:val="single" w:color="000000" w:sz="4" w:space="0"/>
                    <w:tl2br w:val="nil"/>
                    <w:tr2bl w:val="nil"/>
                  </w:tcBorders>
                  <w:tcMar>
                    <w:top w:w="0" w:type="dxa"/>
                    <w:left w:w="28" w:type="dxa"/>
                    <w:bottom w:w="0" w:type="dxa"/>
                    <w:right w:w="28" w:type="dxa"/>
                  </w:tcMar>
                  <w:vAlign w:val="center"/>
                </w:tcPr>
                <w:p w14:paraId="45FA0CC6">
                  <w:pPr>
                    <w:jc w:val="center"/>
                    <w:rPr>
                      <w:rFonts w:ascii="Times New Roman" w:hAnsi="Times New Roman" w:cs="Times New Roman"/>
                      <w:szCs w:val="21"/>
                    </w:rPr>
                  </w:pPr>
                  <w:r>
                    <w:rPr>
                      <w:rFonts w:hint="eastAsia" w:ascii="Times New Roman" w:hAnsi="Times New Roman" w:cs="Times New Roman"/>
                      <w:szCs w:val="21"/>
                    </w:rPr>
                    <w:t>/</w:t>
                  </w:r>
                </w:p>
              </w:tc>
              <w:tc>
                <w:tcPr>
                  <w:tcW w:w="302" w:type="pct"/>
                  <w:vMerge w:val="restart"/>
                  <w:tcBorders>
                    <w:top w:val="single" w:color="000000" w:sz="4" w:space="0"/>
                    <w:tl2br w:val="nil"/>
                    <w:tr2bl w:val="nil"/>
                  </w:tcBorders>
                  <w:tcMar>
                    <w:top w:w="0" w:type="dxa"/>
                    <w:left w:w="28" w:type="dxa"/>
                    <w:bottom w:w="0" w:type="dxa"/>
                    <w:right w:w="28" w:type="dxa"/>
                  </w:tcMar>
                  <w:vAlign w:val="center"/>
                </w:tcPr>
                <w:p w14:paraId="24C8D9FA">
                  <w:pPr>
                    <w:jc w:val="center"/>
                    <w:rPr>
                      <w:rFonts w:ascii="Times New Roman" w:hAnsi="Times New Roman" w:cs="Times New Roman"/>
                      <w:szCs w:val="21"/>
                    </w:rPr>
                  </w:pPr>
                  <w:r>
                    <w:rPr>
                      <w:rFonts w:hint="eastAsia" w:ascii="Times New Roman" w:hAnsi="Times New Roman" w:cs="Times New Roman"/>
                      <w:szCs w:val="21"/>
                    </w:rPr>
                    <w:t>/</w:t>
                  </w:r>
                </w:p>
              </w:tc>
              <w:tc>
                <w:tcPr>
                  <w:tcW w:w="201" w:type="pct"/>
                  <w:vMerge w:val="restart"/>
                  <w:tcBorders>
                    <w:top w:val="single" w:color="000000" w:sz="4" w:space="0"/>
                    <w:tl2br w:val="nil"/>
                    <w:tr2bl w:val="nil"/>
                  </w:tcBorders>
                  <w:tcMar>
                    <w:top w:w="0" w:type="dxa"/>
                    <w:left w:w="28" w:type="dxa"/>
                    <w:bottom w:w="0" w:type="dxa"/>
                    <w:right w:w="28" w:type="dxa"/>
                  </w:tcMar>
                  <w:vAlign w:val="center"/>
                </w:tcPr>
                <w:p w14:paraId="485F21B0">
                  <w:pPr>
                    <w:jc w:val="center"/>
                    <w:rPr>
                      <w:rFonts w:ascii="Times New Roman" w:hAnsi="Times New Roman" w:eastAsia="宋体" w:cs="Times New Roman"/>
                      <w:color w:val="000000"/>
                      <w:szCs w:val="21"/>
                    </w:rPr>
                  </w:pPr>
                  <w:r>
                    <w:rPr>
                      <w:rFonts w:hint="eastAsia" w:ascii="Times New Roman" w:hAnsi="Times New Roman" w:cs="Times New Roman"/>
                      <w:szCs w:val="21"/>
                    </w:rPr>
                    <w:t>/</w:t>
                  </w:r>
                </w:p>
              </w:tc>
              <w:tc>
                <w:tcPr>
                  <w:tcW w:w="245" w:type="pct"/>
                  <w:vMerge w:val="restart"/>
                  <w:tcBorders>
                    <w:top w:val="single" w:color="000000" w:sz="4" w:space="0"/>
                    <w:tl2br w:val="nil"/>
                    <w:tr2bl w:val="nil"/>
                  </w:tcBorders>
                  <w:tcMar>
                    <w:top w:w="0" w:type="dxa"/>
                    <w:left w:w="28" w:type="dxa"/>
                    <w:bottom w:w="0" w:type="dxa"/>
                    <w:right w:w="28" w:type="dxa"/>
                  </w:tcMar>
                  <w:vAlign w:val="center"/>
                </w:tcPr>
                <w:p w14:paraId="049C3CED">
                  <w:pPr>
                    <w:jc w:val="center"/>
                    <w:rPr>
                      <w:rFonts w:ascii="Times New Roman" w:hAnsi="Times New Roman" w:eastAsia="宋体" w:cs="Times New Roman"/>
                      <w:color w:val="000000"/>
                      <w:szCs w:val="21"/>
                    </w:rPr>
                  </w:pPr>
                  <w:r>
                    <w:rPr>
                      <w:rFonts w:hint="eastAsia" w:ascii="Times New Roman" w:hAnsi="Times New Roman" w:cs="Times New Roman"/>
                      <w:szCs w:val="21"/>
                    </w:rPr>
                    <w:t>/</w:t>
                  </w:r>
                </w:p>
              </w:tc>
              <w:tc>
                <w:tcPr>
                  <w:tcW w:w="358" w:type="pct"/>
                  <w:vMerge w:val="restart"/>
                  <w:tcBorders>
                    <w:top w:val="single" w:color="000000" w:sz="4" w:space="0"/>
                    <w:tl2br w:val="nil"/>
                    <w:tr2bl w:val="nil"/>
                  </w:tcBorders>
                  <w:tcMar>
                    <w:top w:w="0" w:type="dxa"/>
                    <w:left w:w="28" w:type="dxa"/>
                    <w:bottom w:w="0" w:type="dxa"/>
                    <w:right w:w="28" w:type="dxa"/>
                  </w:tcMar>
                  <w:vAlign w:val="center"/>
                </w:tcPr>
                <w:p w14:paraId="78D9F75B">
                  <w:pPr>
                    <w:jc w:val="center"/>
                    <w:rPr>
                      <w:rFonts w:ascii="Times New Roman" w:hAnsi="Times New Roman" w:eastAsia="宋体" w:cs="Times New Roman"/>
                      <w:color w:val="000000"/>
                      <w:szCs w:val="21"/>
                    </w:rPr>
                  </w:pPr>
                  <w:r>
                    <w:rPr>
                      <w:rFonts w:hint="eastAsia" w:ascii="Times New Roman" w:hAnsi="Times New Roman" w:cs="Times New Roman"/>
                      <w:szCs w:val="21"/>
                    </w:rPr>
                    <w:t>/</w:t>
                  </w:r>
                </w:p>
              </w:tc>
              <w:tc>
                <w:tcPr>
                  <w:tcW w:w="134" w:type="pct"/>
                  <w:vMerge w:val="restart"/>
                  <w:tcBorders>
                    <w:top w:val="single" w:color="000000" w:sz="4" w:space="0"/>
                    <w:tl2br w:val="nil"/>
                    <w:tr2bl w:val="nil"/>
                  </w:tcBorders>
                  <w:tcMar>
                    <w:top w:w="0" w:type="dxa"/>
                    <w:left w:w="28" w:type="dxa"/>
                    <w:bottom w:w="0" w:type="dxa"/>
                    <w:right w:w="28" w:type="dxa"/>
                  </w:tcMar>
                  <w:vAlign w:val="center"/>
                </w:tcPr>
                <w:p w14:paraId="5CF36527">
                  <w:pPr>
                    <w:jc w:val="center"/>
                    <w:rPr>
                      <w:rFonts w:ascii="Times New Roman" w:hAnsi="Times New Roman" w:eastAsia="宋体" w:cs="Times New Roman"/>
                      <w:color w:val="000000"/>
                      <w:szCs w:val="21"/>
                    </w:rPr>
                  </w:pPr>
                  <w:r>
                    <w:rPr>
                      <w:rFonts w:hint="eastAsia" w:ascii="Times New Roman" w:hAnsi="Times New Roman" w:cs="Times New Roman"/>
                      <w:szCs w:val="21"/>
                    </w:rPr>
                    <w:t>/</w:t>
                  </w:r>
                </w:p>
              </w:tc>
            </w:tr>
            <w:tr w14:paraId="73E8F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15" w:type="pct"/>
                  <w:vMerge w:val="continue"/>
                  <w:tcBorders>
                    <w:tl2br w:val="nil"/>
                    <w:tr2bl w:val="nil"/>
                  </w:tcBorders>
                  <w:tcMar>
                    <w:top w:w="0" w:type="dxa"/>
                    <w:left w:w="28" w:type="dxa"/>
                    <w:bottom w:w="0" w:type="dxa"/>
                    <w:right w:w="28" w:type="dxa"/>
                  </w:tcMar>
                  <w:vAlign w:val="center"/>
                </w:tcPr>
                <w:p w14:paraId="41CEF44B">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3B7EA775">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04EAFA04">
                  <w:pPr>
                    <w:jc w:val="center"/>
                    <w:rPr>
                      <w:rFonts w:ascii="Times New Roman" w:hAnsi="Times New Roman" w:eastAsia="宋体" w:cs="Times New Roman"/>
                      <w:color w:val="000000"/>
                      <w:szCs w:val="21"/>
                    </w:rPr>
                  </w:pPr>
                </w:p>
              </w:tc>
              <w:tc>
                <w:tcPr>
                  <w:tcW w:w="268" w:type="pct"/>
                  <w:tcBorders>
                    <w:top w:val="single" w:color="000000" w:sz="4" w:space="0"/>
                    <w:bottom w:val="single" w:color="000000" w:sz="4" w:space="0"/>
                    <w:tl2br w:val="nil"/>
                    <w:tr2bl w:val="nil"/>
                  </w:tcBorders>
                  <w:tcMar>
                    <w:top w:w="0" w:type="dxa"/>
                    <w:left w:w="28" w:type="dxa"/>
                    <w:bottom w:w="0" w:type="dxa"/>
                    <w:right w:w="28" w:type="dxa"/>
                  </w:tcMar>
                  <w:vAlign w:val="center"/>
                </w:tcPr>
                <w:p w14:paraId="45861C02">
                  <w:pPr>
                    <w:jc w:val="center"/>
                    <w:rPr>
                      <w:rFonts w:ascii="Times New Roman" w:hAnsi="Times New Roman" w:eastAsia="宋体" w:cs="Times New Roman"/>
                      <w:color w:val="000000"/>
                      <w:szCs w:val="21"/>
                    </w:rPr>
                  </w:pPr>
                  <w:r>
                    <w:rPr>
                      <w:rFonts w:ascii="Times New Roman" w:hAnsi="Times New Roman" w:cs="Times New Roman"/>
                      <w:szCs w:val="21"/>
                    </w:rPr>
                    <w:t>苯并[a]芘</w:t>
                  </w:r>
                </w:p>
              </w:tc>
              <w:tc>
                <w:tcPr>
                  <w:tcW w:w="180" w:type="pct"/>
                  <w:vMerge w:val="continue"/>
                  <w:tcBorders>
                    <w:tl2br w:val="nil"/>
                    <w:tr2bl w:val="nil"/>
                  </w:tcBorders>
                  <w:tcMar>
                    <w:top w:w="0" w:type="dxa"/>
                    <w:left w:w="28" w:type="dxa"/>
                    <w:bottom w:w="0" w:type="dxa"/>
                    <w:right w:w="28" w:type="dxa"/>
                  </w:tcMar>
                  <w:vAlign w:val="center"/>
                </w:tcPr>
                <w:p w14:paraId="44ED472D">
                  <w:pPr>
                    <w:jc w:val="center"/>
                    <w:rPr>
                      <w:rFonts w:ascii="Times New Roman" w:hAnsi="Times New Roman" w:eastAsia="宋体" w:cs="Times New Roman"/>
                      <w:color w:val="000000"/>
                      <w:szCs w:val="21"/>
                    </w:rPr>
                  </w:pPr>
                </w:p>
              </w:tc>
              <w:tc>
                <w:tcPr>
                  <w:tcW w:w="249" w:type="pct"/>
                  <w:vMerge w:val="continue"/>
                  <w:tcBorders>
                    <w:tl2br w:val="nil"/>
                    <w:tr2bl w:val="nil"/>
                  </w:tcBorders>
                  <w:tcMar>
                    <w:top w:w="0" w:type="dxa"/>
                    <w:left w:w="28" w:type="dxa"/>
                    <w:bottom w:w="0" w:type="dxa"/>
                    <w:right w:w="28" w:type="dxa"/>
                  </w:tcMar>
                  <w:vAlign w:val="center"/>
                </w:tcPr>
                <w:p w14:paraId="5DD06A01">
                  <w:pPr>
                    <w:jc w:val="center"/>
                    <w:rPr>
                      <w:rFonts w:ascii="Times New Roman" w:hAnsi="Times New Roman" w:cs="Times New Roman"/>
                      <w:szCs w:val="21"/>
                    </w:rPr>
                  </w:pPr>
                </w:p>
              </w:tc>
              <w:tc>
                <w:tcPr>
                  <w:tcW w:w="292" w:type="pct"/>
                  <w:vMerge w:val="continue"/>
                  <w:tcBorders>
                    <w:tl2br w:val="nil"/>
                    <w:tr2bl w:val="nil"/>
                  </w:tcBorders>
                  <w:tcMar>
                    <w:top w:w="0" w:type="dxa"/>
                    <w:left w:w="28" w:type="dxa"/>
                    <w:bottom w:w="0" w:type="dxa"/>
                    <w:right w:w="28" w:type="dxa"/>
                  </w:tcMar>
                  <w:vAlign w:val="center"/>
                </w:tcPr>
                <w:p w14:paraId="1F7F8E58">
                  <w:pPr>
                    <w:jc w:val="center"/>
                    <w:rPr>
                      <w:rFonts w:ascii="Times New Roman" w:hAnsi="Times New Roman" w:cs="Times New Roman"/>
                      <w:szCs w:val="21"/>
                    </w:rPr>
                  </w:pPr>
                </w:p>
              </w:tc>
              <w:tc>
                <w:tcPr>
                  <w:tcW w:w="302" w:type="pct"/>
                  <w:vMerge w:val="continue"/>
                  <w:tcBorders>
                    <w:tl2br w:val="nil"/>
                    <w:tr2bl w:val="nil"/>
                  </w:tcBorders>
                  <w:tcMar>
                    <w:top w:w="0" w:type="dxa"/>
                    <w:left w:w="28" w:type="dxa"/>
                    <w:bottom w:w="0" w:type="dxa"/>
                    <w:right w:w="28" w:type="dxa"/>
                  </w:tcMar>
                  <w:vAlign w:val="center"/>
                </w:tcPr>
                <w:p w14:paraId="7B84819C">
                  <w:pPr>
                    <w:jc w:val="center"/>
                    <w:rPr>
                      <w:rFonts w:ascii="Times New Roman" w:hAnsi="Times New Roman" w:cs="Times New Roman"/>
                      <w:szCs w:val="21"/>
                    </w:rPr>
                  </w:pPr>
                </w:p>
              </w:tc>
              <w:tc>
                <w:tcPr>
                  <w:tcW w:w="734" w:type="pct"/>
                  <w:vMerge w:val="continue"/>
                  <w:tcBorders>
                    <w:tl2br w:val="nil"/>
                    <w:tr2bl w:val="nil"/>
                  </w:tcBorders>
                  <w:tcMar>
                    <w:top w:w="0" w:type="dxa"/>
                    <w:left w:w="28" w:type="dxa"/>
                    <w:bottom w:w="0" w:type="dxa"/>
                    <w:right w:w="28" w:type="dxa"/>
                  </w:tcMar>
                  <w:vAlign w:val="center"/>
                </w:tcPr>
                <w:p w14:paraId="256D2DFE">
                  <w:pPr>
                    <w:jc w:val="center"/>
                    <w:rPr>
                      <w:rFonts w:ascii="Times New Roman" w:hAnsi="Times New Roman" w:eastAsia="宋体" w:cs="Times New Roman"/>
                      <w:color w:val="000000"/>
                      <w:szCs w:val="21"/>
                    </w:rPr>
                  </w:pPr>
                </w:p>
              </w:tc>
              <w:tc>
                <w:tcPr>
                  <w:tcW w:w="206" w:type="pct"/>
                  <w:vMerge w:val="continue"/>
                  <w:tcBorders>
                    <w:tl2br w:val="nil"/>
                    <w:tr2bl w:val="nil"/>
                  </w:tcBorders>
                  <w:tcMar>
                    <w:top w:w="0" w:type="dxa"/>
                    <w:left w:w="28" w:type="dxa"/>
                    <w:bottom w:w="0" w:type="dxa"/>
                    <w:right w:w="28" w:type="dxa"/>
                  </w:tcMar>
                  <w:vAlign w:val="center"/>
                </w:tcPr>
                <w:p w14:paraId="688A2789">
                  <w:pPr>
                    <w:jc w:val="center"/>
                    <w:rPr>
                      <w:rFonts w:ascii="Times New Roman" w:hAnsi="Times New Roman" w:cs="Times New Roman"/>
                      <w:szCs w:val="21"/>
                    </w:rPr>
                  </w:pPr>
                </w:p>
              </w:tc>
              <w:tc>
                <w:tcPr>
                  <w:tcW w:w="264" w:type="pct"/>
                  <w:vMerge w:val="continue"/>
                  <w:tcBorders>
                    <w:tl2br w:val="nil"/>
                    <w:tr2bl w:val="nil"/>
                  </w:tcBorders>
                  <w:tcMar>
                    <w:top w:w="0" w:type="dxa"/>
                    <w:left w:w="28" w:type="dxa"/>
                    <w:bottom w:w="0" w:type="dxa"/>
                    <w:right w:w="28" w:type="dxa"/>
                  </w:tcMar>
                  <w:vAlign w:val="center"/>
                </w:tcPr>
                <w:p w14:paraId="171BB0CD">
                  <w:pPr>
                    <w:jc w:val="center"/>
                    <w:rPr>
                      <w:rFonts w:ascii="Times New Roman" w:hAnsi="Times New Roman" w:cs="Times New Roman"/>
                      <w:szCs w:val="21"/>
                    </w:rPr>
                  </w:pPr>
                </w:p>
              </w:tc>
              <w:tc>
                <w:tcPr>
                  <w:tcW w:w="278" w:type="pct"/>
                  <w:vMerge w:val="continue"/>
                  <w:tcBorders>
                    <w:tl2br w:val="nil"/>
                    <w:tr2bl w:val="nil"/>
                  </w:tcBorders>
                  <w:tcMar>
                    <w:top w:w="0" w:type="dxa"/>
                    <w:left w:w="28" w:type="dxa"/>
                    <w:bottom w:w="0" w:type="dxa"/>
                    <w:right w:w="28" w:type="dxa"/>
                  </w:tcMar>
                  <w:vAlign w:val="center"/>
                </w:tcPr>
                <w:p w14:paraId="1C5A6FE2">
                  <w:pPr>
                    <w:jc w:val="center"/>
                    <w:rPr>
                      <w:rFonts w:ascii="Times New Roman" w:hAnsi="Times New Roman" w:cs="Times New Roman"/>
                      <w:szCs w:val="21"/>
                    </w:rPr>
                  </w:pPr>
                </w:p>
              </w:tc>
              <w:tc>
                <w:tcPr>
                  <w:tcW w:w="196" w:type="pct"/>
                  <w:vMerge w:val="continue"/>
                  <w:tcBorders>
                    <w:tl2br w:val="nil"/>
                    <w:tr2bl w:val="nil"/>
                  </w:tcBorders>
                  <w:tcMar>
                    <w:top w:w="0" w:type="dxa"/>
                    <w:left w:w="28" w:type="dxa"/>
                    <w:bottom w:w="0" w:type="dxa"/>
                    <w:right w:w="28" w:type="dxa"/>
                  </w:tcMar>
                  <w:vAlign w:val="center"/>
                </w:tcPr>
                <w:p w14:paraId="5482E88C">
                  <w:pPr>
                    <w:jc w:val="center"/>
                    <w:rPr>
                      <w:rFonts w:ascii="Times New Roman" w:hAnsi="Times New Roman" w:eastAsia="宋体" w:cs="Times New Roman"/>
                      <w:color w:val="000000"/>
                      <w:szCs w:val="21"/>
                    </w:rPr>
                  </w:pPr>
                </w:p>
              </w:tc>
              <w:tc>
                <w:tcPr>
                  <w:tcW w:w="234" w:type="pct"/>
                  <w:vMerge w:val="continue"/>
                  <w:tcBorders>
                    <w:tl2br w:val="nil"/>
                    <w:tr2bl w:val="nil"/>
                  </w:tcBorders>
                  <w:tcMar>
                    <w:top w:w="0" w:type="dxa"/>
                    <w:left w:w="28" w:type="dxa"/>
                    <w:bottom w:w="0" w:type="dxa"/>
                    <w:right w:w="28" w:type="dxa"/>
                  </w:tcMar>
                  <w:vAlign w:val="center"/>
                </w:tcPr>
                <w:p w14:paraId="3D202C95">
                  <w:pPr>
                    <w:jc w:val="center"/>
                    <w:rPr>
                      <w:rFonts w:ascii="Times New Roman" w:hAnsi="Times New Roman" w:cs="Times New Roman"/>
                      <w:szCs w:val="21"/>
                    </w:rPr>
                  </w:pPr>
                </w:p>
              </w:tc>
              <w:tc>
                <w:tcPr>
                  <w:tcW w:w="225" w:type="pct"/>
                  <w:vMerge w:val="continue"/>
                  <w:tcBorders>
                    <w:tl2br w:val="nil"/>
                    <w:tr2bl w:val="nil"/>
                  </w:tcBorders>
                  <w:tcMar>
                    <w:top w:w="0" w:type="dxa"/>
                    <w:left w:w="28" w:type="dxa"/>
                    <w:bottom w:w="0" w:type="dxa"/>
                    <w:right w:w="28" w:type="dxa"/>
                  </w:tcMar>
                  <w:vAlign w:val="center"/>
                </w:tcPr>
                <w:p w14:paraId="165B3549">
                  <w:pPr>
                    <w:jc w:val="center"/>
                    <w:rPr>
                      <w:rFonts w:ascii="Times New Roman" w:hAnsi="Times New Roman" w:cs="Times New Roman"/>
                      <w:szCs w:val="21"/>
                    </w:rPr>
                  </w:pPr>
                </w:p>
              </w:tc>
              <w:tc>
                <w:tcPr>
                  <w:tcW w:w="302" w:type="pct"/>
                  <w:vMerge w:val="continue"/>
                  <w:tcBorders>
                    <w:tl2br w:val="nil"/>
                    <w:tr2bl w:val="nil"/>
                  </w:tcBorders>
                  <w:tcMar>
                    <w:top w:w="0" w:type="dxa"/>
                    <w:left w:w="28" w:type="dxa"/>
                    <w:bottom w:w="0" w:type="dxa"/>
                    <w:right w:w="28" w:type="dxa"/>
                  </w:tcMar>
                  <w:vAlign w:val="center"/>
                </w:tcPr>
                <w:p w14:paraId="4417ED3D">
                  <w:pPr>
                    <w:jc w:val="center"/>
                    <w:rPr>
                      <w:rFonts w:ascii="Times New Roman" w:hAnsi="Times New Roman" w:cs="Times New Roman"/>
                      <w:szCs w:val="21"/>
                    </w:rPr>
                  </w:pPr>
                </w:p>
              </w:tc>
              <w:tc>
                <w:tcPr>
                  <w:tcW w:w="201" w:type="pct"/>
                  <w:vMerge w:val="continue"/>
                  <w:tcBorders>
                    <w:tl2br w:val="nil"/>
                    <w:tr2bl w:val="nil"/>
                  </w:tcBorders>
                  <w:tcMar>
                    <w:top w:w="0" w:type="dxa"/>
                    <w:left w:w="28" w:type="dxa"/>
                    <w:bottom w:w="0" w:type="dxa"/>
                    <w:right w:w="28" w:type="dxa"/>
                  </w:tcMar>
                  <w:vAlign w:val="center"/>
                </w:tcPr>
                <w:p w14:paraId="64F50E15">
                  <w:pPr>
                    <w:jc w:val="center"/>
                    <w:rPr>
                      <w:rFonts w:ascii="Times New Roman" w:hAnsi="Times New Roman" w:cs="Times New Roman"/>
                      <w:szCs w:val="21"/>
                    </w:rPr>
                  </w:pPr>
                </w:p>
              </w:tc>
              <w:tc>
                <w:tcPr>
                  <w:tcW w:w="245" w:type="pct"/>
                  <w:vMerge w:val="continue"/>
                  <w:tcBorders>
                    <w:tl2br w:val="nil"/>
                    <w:tr2bl w:val="nil"/>
                  </w:tcBorders>
                  <w:tcMar>
                    <w:top w:w="0" w:type="dxa"/>
                    <w:left w:w="28" w:type="dxa"/>
                    <w:bottom w:w="0" w:type="dxa"/>
                    <w:right w:w="28" w:type="dxa"/>
                  </w:tcMar>
                  <w:vAlign w:val="center"/>
                </w:tcPr>
                <w:p w14:paraId="282A1C10">
                  <w:pPr>
                    <w:jc w:val="center"/>
                    <w:rPr>
                      <w:rFonts w:ascii="Times New Roman" w:hAnsi="Times New Roman" w:cs="Times New Roman"/>
                      <w:szCs w:val="21"/>
                    </w:rPr>
                  </w:pPr>
                </w:p>
              </w:tc>
              <w:tc>
                <w:tcPr>
                  <w:tcW w:w="358" w:type="pct"/>
                  <w:vMerge w:val="continue"/>
                  <w:tcBorders>
                    <w:tl2br w:val="nil"/>
                    <w:tr2bl w:val="nil"/>
                  </w:tcBorders>
                  <w:tcMar>
                    <w:top w:w="0" w:type="dxa"/>
                    <w:left w:w="28" w:type="dxa"/>
                    <w:bottom w:w="0" w:type="dxa"/>
                    <w:right w:w="28" w:type="dxa"/>
                  </w:tcMar>
                  <w:vAlign w:val="center"/>
                </w:tcPr>
                <w:p w14:paraId="728362E2">
                  <w:pPr>
                    <w:jc w:val="center"/>
                    <w:rPr>
                      <w:rFonts w:ascii="Times New Roman" w:hAnsi="Times New Roman" w:cs="Times New Roman"/>
                      <w:szCs w:val="21"/>
                    </w:rPr>
                  </w:pPr>
                </w:p>
              </w:tc>
              <w:tc>
                <w:tcPr>
                  <w:tcW w:w="134" w:type="pct"/>
                  <w:vMerge w:val="continue"/>
                  <w:tcBorders>
                    <w:tl2br w:val="nil"/>
                    <w:tr2bl w:val="nil"/>
                  </w:tcBorders>
                  <w:tcMar>
                    <w:top w:w="0" w:type="dxa"/>
                    <w:left w:w="28" w:type="dxa"/>
                    <w:bottom w:w="0" w:type="dxa"/>
                    <w:right w:w="28" w:type="dxa"/>
                  </w:tcMar>
                  <w:vAlign w:val="center"/>
                </w:tcPr>
                <w:p w14:paraId="35756679">
                  <w:pPr>
                    <w:jc w:val="center"/>
                    <w:rPr>
                      <w:rFonts w:ascii="Times New Roman" w:hAnsi="Times New Roman" w:cs="Times New Roman"/>
                      <w:szCs w:val="21"/>
                    </w:rPr>
                  </w:pPr>
                </w:p>
              </w:tc>
            </w:tr>
            <w:tr w14:paraId="73116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15" w:type="pct"/>
                  <w:vMerge w:val="continue"/>
                  <w:tcBorders>
                    <w:tl2br w:val="nil"/>
                    <w:tr2bl w:val="nil"/>
                  </w:tcBorders>
                  <w:tcMar>
                    <w:top w:w="0" w:type="dxa"/>
                    <w:left w:w="28" w:type="dxa"/>
                    <w:bottom w:w="0" w:type="dxa"/>
                    <w:right w:w="28" w:type="dxa"/>
                  </w:tcMar>
                  <w:vAlign w:val="center"/>
                </w:tcPr>
                <w:p w14:paraId="4BA00602">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55135EC1">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6326FEC2">
                  <w:pPr>
                    <w:jc w:val="center"/>
                    <w:rPr>
                      <w:rFonts w:ascii="Times New Roman" w:hAnsi="Times New Roman" w:eastAsia="宋体" w:cs="Times New Roman"/>
                      <w:color w:val="000000"/>
                      <w:szCs w:val="21"/>
                    </w:rPr>
                  </w:pPr>
                </w:p>
              </w:tc>
              <w:tc>
                <w:tcPr>
                  <w:tcW w:w="268" w:type="pct"/>
                  <w:tcBorders>
                    <w:top w:val="single" w:color="000000" w:sz="4" w:space="0"/>
                    <w:tl2br w:val="nil"/>
                    <w:tr2bl w:val="nil"/>
                  </w:tcBorders>
                  <w:tcMar>
                    <w:top w:w="0" w:type="dxa"/>
                    <w:left w:w="28" w:type="dxa"/>
                    <w:bottom w:w="0" w:type="dxa"/>
                    <w:right w:w="28" w:type="dxa"/>
                  </w:tcMar>
                  <w:vAlign w:val="center"/>
                </w:tcPr>
                <w:p w14:paraId="6A0840D9">
                  <w:pPr>
                    <w:jc w:val="center"/>
                    <w:rPr>
                      <w:rFonts w:ascii="Times New Roman" w:hAnsi="Times New Roman" w:eastAsia="宋体" w:cs="Times New Roman"/>
                      <w:color w:val="000000"/>
                      <w:szCs w:val="21"/>
                    </w:rPr>
                  </w:pPr>
                  <w:r>
                    <w:rPr>
                      <w:rFonts w:hint="eastAsia" w:ascii="Times New Roman" w:hAnsi="Times New Roman" w:cs="Times New Roman"/>
                      <w:szCs w:val="21"/>
                    </w:rPr>
                    <w:t>非甲烷总烃</w:t>
                  </w:r>
                </w:p>
              </w:tc>
              <w:tc>
                <w:tcPr>
                  <w:tcW w:w="180" w:type="pct"/>
                  <w:vMerge w:val="continue"/>
                  <w:tcBorders>
                    <w:tl2br w:val="nil"/>
                    <w:tr2bl w:val="nil"/>
                  </w:tcBorders>
                  <w:tcMar>
                    <w:top w:w="0" w:type="dxa"/>
                    <w:left w:w="28" w:type="dxa"/>
                    <w:bottom w:w="0" w:type="dxa"/>
                    <w:right w:w="28" w:type="dxa"/>
                  </w:tcMar>
                  <w:vAlign w:val="center"/>
                </w:tcPr>
                <w:p w14:paraId="59ACC602">
                  <w:pPr>
                    <w:jc w:val="center"/>
                    <w:rPr>
                      <w:rFonts w:ascii="Times New Roman" w:hAnsi="Times New Roman" w:eastAsia="宋体" w:cs="Times New Roman"/>
                      <w:color w:val="000000"/>
                      <w:szCs w:val="21"/>
                    </w:rPr>
                  </w:pPr>
                </w:p>
              </w:tc>
              <w:tc>
                <w:tcPr>
                  <w:tcW w:w="249" w:type="pct"/>
                  <w:vMerge w:val="continue"/>
                  <w:tcBorders>
                    <w:tl2br w:val="nil"/>
                    <w:tr2bl w:val="nil"/>
                  </w:tcBorders>
                  <w:tcMar>
                    <w:top w:w="0" w:type="dxa"/>
                    <w:left w:w="28" w:type="dxa"/>
                    <w:bottom w:w="0" w:type="dxa"/>
                    <w:right w:w="28" w:type="dxa"/>
                  </w:tcMar>
                  <w:vAlign w:val="center"/>
                </w:tcPr>
                <w:p w14:paraId="54351A42">
                  <w:pPr>
                    <w:jc w:val="center"/>
                    <w:rPr>
                      <w:rFonts w:ascii="Times New Roman" w:hAnsi="Times New Roman" w:cs="Times New Roman"/>
                      <w:szCs w:val="21"/>
                    </w:rPr>
                  </w:pPr>
                </w:p>
              </w:tc>
              <w:tc>
                <w:tcPr>
                  <w:tcW w:w="292" w:type="pct"/>
                  <w:vMerge w:val="continue"/>
                  <w:tcBorders>
                    <w:tl2br w:val="nil"/>
                    <w:tr2bl w:val="nil"/>
                  </w:tcBorders>
                  <w:tcMar>
                    <w:top w:w="0" w:type="dxa"/>
                    <w:left w:w="28" w:type="dxa"/>
                    <w:bottom w:w="0" w:type="dxa"/>
                    <w:right w:w="28" w:type="dxa"/>
                  </w:tcMar>
                  <w:vAlign w:val="center"/>
                </w:tcPr>
                <w:p w14:paraId="143D4686">
                  <w:pPr>
                    <w:jc w:val="center"/>
                    <w:rPr>
                      <w:rFonts w:ascii="Times New Roman" w:hAnsi="Times New Roman" w:cs="Times New Roman"/>
                      <w:szCs w:val="21"/>
                    </w:rPr>
                  </w:pPr>
                </w:p>
              </w:tc>
              <w:tc>
                <w:tcPr>
                  <w:tcW w:w="302" w:type="pct"/>
                  <w:vMerge w:val="continue"/>
                  <w:tcBorders>
                    <w:tl2br w:val="nil"/>
                    <w:tr2bl w:val="nil"/>
                  </w:tcBorders>
                  <w:tcMar>
                    <w:top w:w="0" w:type="dxa"/>
                    <w:left w:w="28" w:type="dxa"/>
                    <w:bottom w:w="0" w:type="dxa"/>
                    <w:right w:w="28" w:type="dxa"/>
                  </w:tcMar>
                  <w:vAlign w:val="center"/>
                </w:tcPr>
                <w:p w14:paraId="0DC72F6A">
                  <w:pPr>
                    <w:jc w:val="center"/>
                    <w:rPr>
                      <w:rFonts w:ascii="Times New Roman" w:hAnsi="Times New Roman" w:cs="Times New Roman"/>
                      <w:szCs w:val="21"/>
                    </w:rPr>
                  </w:pPr>
                </w:p>
              </w:tc>
              <w:tc>
                <w:tcPr>
                  <w:tcW w:w="734" w:type="pct"/>
                  <w:vMerge w:val="continue"/>
                  <w:tcBorders>
                    <w:tl2br w:val="nil"/>
                    <w:tr2bl w:val="nil"/>
                  </w:tcBorders>
                  <w:tcMar>
                    <w:top w:w="0" w:type="dxa"/>
                    <w:left w:w="28" w:type="dxa"/>
                    <w:bottom w:w="0" w:type="dxa"/>
                    <w:right w:w="28" w:type="dxa"/>
                  </w:tcMar>
                  <w:vAlign w:val="center"/>
                </w:tcPr>
                <w:p w14:paraId="2D72B9D8">
                  <w:pPr>
                    <w:jc w:val="center"/>
                    <w:rPr>
                      <w:rFonts w:ascii="Times New Roman" w:hAnsi="Times New Roman" w:eastAsia="宋体" w:cs="Times New Roman"/>
                      <w:color w:val="000000"/>
                      <w:szCs w:val="21"/>
                    </w:rPr>
                  </w:pPr>
                </w:p>
              </w:tc>
              <w:tc>
                <w:tcPr>
                  <w:tcW w:w="206" w:type="pct"/>
                  <w:vMerge w:val="continue"/>
                  <w:tcBorders>
                    <w:tl2br w:val="nil"/>
                    <w:tr2bl w:val="nil"/>
                  </w:tcBorders>
                  <w:tcMar>
                    <w:top w:w="0" w:type="dxa"/>
                    <w:left w:w="28" w:type="dxa"/>
                    <w:bottom w:w="0" w:type="dxa"/>
                    <w:right w:w="28" w:type="dxa"/>
                  </w:tcMar>
                  <w:vAlign w:val="center"/>
                </w:tcPr>
                <w:p w14:paraId="2550601F">
                  <w:pPr>
                    <w:jc w:val="center"/>
                    <w:rPr>
                      <w:rFonts w:ascii="Times New Roman" w:hAnsi="Times New Roman" w:cs="Times New Roman"/>
                      <w:szCs w:val="21"/>
                    </w:rPr>
                  </w:pPr>
                </w:p>
              </w:tc>
              <w:tc>
                <w:tcPr>
                  <w:tcW w:w="264" w:type="pct"/>
                  <w:vMerge w:val="continue"/>
                  <w:tcBorders>
                    <w:tl2br w:val="nil"/>
                    <w:tr2bl w:val="nil"/>
                  </w:tcBorders>
                  <w:tcMar>
                    <w:top w:w="0" w:type="dxa"/>
                    <w:left w:w="28" w:type="dxa"/>
                    <w:bottom w:w="0" w:type="dxa"/>
                    <w:right w:w="28" w:type="dxa"/>
                  </w:tcMar>
                  <w:vAlign w:val="center"/>
                </w:tcPr>
                <w:p w14:paraId="17845823">
                  <w:pPr>
                    <w:jc w:val="center"/>
                    <w:rPr>
                      <w:rFonts w:ascii="Times New Roman" w:hAnsi="Times New Roman" w:cs="Times New Roman"/>
                      <w:szCs w:val="21"/>
                    </w:rPr>
                  </w:pPr>
                </w:p>
              </w:tc>
              <w:tc>
                <w:tcPr>
                  <w:tcW w:w="278" w:type="pct"/>
                  <w:vMerge w:val="continue"/>
                  <w:tcBorders>
                    <w:tl2br w:val="nil"/>
                    <w:tr2bl w:val="nil"/>
                  </w:tcBorders>
                  <w:tcMar>
                    <w:top w:w="0" w:type="dxa"/>
                    <w:left w:w="28" w:type="dxa"/>
                    <w:bottom w:w="0" w:type="dxa"/>
                    <w:right w:w="28" w:type="dxa"/>
                  </w:tcMar>
                  <w:vAlign w:val="center"/>
                </w:tcPr>
                <w:p w14:paraId="4B35E625">
                  <w:pPr>
                    <w:jc w:val="center"/>
                    <w:rPr>
                      <w:rFonts w:ascii="Times New Roman" w:hAnsi="Times New Roman" w:cs="Times New Roman"/>
                      <w:szCs w:val="21"/>
                    </w:rPr>
                  </w:pPr>
                </w:p>
              </w:tc>
              <w:tc>
                <w:tcPr>
                  <w:tcW w:w="196" w:type="pct"/>
                  <w:vMerge w:val="continue"/>
                  <w:tcBorders>
                    <w:tl2br w:val="nil"/>
                    <w:tr2bl w:val="nil"/>
                  </w:tcBorders>
                  <w:tcMar>
                    <w:top w:w="0" w:type="dxa"/>
                    <w:left w:w="28" w:type="dxa"/>
                    <w:bottom w:w="0" w:type="dxa"/>
                    <w:right w:w="28" w:type="dxa"/>
                  </w:tcMar>
                  <w:vAlign w:val="center"/>
                </w:tcPr>
                <w:p w14:paraId="6DCAF274">
                  <w:pPr>
                    <w:jc w:val="center"/>
                    <w:rPr>
                      <w:rFonts w:ascii="Times New Roman" w:hAnsi="Times New Roman" w:eastAsia="宋体" w:cs="Times New Roman"/>
                      <w:color w:val="000000"/>
                      <w:szCs w:val="21"/>
                    </w:rPr>
                  </w:pPr>
                </w:p>
              </w:tc>
              <w:tc>
                <w:tcPr>
                  <w:tcW w:w="234" w:type="pct"/>
                  <w:vMerge w:val="continue"/>
                  <w:tcBorders>
                    <w:tl2br w:val="nil"/>
                    <w:tr2bl w:val="nil"/>
                  </w:tcBorders>
                  <w:tcMar>
                    <w:top w:w="0" w:type="dxa"/>
                    <w:left w:w="28" w:type="dxa"/>
                    <w:bottom w:w="0" w:type="dxa"/>
                    <w:right w:w="28" w:type="dxa"/>
                  </w:tcMar>
                  <w:vAlign w:val="center"/>
                </w:tcPr>
                <w:p w14:paraId="1DC44441">
                  <w:pPr>
                    <w:jc w:val="center"/>
                    <w:rPr>
                      <w:rFonts w:ascii="Times New Roman" w:hAnsi="Times New Roman" w:cs="Times New Roman"/>
                      <w:szCs w:val="21"/>
                    </w:rPr>
                  </w:pPr>
                </w:p>
              </w:tc>
              <w:tc>
                <w:tcPr>
                  <w:tcW w:w="225" w:type="pct"/>
                  <w:vMerge w:val="continue"/>
                  <w:tcBorders>
                    <w:tl2br w:val="nil"/>
                    <w:tr2bl w:val="nil"/>
                  </w:tcBorders>
                  <w:tcMar>
                    <w:top w:w="0" w:type="dxa"/>
                    <w:left w:w="28" w:type="dxa"/>
                    <w:bottom w:w="0" w:type="dxa"/>
                    <w:right w:w="28" w:type="dxa"/>
                  </w:tcMar>
                  <w:vAlign w:val="center"/>
                </w:tcPr>
                <w:p w14:paraId="0D7B2BB0">
                  <w:pPr>
                    <w:jc w:val="center"/>
                    <w:rPr>
                      <w:rFonts w:ascii="Times New Roman" w:hAnsi="Times New Roman" w:cs="Times New Roman"/>
                      <w:szCs w:val="21"/>
                    </w:rPr>
                  </w:pPr>
                </w:p>
              </w:tc>
              <w:tc>
                <w:tcPr>
                  <w:tcW w:w="302" w:type="pct"/>
                  <w:vMerge w:val="continue"/>
                  <w:tcBorders>
                    <w:tl2br w:val="nil"/>
                    <w:tr2bl w:val="nil"/>
                  </w:tcBorders>
                  <w:tcMar>
                    <w:top w:w="0" w:type="dxa"/>
                    <w:left w:w="28" w:type="dxa"/>
                    <w:bottom w:w="0" w:type="dxa"/>
                    <w:right w:w="28" w:type="dxa"/>
                  </w:tcMar>
                  <w:vAlign w:val="center"/>
                </w:tcPr>
                <w:p w14:paraId="4947A9A5">
                  <w:pPr>
                    <w:jc w:val="center"/>
                    <w:rPr>
                      <w:rFonts w:ascii="Times New Roman" w:hAnsi="Times New Roman" w:cs="Times New Roman"/>
                      <w:szCs w:val="21"/>
                    </w:rPr>
                  </w:pPr>
                </w:p>
              </w:tc>
              <w:tc>
                <w:tcPr>
                  <w:tcW w:w="201" w:type="pct"/>
                  <w:vMerge w:val="continue"/>
                  <w:tcBorders>
                    <w:tl2br w:val="nil"/>
                    <w:tr2bl w:val="nil"/>
                  </w:tcBorders>
                  <w:tcMar>
                    <w:top w:w="0" w:type="dxa"/>
                    <w:left w:w="28" w:type="dxa"/>
                    <w:bottom w:w="0" w:type="dxa"/>
                    <w:right w:w="28" w:type="dxa"/>
                  </w:tcMar>
                  <w:vAlign w:val="center"/>
                </w:tcPr>
                <w:p w14:paraId="5D440D4F">
                  <w:pPr>
                    <w:jc w:val="center"/>
                    <w:rPr>
                      <w:rFonts w:ascii="Times New Roman" w:hAnsi="Times New Roman" w:cs="Times New Roman"/>
                      <w:szCs w:val="21"/>
                    </w:rPr>
                  </w:pPr>
                </w:p>
              </w:tc>
              <w:tc>
                <w:tcPr>
                  <w:tcW w:w="245" w:type="pct"/>
                  <w:vMerge w:val="continue"/>
                  <w:tcBorders>
                    <w:tl2br w:val="nil"/>
                    <w:tr2bl w:val="nil"/>
                  </w:tcBorders>
                  <w:tcMar>
                    <w:top w:w="0" w:type="dxa"/>
                    <w:left w:w="28" w:type="dxa"/>
                    <w:bottom w:w="0" w:type="dxa"/>
                    <w:right w:w="28" w:type="dxa"/>
                  </w:tcMar>
                  <w:vAlign w:val="center"/>
                </w:tcPr>
                <w:p w14:paraId="16BF7EE5">
                  <w:pPr>
                    <w:jc w:val="center"/>
                    <w:rPr>
                      <w:rFonts w:ascii="Times New Roman" w:hAnsi="Times New Roman" w:cs="Times New Roman"/>
                      <w:szCs w:val="21"/>
                    </w:rPr>
                  </w:pPr>
                </w:p>
              </w:tc>
              <w:tc>
                <w:tcPr>
                  <w:tcW w:w="358" w:type="pct"/>
                  <w:vMerge w:val="continue"/>
                  <w:tcBorders>
                    <w:tl2br w:val="nil"/>
                    <w:tr2bl w:val="nil"/>
                  </w:tcBorders>
                  <w:tcMar>
                    <w:top w:w="0" w:type="dxa"/>
                    <w:left w:w="28" w:type="dxa"/>
                    <w:bottom w:w="0" w:type="dxa"/>
                    <w:right w:w="28" w:type="dxa"/>
                  </w:tcMar>
                  <w:vAlign w:val="center"/>
                </w:tcPr>
                <w:p w14:paraId="4B73DFF2">
                  <w:pPr>
                    <w:jc w:val="center"/>
                    <w:rPr>
                      <w:rFonts w:ascii="Times New Roman" w:hAnsi="Times New Roman" w:cs="Times New Roman"/>
                      <w:szCs w:val="21"/>
                    </w:rPr>
                  </w:pPr>
                </w:p>
              </w:tc>
              <w:tc>
                <w:tcPr>
                  <w:tcW w:w="134" w:type="pct"/>
                  <w:vMerge w:val="continue"/>
                  <w:tcBorders>
                    <w:tl2br w:val="nil"/>
                    <w:tr2bl w:val="nil"/>
                  </w:tcBorders>
                  <w:tcMar>
                    <w:top w:w="0" w:type="dxa"/>
                    <w:left w:w="28" w:type="dxa"/>
                    <w:bottom w:w="0" w:type="dxa"/>
                    <w:right w:w="28" w:type="dxa"/>
                  </w:tcMar>
                  <w:vAlign w:val="center"/>
                </w:tcPr>
                <w:p w14:paraId="37632F11">
                  <w:pPr>
                    <w:jc w:val="center"/>
                    <w:rPr>
                      <w:rFonts w:ascii="Times New Roman" w:hAnsi="Times New Roman" w:cs="Times New Roman"/>
                      <w:szCs w:val="21"/>
                    </w:rPr>
                  </w:pPr>
                </w:p>
              </w:tc>
            </w:tr>
            <w:tr w14:paraId="6CA68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115" w:type="pct"/>
                  <w:vMerge w:val="restart"/>
                  <w:tcBorders>
                    <w:tl2br w:val="nil"/>
                    <w:tr2bl w:val="nil"/>
                  </w:tcBorders>
                  <w:tcMar>
                    <w:top w:w="0" w:type="dxa"/>
                    <w:left w:w="28" w:type="dxa"/>
                    <w:bottom w:w="0" w:type="dxa"/>
                    <w:right w:w="28" w:type="dxa"/>
                  </w:tcMar>
                  <w:vAlign w:val="center"/>
                </w:tcPr>
                <w:p w14:paraId="7D5FC286">
                  <w:pPr>
                    <w:jc w:val="center"/>
                    <w:rPr>
                      <w:rFonts w:ascii="Times New Roman Bold" w:hAnsi="Times New Roman Bold" w:eastAsia="宋体" w:cs="Times New Roman Bold"/>
                      <w:b/>
                      <w:bCs/>
                      <w:color w:val="000000"/>
                      <w:szCs w:val="21"/>
                    </w:rPr>
                  </w:pPr>
                  <w:r>
                    <w:rPr>
                      <w:rFonts w:hint="eastAsia" w:ascii="Times New Roman Bold" w:hAnsi="Times New Roman Bold" w:eastAsia="宋体" w:cs="Times New Roman Bold"/>
                      <w:b/>
                      <w:bCs/>
                      <w:color w:val="000000"/>
                      <w:szCs w:val="21"/>
                    </w:rPr>
                    <w:t>11</w:t>
                  </w:r>
                </w:p>
              </w:tc>
              <w:tc>
                <w:tcPr>
                  <w:tcW w:w="106" w:type="pct"/>
                  <w:vMerge w:val="restart"/>
                  <w:tcBorders>
                    <w:tl2br w:val="nil"/>
                    <w:tr2bl w:val="nil"/>
                  </w:tcBorders>
                  <w:tcMar>
                    <w:top w:w="0" w:type="dxa"/>
                    <w:left w:w="28" w:type="dxa"/>
                    <w:bottom w:w="0" w:type="dxa"/>
                    <w:right w:w="28" w:type="dxa"/>
                  </w:tcMar>
                  <w:vAlign w:val="center"/>
                </w:tcPr>
                <w:p w14:paraId="5DB67E19">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DA0</w:t>
                  </w:r>
                </w:p>
                <w:p w14:paraId="3D1062D1">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0</w:t>
                  </w:r>
                </w:p>
                <w:p w14:paraId="38ABCEAF">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4</w:t>
                  </w:r>
                </w:p>
              </w:tc>
              <w:tc>
                <w:tcPr>
                  <w:tcW w:w="101" w:type="pct"/>
                  <w:vMerge w:val="restart"/>
                  <w:tcBorders>
                    <w:tl2br w:val="nil"/>
                    <w:tr2bl w:val="nil"/>
                  </w:tcBorders>
                  <w:tcMar>
                    <w:top w:w="0" w:type="dxa"/>
                    <w:left w:w="28" w:type="dxa"/>
                    <w:bottom w:w="0" w:type="dxa"/>
                    <w:right w:w="28" w:type="dxa"/>
                  </w:tcMar>
                  <w:vAlign w:val="center"/>
                </w:tcPr>
                <w:p w14:paraId="3224D27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有机热载体炉废气</w:t>
                  </w:r>
                </w:p>
              </w:tc>
              <w:tc>
                <w:tcPr>
                  <w:tcW w:w="268" w:type="pct"/>
                  <w:tcBorders>
                    <w:tl2br w:val="nil"/>
                    <w:tr2bl w:val="nil"/>
                  </w:tcBorders>
                  <w:tcMar>
                    <w:top w:w="0" w:type="dxa"/>
                    <w:left w:w="28" w:type="dxa"/>
                    <w:bottom w:w="0" w:type="dxa"/>
                    <w:right w:w="28" w:type="dxa"/>
                  </w:tcMar>
                  <w:vAlign w:val="center"/>
                </w:tcPr>
                <w:p w14:paraId="49ABC0C1">
                  <w:pPr>
                    <w:adjustRightInd w:val="0"/>
                    <w:spacing w:line="240" w:lineRule="exact"/>
                    <w:jc w:val="center"/>
                    <w:textAlignment w:val="baseline"/>
                    <w:rPr>
                      <w:rFonts w:ascii="Times New Roman" w:hAnsi="Times New Roman" w:cs="Times New Roman"/>
                      <w:szCs w:val="21"/>
                    </w:rPr>
                  </w:pPr>
                  <w:r>
                    <w:rPr>
                      <w:rFonts w:hint="eastAsia" w:ascii="Times New Roman" w:hAnsi="宋体" w:eastAsia="宋体" w:cs="Times New Roman"/>
                      <w:szCs w:val="21"/>
                    </w:rPr>
                    <w:t>颗粒物</w:t>
                  </w:r>
                </w:p>
              </w:tc>
              <w:tc>
                <w:tcPr>
                  <w:tcW w:w="180" w:type="pct"/>
                  <w:vMerge w:val="restart"/>
                  <w:tcBorders>
                    <w:tl2br w:val="nil"/>
                    <w:tr2bl w:val="nil"/>
                  </w:tcBorders>
                  <w:tcMar>
                    <w:top w:w="0" w:type="dxa"/>
                    <w:left w:w="28" w:type="dxa"/>
                    <w:bottom w:w="0" w:type="dxa"/>
                    <w:right w:w="28" w:type="dxa"/>
                  </w:tcMar>
                  <w:vAlign w:val="center"/>
                </w:tcPr>
                <w:p w14:paraId="5D0E808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有组织</w:t>
                  </w:r>
                </w:p>
              </w:tc>
              <w:tc>
                <w:tcPr>
                  <w:tcW w:w="249" w:type="pct"/>
                  <w:tcBorders>
                    <w:tl2br w:val="nil"/>
                    <w:tr2bl w:val="nil"/>
                  </w:tcBorders>
                  <w:tcMar>
                    <w:top w:w="0" w:type="dxa"/>
                    <w:left w:w="28" w:type="dxa"/>
                    <w:bottom w:w="0" w:type="dxa"/>
                    <w:right w:w="28" w:type="dxa"/>
                  </w:tcMar>
                  <w:vAlign w:val="center"/>
                </w:tcPr>
                <w:p w14:paraId="1066BCA1">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0.0078</w:t>
                  </w:r>
                </w:p>
              </w:tc>
              <w:tc>
                <w:tcPr>
                  <w:tcW w:w="292" w:type="pct"/>
                  <w:tcBorders>
                    <w:tl2br w:val="nil"/>
                    <w:tr2bl w:val="nil"/>
                  </w:tcBorders>
                  <w:tcMar>
                    <w:top w:w="0" w:type="dxa"/>
                    <w:left w:w="28" w:type="dxa"/>
                    <w:bottom w:w="0" w:type="dxa"/>
                    <w:right w:w="28" w:type="dxa"/>
                  </w:tcMar>
                  <w:vAlign w:val="center"/>
                </w:tcPr>
                <w:p w14:paraId="505F1553">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0.0054</w:t>
                  </w:r>
                </w:p>
              </w:tc>
              <w:tc>
                <w:tcPr>
                  <w:tcW w:w="302" w:type="pct"/>
                  <w:tcBorders>
                    <w:tl2br w:val="nil"/>
                    <w:tr2bl w:val="nil"/>
                  </w:tcBorders>
                  <w:tcMar>
                    <w:top w:w="0" w:type="dxa"/>
                    <w:left w:w="28" w:type="dxa"/>
                    <w:bottom w:w="0" w:type="dxa"/>
                    <w:right w:w="28" w:type="dxa"/>
                  </w:tcMar>
                  <w:vAlign w:val="center"/>
                </w:tcPr>
                <w:p w14:paraId="6AC1EAC4">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14.6</w:t>
                  </w:r>
                </w:p>
              </w:tc>
              <w:tc>
                <w:tcPr>
                  <w:tcW w:w="734" w:type="pct"/>
                  <w:vMerge w:val="restart"/>
                  <w:tcBorders>
                    <w:tl2br w:val="nil"/>
                    <w:tr2bl w:val="nil"/>
                  </w:tcBorders>
                  <w:tcMar>
                    <w:top w:w="0" w:type="dxa"/>
                    <w:left w:w="28" w:type="dxa"/>
                    <w:bottom w:w="0" w:type="dxa"/>
                    <w:right w:w="28" w:type="dxa"/>
                  </w:tcMar>
                  <w:vAlign w:val="center"/>
                </w:tcPr>
                <w:p w14:paraId="2C584456">
                  <w:pPr>
                    <w:jc w:val="center"/>
                    <w:rPr>
                      <w:rFonts w:ascii="Times New Roman" w:hAnsi="Times New Roman" w:eastAsia="宋体" w:cs="Times New Roman"/>
                      <w:color w:val="000000"/>
                      <w:szCs w:val="21"/>
                    </w:rPr>
                  </w:pPr>
                  <w:r>
                    <w:rPr>
                      <w:rFonts w:hint="eastAsia" w:ascii="Times New Roman" w:hAnsi="Times New Roman" w:eastAsia="宋体" w:cs="Times New Roman"/>
                      <w:color w:val="FF0000"/>
                      <w:szCs w:val="21"/>
                    </w:rPr>
                    <w:t>低氮燃烧器，</w:t>
                  </w:r>
                  <w:r>
                    <w:rPr>
                      <w:rFonts w:hint="eastAsia" w:ascii="Times New Roman" w:hAnsi="Times New Roman" w:eastAsia="宋体" w:cs="Times New Roman"/>
                      <w:szCs w:val="21"/>
                    </w:rPr>
                    <w:t>一根15m高排气筒排放</w:t>
                  </w:r>
                </w:p>
              </w:tc>
              <w:tc>
                <w:tcPr>
                  <w:tcW w:w="206" w:type="pct"/>
                  <w:vMerge w:val="restart"/>
                  <w:tcBorders>
                    <w:tl2br w:val="nil"/>
                    <w:tr2bl w:val="nil"/>
                  </w:tcBorders>
                  <w:tcMar>
                    <w:top w:w="0" w:type="dxa"/>
                    <w:left w:w="28" w:type="dxa"/>
                    <w:bottom w:w="0" w:type="dxa"/>
                    <w:right w:w="28" w:type="dxa"/>
                  </w:tcMar>
                  <w:vAlign w:val="center"/>
                </w:tcPr>
                <w:p w14:paraId="514256A1">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c>
                <w:tcPr>
                  <w:tcW w:w="264" w:type="pct"/>
                  <w:vMerge w:val="restart"/>
                  <w:tcBorders>
                    <w:tl2br w:val="nil"/>
                    <w:tr2bl w:val="nil"/>
                  </w:tcBorders>
                  <w:tcMar>
                    <w:top w:w="0" w:type="dxa"/>
                    <w:left w:w="28" w:type="dxa"/>
                    <w:bottom w:w="0" w:type="dxa"/>
                    <w:right w:w="28" w:type="dxa"/>
                  </w:tcMar>
                  <w:vAlign w:val="center"/>
                </w:tcPr>
                <w:p w14:paraId="790251F3">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c>
                <w:tcPr>
                  <w:tcW w:w="278" w:type="pct"/>
                  <w:vMerge w:val="restart"/>
                  <w:tcBorders>
                    <w:tl2br w:val="nil"/>
                    <w:tr2bl w:val="nil"/>
                  </w:tcBorders>
                  <w:tcMar>
                    <w:top w:w="0" w:type="dxa"/>
                    <w:left w:w="28" w:type="dxa"/>
                    <w:bottom w:w="0" w:type="dxa"/>
                    <w:right w:w="28" w:type="dxa"/>
                  </w:tcMar>
                  <w:vAlign w:val="center"/>
                </w:tcPr>
                <w:p w14:paraId="690ED3F5">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c>
                <w:tcPr>
                  <w:tcW w:w="196" w:type="pct"/>
                  <w:vMerge w:val="restart"/>
                  <w:tcBorders>
                    <w:tl2br w:val="nil"/>
                    <w:tr2bl w:val="nil"/>
                  </w:tcBorders>
                  <w:tcMar>
                    <w:top w:w="0" w:type="dxa"/>
                    <w:left w:w="28" w:type="dxa"/>
                    <w:bottom w:w="0" w:type="dxa"/>
                    <w:right w:w="28" w:type="dxa"/>
                  </w:tcMar>
                  <w:vAlign w:val="center"/>
                </w:tcPr>
                <w:p w14:paraId="78E6416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是</w:t>
                  </w:r>
                </w:p>
              </w:tc>
              <w:tc>
                <w:tcPr>
                  <w:tcW w:w="234" w:type="pct"/>
                  <w:tcBorders>
                    <w:tl2br w:val="nil"/>
                    <w:tr2bl w:val="nil"/>
                  </w:tcBorders>
                  <w:tcMar>
                    <w:top w:w="0" w:type="dxa"/>
                    <w:left w:w="28" w:type="dxa"/>
                    <w:bottom w:w="0" w:type="dxa"/>
                    <w:right w:w="28" w:type="dxa"/>
                  </w:tcMar>
                  <w:vAlign w:val="center"/>
                </w:tcPr>
                <w:p w14:paraId="34691A97">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0.0078</w:t>
                  </w:r>
                </w:p>
              </w:tc>
              <w:tc>
                <w:tcPr>
                  <w:tcW w:w="225" w:type="pct"/>
                  <w:tcBorders>
                    <w:tl2br w:val="nil"/>
                    <w:tr2bl w:val="nil"/>
                  </w:tcBorders>
                  <w:tcMar>
                    <w:top w:w="0" w:type="dxa"/>
                    <w:left w:w="28" w:type="dxa"/>
                    <w:bottom w:w="0" w:type="dxa"/>
                    <w:right w:w="28" w:type="dxa"/>
                  </w:tcMar>
                  <w:vAlign w:val="center"/>
                </w:tcPr>
                <w:p w14:paraId="3F2DCF9F">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0.0054</w:t>
                  </w:r>
                </w:p>
              </w:tc>
              <w:tc>
                <w:tcPr>
                  <w:tcW w:w="302" w:type="pct"/>
                  <w:tcBorders>
                    <w:tl2br w:val="nil"/>
                    <w:tr2bl w:val="nil"/>
                  </w:tcBorders>
                  <w:tcMar>
                    <w:top w:w="0" w:type="dxa"/>
                    <w:left w:w="28" w:type="dxa"/>
                    <w:bottom w:w="0" w:type="dxa"/>
                    <w:right w:w="28" w:type="dxa"/>
                  </w:tcMar>
                  <w:vAlign w:val="center"/>
                </w:tcPr>
                <w:p w14:paraId="5B82EC83">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14.6</w:t>
                  </w:r>
                </w:p>
              </w:tc>
              <w:tc>
                <w:tcPr>
                  <w:tcW w:w="201" w:type="pct"/>
                  <w:vMerge w:val="restart"/>
                  <w:tcBorders>
                    <w:tl2br w:val="nil"/>
                    <w:tr2bl w:val="nil"/>
                  </w:tcBorders>
                  <w:tcMar>
                    <w:top w:w="0" w:type="dxa"/>
                    <w:left w:w="28" w:type="dxa"/>
                    <w:bottom w:w="0" w:type="dxa"/>
                    <w:right w:w="28" w:type="dxa"/>
                  </w:tcMar>
                  <w:vAlign w:val="center"/>
                </w:tcPr>
                <w:p w14:paraId="48B8510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1440</w:t>
                  </w:r>
                </w:p>
              </w:tc>
              <w:tc>
                <w:tcPr>
                  <w:tcW w:w="245" w:type="pct"/>
                  <w:tcBorders>
                    <w:tl2br w:val="nil"/>
                    <w:tr2bl w:val="nil"/>
                  </w:tcBorders>
                  <w:tcMar>
                    <w:top w:w="0" w:type="dxa"/>
                    <w:left w:w="28" w:type="dxa"/>
                    <w:bottom w:w="0" w:type="dxa"/>
                    <w:right w:w="28" w:type="dxa"/>
                  </w:tcMar>
                  <w:vAlign w:val="center"/>
                </w:tcPr>
                <w:p w14:paraId="620A5C6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4287BED9">
                  <w:pPr>
                    <w:jc w:val="center"/>
                    <w:rPr>
                      <w:rFonts w:ascii="Times New Roman" w:hAnsi="Times New Roman" w:cs="Times New Roman"/>
                      <w:szCs w:val="21"/>
                    </w:rPr>
                  </w:pPr>
                  <w:r>
                    <w:rPr>
                      <w:rFonts w:hint="eastAsia" w:ascii="Times New Roman" w:hAnsi="Times New Roman" w:cs="Times New Roman"/>
                      <w:szCs w:val="21"/>
                    </w:rPr>
                    <w:t>30</w:t>
                  </w:r>
                </w:p>
              </w:tc>
              <w:tc>
                <w:tcPr>
                  <w:tcW w:w="134" w:type="pct"/>
                  <w:tcBorders>
                    <w:tl2br w:val="nil"/>
                    <w:tr2bl w:val="nil"/>
                  </w:tcBorders>
                  <w:tcMar>
                    <w:top w:w="0" w:type="dxa"/>
                    <w:left w:w="28" w:type="dxa"/>
                    <w:bottom w:w="0" w:type="dxa"/>
                    <w:right w:w="28" w:type="dxa"/>
                  </w:tcMar>
                  <w:vAlign w:val="center"/>
                </w:tcPr>
                <w:p w14:paraId="6CB1661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13B6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15" w:type="pct"/>
                  <w:vMerge w:val="continue"/>
                  <w:tcBorders>
                    <w:tl2br w:val="nil"/>
                    <w:tr2bl w:val="nil"/>
                  </w:tcBorders>
                  <w:tcMar>
                    <w:top w:w="0" w:type="dxa"/>
                    <w:left w:w="28" w:type="dxa"/>
                    <w:bottom w:w="0" w:type="dxa"/>
                    <w:right w:w="28" w:type="dxa"/>
                  </w:tcMar>
                  <w:vAlign w:val="center"/>
                </w:tcPr>
                <w:p w14:paraId="4BFD6FEB">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54BB66C2">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3461F8E5">
                  <w:pPr>
                    <w:jc w:val="center"/>
                    <w:rPr>
                      <w:rFonts w:ascii="Times New Roman" w:hAnsi="Times New Roman" w:eastAsia="宋体" w:cs="Times New Roman"/>
                      <w:color w:val="000000"/>
                      <w:szCs w:val="21"/>
                    </w:rPr>
                  </w:pPr>
                </w:p>
              </w:tc>
              <w:tc>
                <w:tcPr>
                  <w:tcW w:w="268" w:type="pct"/>
                  <w:tcBorders>
                    <w:tl2br w:val="nil"/>
                    <w:tr2bl w:val="nil"/>
                  </w:tcBorders>
                  <w:tcMar>
                    <w:top w:w="0" w:type="dxa"/>
                    <w:left w:w="28" w:type="dxa"/>
                    <w:bottom w:w="0" w:type="dxa"/>
                    <w:right w:w="28" w:type="dxa"/>
                  </w:tcMar>
                  <w:vAlign w:val="center"/>
                </w:tcPr>
                <w:p w14:paraId="2D96298E">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bCs/>
                      <w:szCs w:val="21"/>
                    </w:rPr>
                    <w:t>SO</w:t>
                  </w:r>
                  <w:r>
                    <w:rPr>
                      <w:rFonts w:ascii="Times New Roman" w:hAnsi="Times New Roman" w:eastAsia="宋体" w:cs="Times New Roman"/>
                      <w:bCs/>
                      <w:szCs w:val="21"/>
                      <w:vertAlign w:val="subscript"/>
                    </w:rPr>
                    <w:t>2</w:t>
                  </w:r>
                </w:p>
              </w:tc>
              <w:tc>
                <w:tcPr>
                  <w:tcW w:w="180" w:type="pct"/>
                  <w:vMerge w:val="continue"/>
                  <w:tcBorders>
                    <w:tl2br w:val="nil"/>
                    <w:tr2bl w:val="nil"/>
                  </w:tcBorders>
                  <w:tcMar>
                    <w:top w:w="0" w:type="dxa"/>
                    <w:left w:w="28" w:type="dxa"/>
                    <w:bottom w:w="0" w:type="dxa"/>
                    <w:right w:w="28" w:type="dxa"/>
                  </w:tcMar>
                  <w:vAlign w:val="center"/>
                </w:tcPr>
                <w:p w14:paraId="74C5078C">
                  <w:pPr>
                    <w:jc w:val="center"/>
                    <w:rPr>
                      <w:rFonts w:ascii="Times New Roman" w:hAnsi="Times New Roman" w:eastAsia="宋体" w:cs="Times New Roman"/>
                      <w:color w:val="000000"/>
                      <w:szCs w:val="21"/>
                    </w:rPr>
                  </w:pPr>
                </w:p>
              </w:tc>
              <w:tc>
                <w:tcPr>
                  <w:tcW w:w="249" w:type="pct"/>
                  <w:tcBorders>
                    <w:tl2br w:val="nil"/>
                    <w:tr2bl w:val="nil"/>
                  </w:tcBorders>
                  <w:tcMar>
                    <w:top w:w="0" w:type="dxa"/>
                    <w:left w:w="28" w:type="dxa"/>
                    <w:bottom w:w="0" w:type="dxa"/>
                    <w:right w:w="28" w:type="dxa"/>
                  </w:tcMar>
                  <w:vAlign w:val="center"/>
                </w:tcPr>
                <w:p w14:paraId="45BF7354">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0.00057</w:t>
                  </w:r>
                </w:p>
              </w:tc>
              <w:tc>
                <w:tcPr>
                  <w:tcW w:w="292" w:type="pct"/>
                  <w:tcBorders>
                    <w:tl2br w:val="nil"/>
                    <w:tr2bl w:val="nil"/>
                  </w:tcBorders>
                  <w:tcMar>
                    <w:top w:w="0" w:type="dxa"/>
                    <w:left w:w="28" w:type="dxa"/>
                    <w:bottom w:w="0" w:type="dxa"/>
                    <w:right w:w="28" w:type="dxa"/>
                  </w:tcMar>
                  <w:vAlign w:val="center"/>
                </w:tcPr>
                <w:p w14:paraId="5CB845E4">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0.0004</w:t>
                  </w:r>
                </w:p>
              </w:tc>
              <w:tc>
                <w:tcPr>
                  <w:tcW w:w="302" w:type="pct"/>
                  <w:tcBorders>
                    <w:tl2br w:val="nil"/>
                    <w:tr2bl w:val="nil"/>
                  </w:tcBorders>
                  <w:tcMar>
                    <w:top w:w="0" w:type="dxa"/>
                    <w:left w:w="28" w:type="dxa"/>
                    <w:bottom w:w="0" w:type="dxa"/>
                    <w:right w:w="28" w:type="dxa"/>
                  </w:tcMar>
                  <w:vAlign w:val="center"/>
                </w:tcPr>
                <w:p w14:paraId="245E16A5">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1.06</w:t>
                  </w:r>
                </w:p>
              </w:tc>
              <w:tc>
                <w:tcPr>
                  <w:tcW w:w="734" w:type="pct"/>
                  <w:vMerge w:val="continue"/>
                  <w:tcBorders>
                    <w:tl2br w:val="nil"/>
                    <w:tr2bl w:val="nil"/>
                  </w:tcBorders>
                  <w:tcMar>
                    <w:top w:w="0" w:type="dxa"/>
                    <w:left w:w="28" w:type="dxa"/>
                    <w:bottom w:w="0" w:type="dxa"/>
                    <w:right w:w="28" w:type="dxa"/>
                  </w:tcMar>
                  <w:vAlign w:val="center"/>
                </w:tcPr>
                <w:p w14:paraId="4897711D">
                  <w:pPr>
                    <w:jc w:val="center"/>
                    <w:rPr>
                      <w:rFonts w:ascii="Times New Roman" w:hAnsi="Times New Roman" w:eastAsia="宋体" w:cs="Times New Roman"/>
                      <w:color w:val="000000"/>
                      <w:szCs w:val="21"/>
                    </w:rPr>
                  </w:pPr>
                </w:p>
              </w:tc>
              <w:tc>
                <w:tcPr>
                  <w:tcW w:w="206" w:type="pct"/>
                  <w:vMerge w:val="continue"/>
                  <w:tcBorders>
                    <w:tl2br w:val="nil"/>
                    <w:tr2bl w:val="nil"/>
                  </w:tcBorders>
                  <w:tcMar>
                    <w:top w:w="0" w:type="dxa"/>
                    <w:left w:w="28" w:type="dxa"/>
                    <w:bottom w:w="0" w:type="dxa"/>
                    <w:right w:w="28" w:type="dxa"/>
                  </w:tcMar>
                  <w:vAlign w:val="center"/>
                </w:tcPr>
                <w:p w14:paraId="74DB2FB6">
                  <w:pPr>
                    <w:jc w:val="center"/>
                    <w:rPr>
                      <w:rFonts w:ascii="Times New Roman" w:hAnsi="Times New Roman" w:eastAsia="宋体" w:cs="Times New Roman"/>
                      <w:color w:val="000000"/>
                      <w:szCs w:val="21"/>
                    </w:rPr>
                  </w:pPr>
                </w:p>
              </w:tc>
              <w:tc>
                <w:tcPr>
                  <w:tcW w:w="264" w:type="pct"/>
                  <w:vMerge w:val="continue"/>
                  <w:tcBorders>
                    <w:tl2br w:val="nil"/>
                    <w:tr2bl w:val="nil"/>
                  </w:tcBorders>
                  <w:tcMar>
                    <w:top w:w="0" w:type="dxa"/>
                    <w:left w:w="28" w:type="dxa"/>
                    <w:bottom w:w="0" w:type="dxa"/>
                    <w:right w:w="28" w:type="dxa"/>
                  </w:tcMar>
                  <w:vAlign w:val="center"/>
                </w:tcPr>
                <w:p w14:paraId="17C25294">
                  <w:pPr>
                    <w:jc w:val="center"/>
                    <w:rPr>
                      <w:rFonts w:ascii="Times New Roman" w:hAnsi="Times New Roman" w:eastAsia="宋体" w:cs="Times New Roman"/>
                      <w:color w:val="000000"/>
                      <w:szCs w:val="21"/>
                    </w:rPr>
                  </w:pPr>
                </w:p>
              </w:tc>
              <w:tc>
                <w:tcPr>
                  <w:tcW w:w="278" w:type="pct"/>
                  <w:vMerge w:val="continue"/>
                  <w:tcBorders>
                    <w:tl2br w:val="nil"/>
                    <w:tr2bl w:val="nil"/>
                  </w:tcBorders>
                  <w:tcMar>
                    <w:top w:w="0" w:type="dxa"/>
                    <w:left w:w="28" w:type="dxa"/>
                    <w:bottom w:w="0" w:type="dxa"/>
                    <w:right w:w="28" w:type="dxa"/>
                  </w:tcMar>
                  <w:vAlign w:val="center"/>
                </w:tcPr>
                <w:p w14:paraId="14E6BC2E">
                  <w:pPr>
                    <w:jc w:val="center"/>
                    <w:rPr>
                      <w:rFonts w:ascii="Times New Roman" w:hAnsi="Times New Roman" w:eastAsia="宋体" w:cs="Times New Roman"/>
                      <w:color w:val="000000"/>
                      <w:szCs w:val="21"/>
                    </w:rPr>
                  </w:pPr>
                </w:p>
              </w:tc>
              <w:tc>
                <w:tcPr>
                  <w:tcW w:w="196" w:type="pct"/>
                  <w:vMerge w:val="continue"/>
                  <w:tcBorders>
                    <w:tl2br w:val="nil"/>
                    <w:tr2bl w:val="nil"/>
                  </w:tcBorders>
                  <w:tcMar>
                    <w:top w:w="0" w:type="dxa"/>
                    <w:left w:w="28" w:type="dxa"/>
                    <w:bottom w:w="0" w:type="dxa"/>
                    <w:right w:w="28" w:type="dxa"/>
                  </w:tcMar>
                  <w:vAlign w:val="center"/>
                </w:tcPr>
                <w:p w14:paraId="72CDDDF7">
                  <w:pPr>
                    <w:jc w:val="center"/>
                    <w:rPr>
                      <w:rFonts w:ascii="Times New Roman" w:hAnsi="Times New Roman" w:eastAsia="宋体" w:cs="Times New Roman"/>
                      <w:color w:val="000000"/>
                      <w:szCs w:val="21"/>
                    </w:rPr>
                  </w:pPr>
                </w:p>
              </w:tc>
              <w:tc>
                <w:tcPr>
                  <w:tcW w:w="234" w:type="pct"/>
                  <w:tcBorders>
                    <w:tl2br w:val="nil"/>
                    <w:tr2bl w:val="nil"/>
                  </w:tcBorders>
                  <w:tcMar>
                    <w:top w:w="0" w:type="dxa"/>
                    <w:left w:w="28" w:type="dxa"/>
                    <w:bottom w:w="0" w:type="dxa"/>
                    <w:right w:w="28" w:type="dxa"/>
                  </w:tcMar>
                  <w:vAlign w:val="center"/>
                </w:tcPr>
                <w:p w14:paraId="5EC941D8">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0.00057</w:t>
                  </w:r>
                </w:p>
              </w:tc>
              <w:tc>
                <w:tcPr>
                  <w:tcW w:w="225" w:type="pct"/>
                  <w:tcBorders>
                    <w:tl2br w:val="nil"/>
                    <w:tr2bl w:val="nil"/>
                  </w:tcBorders>
                  <w:tcMar>
                    <w:top w:w="0" w:type="dxa"/>
                    <w:left w:w="28" w:type="dxa"/>
                    <w:bottom w:w="0" w:type="dxa"/>
                    <w:right w:w="28" w:type="dxa"/>
                  </w:tcMar>
                  <w:vAlign w:val="center"/>
                </w:tcPr>
                <w:p w14:paraId="69EFD1B5">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0.0004</w:t>
                  </w:r>
                </w:p>
              </w:tc>
              <w:tc>
                <w:tcPr>
                  <w:tcW w:w="302" w:type="pct"/>
                  <w:tcBorders>
                    <w:tl2br w:val="nil"/>
                    <w:tr2bl w:val="nil"/>
                  </w:tcBorders>
                  <w:tcMar>
                    <w:top w:w="0" w:type="dxa"/>
                    <w:left w:w="28" w:type="dxa"/>
                    <w:bottom w:w="0" w:type="dxa"/>
                    <w:right w:w="28" w:type="dxa"/>
                  </w:tcMar>
                  <w:vAlign w:val="center"/>
                </w:tcPr>
                <w:p w14:paraId="304D0F94">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1.06</w:t>
                  </w:r>
                </w:p>
              </w:tc>
              <w:tc>
                <w:tcPr>
                  <w:tcW w:w="201" w:type="pct"/>
                  <w:vMerge w:val="continue"/>
                  <w:tcBorders>
                    <w:tl2br w:val="nil"/>
                    <w:tr2bl w:val="nil"/>
                  </w:tcBorders>
                  <w:tcMar>
                    <w:top w:w="0" w:type="dxa"/>
                    <w:left w:w="28" w:type="dxa"/>
                    <w:bottom w:w="0" w:type="dxa"/>
                    <w:right w:w="28" w:type="dxa"/>
                  </w:tcMar>
                  <w:vAlign w:val="center"/>
                </w:tcPr>
                <w:p w14:paraId="175B8027">
                  <w:pPr>
                    <w:jc w:val="center"/>
                    <w:rPr>
                      <w:rFonts w:ascii="Times New Roman" w:hAnsi="Times New Roman" w:eastAsia="宋体" w:cs="Times New Roman"/>
                      <w:color w:val="000000"/>
                      <w:szCs w:val="21"/>
                    </w:rPr>
                  </w:pPr>
                </w:p>
              </w:tc>
              <w:tc>
                <w:tcPr>
                  <w:tcW w:w="245" w:type="pct"/>
                  <w:tcBorders>
                    <w:tl2br w:val="nil"/>
                    <w:tr2bl w:val="nil"/>
                  </w:tcBorders>
                  <w:tcMar>
                    <w:top w:w="0" w:type="dxa"/>
                    <w:left w:w="28" w:type="dxa"/>
                    <w:bottom w:w="0" w:type="dxa"/>
                    <w:right w:w="28" w:type="dxa"/>
                  </w:tcMar>
                  <w:vAlign w:val="center"/>
                </w:tcPr>
                <w:p w14:paraId="2C50146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172BDB7C">
                  <w:pPr>
                    <w:jc w:val="center"/>
                    <w:rPr>
                      <w:rFonts w:ascii="Times New Roman" w:hAnsi="Times New Roman" w:cs="Times New Roman"/>
                      <w:szCs w:val="21"/>
                    </w:rPr>
                  </w:pPr>
                  <w:r>
                    <w:rPr>
                      <w:rFonts w:hint="eastAsia" w:ascii="Times New Roman" w:hAnsi="Times New Roman" w:cs="Times New Roman"/>
                      <w:szCs w:val="21"/>
                    </w:rPr>
                    <w:t>200</w:t>
                  </w:r>
                </w:p>
              </w:tc>
              <w:tc>
                <w:tcPr>
                  <w:tcW w:w="134" w:type="pct"/>
                  <w:tcBorders>
                    <w:tl2br w:val="nil"/>
                    <w:tr2bl w:val="nil"/>
                  </w:tcBorders>
                  <w:tcMar>
                    <w:top w:w="0" w:type="dxa"/>
                    <w:left w:w="28" w:type="dxa"/>
                    <w:bottom w:w="0" w:type="dxa"/>
                    <w:right w:w="28" w:type="dxa"/>
                  </w:tcMar>
                  <w:vAlign w:val="center"/>
                </w:tcPr>
                <w:p w14:paraId="088FE7A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18D4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15" w:type="pct"/>
                  <w:vMerge w:val="continue"/>
                  <w:tcBorders>
                    <w:tl2br w:val="nil"/>
                    <w:tr2bl w:val="nil"/>
                  </w:tcBorders>
                  <w:tcMar>
                    <w:top w:w="0" w:type="dxa"/>
                    <w:left w:w="28" w:type="dxa"/>
                    <w:bottom w:w="0" w:type="dxa"/>
                    <w:right w:w="28" w:type="dxa"/>
                  </w:tcMar>
                  <w:vAlign w:val="center"/>
                </w:tcPr>
                <w:p w14:paraId="48FFA194">
                  <w:pPr>
                    <w:jc w:val="center"/>
                    <w:rPr>
                      <w:rFonts w:ascii="Times New Roman Bold" w:hAnsi="Times New Roman Bold" w:eastAsia="宋体" w:cs="Times New Roman Bold"/>
                      <w:b/>
                      <w:bCs/>
                      <w:color w:val="000000"/>
                      <w:szCs w:val="21"/>
                    </w:rPr>
                  </w:pPr>
                </w:p>
              </w:tc>
              <w:tc>
                <w:tcPr>
                  <w:tcW w:w="106" w:type="pct"/>
                  <w:vMerge w:val="continue"/>
                  <w:tcBorders>
                    <w:tl2br w:val="nil"/>
                    <w:tr2bl w:val="nil"/>
                  </w:tcBorders>
                  <w:tcMar>
                    <w:top w:w="0" w:type="dxa"/>
                    <w:left w:w="28" w:type="dxa"/>
                    <w:bottom w:w="0" w:type="dxa"/>
                    <w:right w:w="28" w:type="dxa"/>
                  </w:tcMar>
                  <w:vAlign w:val="center"/>
                </w:tcPr>
                <w:p w14:paraId="11E67CD1">
                  <w:pPr>
                    <w:jc w:val="center"/>
                    <w:rPr>
                      <w:rFonts w:ascii="Times New Roman" w:hAnsi="Times New Roman" w:eastAsia="宋体" w:cs="Times New Roman"/>
                      <w:color w:val="000000"/>
                      <w:szCs w:val="21"/>
                    </w:rPr>
                  </w:pPr>
                </w:p>
              </w:tc>
              <w:tc>
                <w:tcPr>
                  <w:tcW w:w="101" w:type="pct"/>
                  <w:vMerge w:val="continue"/>
                  <w:tcBorders>
                    <w:tl2br w:val="nil"/>
                    <w:tr2bl w:val="nil"/>
                  </w:tcBorders>
                  <w:tcMar>
                    <w:top w:w="0" w:type="dxa"/>
                    <w:left w:w="28" w:type="dxa"/>
                    <w:bottom w:w="0" w:type="dxa"/>
                    <w:right w:w="28" w:type="dxa"/>
                  </w:tcMar>
                  <w:vAlign w:val="center"/>
                </w:tcPr>
                <w:p w14:paraId="524F0D6E">
                  <w:pPr>
                    <w:jc w:val="center"/>
                    <w:rPr>
                      <w:rFonts w:ascii="Times New Roman" w:hAnsi="Times New Roman" w:eastAsia="宋体" w:cs="Times New Roman"/>
                      <w:color w:val="000000"/>
                      <w:szCs w:val="21"/>
                    </w:rPr>
                  </w:pPr>
                </w:p>
              </w:tc>
              <w:tc>
                <w:tcPr>
                  <w:tcW w:w="268" w:type="pct"/>
                  <w:tcBorders>
                    <w:tl2br w:val="nil"/>
                    <w:tr2bl w:val="nil"/>
                  </w:tcBorders>
                  <w:tcMar>
                    <w:top w:w="0" w:type="dxa"/>
                    <w:left w:w="28" w:type="dxa"/>
                    <w:bottom w:w="0" w:type="dxa"/>
                    <w:right w:w="28" w:type="dxa"/>
                  </w:tcMar>
                  <w:vAlign w:val="center"/>
                </w:tcPr>
                <w:p w14:paraId="3DC314F2">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bCs/>
                      <w:szCs w:val="21"/>
                    </w:rPr>
                    <w:t>NO</w:t>
                  </w:r>
                  <w:r>
                    <w:rPr>
                      <w:rFonts w:ascii="Times New Roman" w:hAnsi="Times New Roman" w:eastAsia="宋体" w:cs="Times New Roman"/>
                      <w:bCs/>
                      <w:szCs w:val="21"/>
                      <w:vertAlign w:val="subscript"/>
                    </w:rPr>
                    <w:t>x</w:t>
                  </w:r>
                </w:p>
              </w:tc>
              <w:tc>
                <w:tcPr>
                  <w:tcW w:w="180" w:type="pct"/>
                  <w:vMerge w:val="continue"/>
                  <w:tcBorders>
                    <w:tl2br w:val="nil"/>
                    <w:tr2bl w:val="nil"/>
                  </w:tcBorders>
                  <w:tcMar>
                    <w:top w:w="0" w:type="dxa"/>
                    <w:left w:w="28" w:type="dxa"/>
                    <w:bottom w:w="0" w:type="dxa"/>
                    <w:right w:w="28" w:type="dxa"/>
                  </w:tcMar>
                  <w:vAlign w:val="center"/>
                </w:tcPr>
                <w:p w14:paraId="0007558B">
                  <w:pPr>
                    <w:jc w:val="center"/>
                    <w:rPr>
                      <w:rFonts w:ascii="Times New Roman" w:hAnsi="Times New Roman" w:eastAsia="宋体" w:cs="Times New Roman"/>
                      <w:color w:val="000000"/>
                      <w:szCs w:val="21"/>
                    </w:rPr>
                  </w:pPr>
                </w:p>
              </w:tc>
              <w:tc>
                <w:tcPr>
                  <w:tcW w:w="249" w:type="pct"/>
                  <w:tcBorders>
                    <w:tl2br w:val="nil"/>
                    <w:tr2bl w:val="nil"/>
                  </w:tcBorders>
                  <w:tcMar>
                    <w:top w:w="0" w:type="dxa"/>
                    <w:left w:w="28" w:type="dxa"/>
                    <w:bottom w:w="0" w:type="dxa"/>
                    <w:right w:w="28" w:type="dxa"/>
                  </w:tcMar>
                  <w:vAlign w:val="center"/>
                </w:tcPr>
                <w:p w14:paraId="34696FDE">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0.09</w:t>
                  </w:r>
                </w:p>
              </w:tc>
              <w:tc>
                <w:tcPr>
                  <w:tcW w:w="292" w:type="pct"/>
                  <w:tcBorders>
                    <w:tl2br w:val="nil"/>
                    <w:tr2bl w:val="nil"/>
                  </w:tcBorders>
                  <w:tcMar>
                    <w:top w:w="0" w:type="dxa"/>
                    <w:left w:w="28" w:type="dxa"/>
                    <w:bottom w:w="0" w:type="dxa"/>
                    <w:right w:w="28" w:type="dxa"/>
                  </w:tcMar>
                  <w:vAlign w:val="center"/>
                </w:tcPr>
                <w:p w14:paraId="4BF55E3B">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0.063</w:t>
                  </w:r>
                </w:p>
              </w:tc>
              <w:tc>
                <w:tcPr>
                  <w:tcW w:w="302" w:type="pct"/>
                  <w:tcBorders>
                    <w:tl2br w:val="nil"/>
                    <w:tr2bl w:val="nil"/>
                  </w:tcBorders>
                  <w:tcMar>
                    <w:top w:w="0" w:type="dxa"/>
                    <w:left w:w="28" w:type="dxa"/>
                    <w:bottom w:w="0" w:type="dxa"/>
                    <w:right w:w="28" w:type="dxa"/>
                  </w:tcMar>
                  <w:vAlign w:val="center"/>
                </w:tcPr>
                <w:p w14:paraId="1F2CE8F5">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168.5</w:t>
                  </w:r>
                </w:p>
              </w:tc>
              <w:tc>
                <w:tcPr>
                  <w:tcW w:w="734" w:type="pct"/>
                  <w:vMerge w:val="continue"/>
                  <w:tcBorders>
                    <w:tl2br w:val="nil"/>
                    <w:tr2bl w:val="nil"/>
                  </w:tcBorders>
                  <w:tcMar>
                    <w:top w:w="0" w:type="dxa"/>
                    <w:left w:w="28" w:type="dxa"/>
                    <w:bottom w:w="0" w:type="dxa"/>
                    <w:right w:w="28" w:type="dxa"/>
                  </w:tcMar>
                  <w:vAlign w:val="center"/>
                </w:tcPr>
                <w:p w14:paraId="18F1CB95">
                  <w:pPr>
                    <w:jc w:val="center"/>
                    <w:rPr>
                      <w:rFonts w:ascii="Times New Roman" w:hAnsi="Times New Roman" w:eastAsia="宋体" w:cs="Times New Roman"/>
                      <w:color w:val="000000"/>
                      <w:szCs w:val="21"/>
                    </w:rPr>
                  </w:pPr>
                </w:p>
              </w:tc>
              <w:tc>
                <w:tcPr>
                  <w:tcW w:w="206" w:type="pct"/>
                  <w:vMerge w:val="continue"/>
                  <w:tcBorders>
                    <w:tl2br w:val="nil"/>
                    <w:tr2bl w:val="nil"/>
                  </w:tcBorders>
                  <w:tcMar>
                    <w:top w:w="0" w:type="dxa"/>
                    <w:left w:w="28" w:type="dxa"/>
                    <w:bottom w:w="0" w:type="dxa"/>
                    <w:right w:w="28" w:type="dxa"/>
                  </w:tcMar>
                  <w:vAlign w:val="center"/>
                </w:tcPr>
                <w:p w14:paraId="0F1BDF09">
                  <w:pPr>
                    <w:jc w:val="center"/>
                    <w:rPr>
                      <w:rFonts w:ascii="Times New Roman" w:hAnsi="Times New Roman" w:eastAsia="宋体" w:cs="Times New Roman"/>
                      <w:color w:val="000000"/>
                      <w:szCs w:val="21"/>
                    </w:rPr>
                  </w:pPr>
                </w:p>
              </w:tc>
              <w:tc>
                <w:tcPr>
                  <w:tcW w:w="264" w:type="pct"/>
                  <w:vMerge w:val="continue"/>
                  <w:tcBorders>
                    <w:tl2br w:val="nil"/>
                    <w:tr2bl w:val="nil"/>
                  </w:tcBorders>
                  <w:tcMar>
                    <w:top w:w="0" w:type="dxa"/>
                    <w:left w:w="28" w:type="dxa"/>
                    <w:bottom w:w="0" w:type="dxa"/>
                    <w:right w:w="28" w:type="dxa"/>
                  </w:tcMar>
                  <w:vAlign w:val="center"/>
                </w:tcPr>
                <w:p w14:paraId="3B480FD2">
                  <w:pPr>
                    <w:jc w:val="center"/>
                    <w:rPr>
                      <w:rFonts w:ascii="Times New Roman" w:hAnsi="Times New Roman" w:eastAsia="宋体" w:cs="Times New Roman"/>
                      <w:color w:val="000000"/>
                      <w:szCs w:val="21"/>
                    </w:rPr>
                  </w:pPr>
                </w:p>
              </w:tc>
              <w:tc>
                <w:tcPr>
                  <w:tcW w:w="278" w:type="pct"/>
                  <w:vMerge w:val="continue"/>
                  <w:tcBorders>
                    <w:tl2br w:val="nil"/>
                    <w:tr2bl w:val="nil"/>
                  </w:tcBorders>
                  <w:tcMar>
                    <w:top w:w="0" w:type="dxa"/>
                    <w:left w:w="28" w:type="dxa"/>
                    <w:bottom w:w="0" w:type="dxa"/>
                    <w:right w:w="28" w:type="dxa"/>
                  </w:tcMar>
                  <w:vAlign w:val="center"/>
                </w:tcPr>
                <w:p w14:paraId="5693C3EE">
                  <w:pPr>
                    <w:jc w:val="center"/>
                    <w:rPr>
                      <w:rFonts w:ascii="Times New Roman" w:hAnsi="Times New Roman" w:eastAsia="宋体" w:cs="Times New Roman"/>
                      <w:color w:val="000000"/>
                      <w:szCs w:val="21"/>
                    </w:rPr>
                  </w:pPr>
                </w:p>
              </w:tc>
              <w:tc>
                <w:tcPr>
                  <w:tcW w:w="196" w:type="pct"/>
                  <w:vMerge w:val="continue"/>
                  <w:tcBorders>
                    <w:tl2br w:val="nil"/>
                    <w:tr2bl w:val="nil"/>
                  </w:tcBorders>
                  <w:tcMar>
                    <w:top w:w="0" w:type="dxa"/>
                    <w:left w:w="28" w:type="dxa"/>
                    <w:bottom w:w="0" w:type="dxa"/>
                    <w:right w:w="28" w:type="dxa"/>
                  </w:tcMar>
                  <w:vAlign w:val="center"/>
                </w:tcPr>
                <w:p w14:paraId="7DD056BA">
                  <w:pPr>
                    <w:jc w:val="center"/>
                    <w:rPr>
                      <w:rFonts w:ascii="Times New Roman" w:hAnsi="Times New Roman" w:eastAsia="宋体" w:cs="Times New Roman"/>
                      <w:color w:val="000000"/>
                      <w:szCs w:val="21"/>
                    </w:rPr>
                  </w:pPr>
                </w:p>
              </w:tc>
              <w:tc>
                <w:tcPr>
                  <w:tcW w:w="234" w:type="pct"/>
                  <w:tcBorders>
                    <w:tl2br w:val="nil"/>
                    <w:tr2bl w:val="nil"/>
                  </w:tcBorders>
                  <w:tcMar>
                    <w:top w:w="0" w:type="dxa"/>
                    <w:left w:w="28" w:type="dxa"/>
                    <w:bottom w:w="0" w:type="dxa"/>
                    <w:right w:w="28" w:type="dxa"/>
                  </w:tcMar>
                  <w:vAlign w:val="center"/>
                </w:tcPr>
                <w:p w14:paraId="4D234AE7">
                  <w:pPr>
                    <w:adjustRightInd w:val="0"/>
                    <w:spacing w:line="240" w:lineRule="exact"/>
                    <w:jc w:val="center"/>
                    <w:textAlignment w:val="baseline"/>
                    <w:rPr>
                      <w:rFonts w:hint="eastAsia" w:ascii="Times New Roman" w:hAnsi="Times New Roman" w:eastAsia="宋体" w:cs="Times New Roman"/>
                      <w:color w:val="FF0000"/>
                      <w:szCs w:val="21"/>
                    </w:rPr>
                  </w:pPr>
                  <w:r>
                    <w:rPr>
                      <w:rFonts w:hint="eastAsia" w:ascii="Times New Roman" w:hAnsi="Times New Roman" w:eastAsia="宋体" w:cs="Times New Roman"/>
                      <w:color w:val="FF0000"/>
                      <w:szCs w:val="21"/>
                    </w:rPr>
                    <w:t>0.04</w:t>
                  </w:r>
                </w:p>
                <w:p w14:paraId="3C9C1289">
                  <w:pPr>
                    <w:adjustRightInd w:val="0"/>
                    <w:spacing w:line="240" w:lineRule="exact"/>
                    <w:jc w:val="center"/>
                    <w:textAlignment w:val="baseline"/>
                    <w:rPr>
                      <w:rFonts w:ascii="Times New Roman" w:hAnsi="Times New Roman" w:cs="Times New Roman"/>
                      <w:color w:val="FF0000"/>
                      <w:szCs w:val="21"/>
                    </w:rPr>
                  </w:pPr>
                  <w:r>
                    <w:rPr>
                      <w:rFonts w:hint="eastAsia" w:ascii="Times New Roman" w:hAnsi="Times New Roman" w:eastAsia="宋体" w:cs="Times New Roman"/>
                      <w:color w:val="FF0000"/>
                      <w:szCs w:val="21"/>
                    </w:rPr>
                    <w:t>05</w:t>
                  </w:r>
                </w:p>
              </w:tc>
              <w:tc>
                <w:tcPr>
                  <w:tcW w:w="225" w:type="pct"/>
                  <w:tcBorders>
                    <w:tl2br w:val="nil"/>
                    <w:tr2bl w:val="nil"/>
                  </w:tcBorders>
                  <w:tcMar>
                    <w:top w:w="0" w:type="dxa"/>
                    <w:left w:w="28" w:type="dxa"/>
                    <w:bottom w:w="0" w:type="dxa"/>
                    <w:right w:w="28" w:type="dxa"/>
                  </w:tcMar>
                  <w:vAlign w:val="center"/>
                </w:tcPr>
                <w:p w14:paraId="4A7FDA13">
                  <w:pPr>
                    <w:adjustRightInd w:val="0"/>
                    <w:spacing w:line="240" w:lineRule="exact"/>
                    <w:jc w:val="center"/>
                    <w:textAlignment w:val="baseline"/>
                    <w:rPr>
                      <w:rFonts w:ascii="Times New Roman" w:hAnsi="Times New Roman" w:cs="Times New Roman"/>
                      <w:color w:val="FF0000"/>
                      <w:szCs w:val="21"/>
                    </w:rPr>
                  </w:pPr>
                  <w:r>
                    <w:rPr>
                      <w:rFonts w:hint="eastAsia" w:ascii="Times New Roman" w:hAnsi="Times New Roman" w:eastAsia="宋体" w:cs="Times New Roman"/>
                      <w:color w:val="FF0000"/>
                      <w:szCs w:val="21"/>
                    </w:rPr>
                    <w:t>0.028</w:t>
                  </w:r>
                </w:p>
              </w:tc>
              <w:tc>
                <w:tcPr>
                  <w:tcW w:w="302" w:type="pct"/>
                  <w:tcBorders>
                    <w:tl2br w:val="nil"/>
                    <w:tr2bl w:val="nil"/>
                  </w:tcBorders>
                  <w:tcMar>
                    <w:top w:w="0" w:type="dxa"/>
                    <w:left w:w="28" w:type="dxa"/>
                    <w:bottom w:w="0" w:type="dxa"/>
                    <w:right w:w="28" w:type="dxa"/>
                  </w:tcMar>
                  <w:vAlign w:val="center"/>
                </w:tcPr>
                <w:p w14:paraId="25DDEF9C">
                  <w:pPr>
                    <w:adjustRightInd w:val="0"/>
                    <w:spacing w:line="240" w:lineRule="exact"/>
                    <w:jc w:val="center"/>
                    <w:textAlignment w:val="baseline"/>
                    <w:rPr>
                      <w:rFonts w:ascii="Times New Roman" w:hAnsi="Times New Roman" w:cs="Times New Roman"/>
                      <w:color w:val="FF0000"/>
                      <w:szCs w:val="21"/>
                    </w:rPr>
                  </w:pPr>
                  <w:r>
                    <w:rPr>
                      <w:rFonts w:hint="eastAsia" w:ascii="Times New Roman" w:hAnsi="Times New Roman" w:eastAsia="宋体" w:cs="Times New Roman"/>
                      <w:color w:val="FF0000"/>
                      <w:szCs w:val="21"/>
                    </w:rPr>
                    <w:t>75.82</w:t>
                  </w:r>
                </w:p>
              </w:tc>
              <w:tc>
                <w:tcPr>
                  <w:tcW w:w="201" w:type="pct"/>
                  <w:vMerge w:val="continue"/>
                  <w:tcBorders>
                    <w:tl2br w:val="nil"/>
                    <w:tr2bl w:val="nil"/>
                  </w:tcBorders>
                  <w:tcMar>
                    <w:top w:w="0" w:type="dxa"/>
                    <w:left w:w="28" w:type="dxa"/>
                    <w:bottom w:w="0" w:type="dxa"/>
                    <w:right w:w="28" w:type="dxa"/>
                  </w:tcMar>
                  <w:vAlign w:val="center"/>
                </w:tcPr>
                <w:p w14:paraId="4E3DEBF1">
                  <w:pPr>
                    <w:jc w:val="center"/>
                    <w:rPr>
                      <w:rFonts w:ascii="Times New Roman" w:hAnsi="Times New Roman" w:eastAsia="宋体" w:cs="Times New Roman"/>
                      <w:color w:val="000000"/>
                      <w:szCs w:val="21"/>
                    </w:rPr>
                  </w:pPr>
                </w:p>
              </w:tc>
              <w:tc>
                <w:tcPr>
                  <w:tcW w:w="245" w:type="pct"/>
                  <w:tcBorders>
                    <w:tl2br w:val="nil"/>
                    <w:tr2bl w:val="nil"/>
                  </w:tcBorders>
                  <w:tcMar>
                    <w:top w:w="0" w:type="dxa"/>
                    <w:left w:w="28" w:type="dxa"/>
                    <w:bottom w:w="0" w:type="dxa"/>
                    <w:right w:w="28" w:type="dxa"/>
                  </w:tcMar>
                  <w:vAlign w:val="center"/>
                </w:tcPr>
                <w:p w14:paraId="3891663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3D0A90B6">
                  <w:pPr>
                    <w:jc w:val="center"/>
                    <w:rPr>
                      <w:rFonts w:ascii="Times New Roman" w:hAnsi="Times New Roman" w:cs="Times New Roman"/>
                      <w:szCs w:val="21"/>
                    </w:rPr>
                  </w:pPr>
                  <w:r>
                    <w:rPr>
                      <w:rFonts w:hint="eastAsia" w:ascii="Times New Roman" w:hAnsi="Times New Roman" w:cs="Times New Roman"/>
                      <w:szCs w:val="21"/>
                    </w:rPr>
                    <w:t>250</w:t>
                  </w:r>
                </w:p>
              </w:tc>
              <w:tc>
                <w:tcPr>
                  <w:tcW w:w="134" w:type="pct"/>
                  <w:tcBorders>
                    <w:tl2br w:val="nil"/>
                    <w:tr2bl w:val="nil"/>
                  </w:tcBorders>
                  <w:tcMar>
                    <w:top w:w="0" w:type="dxa"/>
                    <w:left w:w="28" w:type="dxa"/>
                    <w:bottom w:w="0" w:type="dxa"/>
                    <w:right w:w="28" w:type="dxa"/>
                  </w:tcMar>
                  <w:vAlign w:val="center"/>
                </w:tcPr>
                <w:p w14:paraId="595E7C5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r w14:paraId="2B3A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5" w:type="pct"/>
                  <w:tcBorders>
                    <w:tl2br w:val="nil"/>
                    <w:tr2bl w:val="nil"/>
                  </w:tcBorders>
                  <w:tcMar>
                    <w:top w:w="0" w:type="dxa"/>
                    <w:left w:w="28" w:type="dxa"/>
                    <w:bottom w:w="0" w:type="dxa"/>
                    <w:right w:w="28" w:type="dxa"/>
                  </w:tcMar>
                  <w:vAlign w:val="center"/>
                </w:tcPr>
                <w:p w14:paraId="1DCF9533">
                  <w:pPr>
                    <w:jc w:val="center"/>
                    <w:rPr>
                      <w:rFonts w:ascii="Times New Roman Bold" w:hAnsi="Times New Roman Bold" w:eastAsia="宋体" w:cs="Times New Roman Bold"/>
                      <w:b/>
                      <w:bCs/>
                      <w:color w:val="000000"/>
                      <w:szCs w:val="21"/>
                    </w:rPr>
                  </w:pPr>
                  <w:r>
                    <w:rPr>
                      <w:rFonts w:hint="eastAsia" w:ascii="Times New Roman Bold" w:hAnsi="Times New Roman Bold" w:eastAsia="宋体" w:cs="Times New Roman Bold"/>
                      <w:b/>
                      <w:bCs/>
                      <w:color w:val="000000"/>
                      <w:szCs w:val="21"/>
                    </w:rPr>
                    <w:t>12</w:t>
                  </w:r>
                </w:p>
              </w:tc>
              <w:tc>
                <w:tcPr>
                  <w:tcW w:w="208" w:type="pct"/>
                  <w:gridSpan w:val="2"/>
                  <w:tcBorders>
                    <w:tl2br w:val="nil"/>
                    <w:tr2bl w:val="nil"/>
                  </w:tcBorders>
                  <w:tcMar>
                    <w:top w:w="0" w:type="dxa"/>
                    <w:left w:w="28" w:type="dxa"/>
                    <w:bottom w:w="0" w:type="dxa"/>
                    <w:right w:w="28" w:type="dxa"/>
                  </w:tcMar>
                  <w:vAlign w:val="center"/>
                </w:tcPr>
                <w:p w14:paraId="3F9B84D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食堂油烟</w:t>
                  </w:r>
                </w:p>
              </w:tc>
              <w:tc>
                <w:tcPr>
                  <w:tcW w:w="268" w:type="pct"/>
                  <w:tcBorders>
                    <w:tl2br w:val="nil"/>
                    <w:tr2bl w:val="nil"/>
                  </w:tcBorders>
                  <w:tcMar>
                    <w:top w:w="0" w:type="dxa"/>
                    <w:left w:w="28" w:type="dxa"/>
                    <w:bottom w:w="0" w:type="dxa"/>
                    <w:right w:w="28" w:type="dxa"/>
                  </w:tcMar>
                  <w:vAlign w:val="center"/>
                </w:tcPr>
                <w:p w14:paraId="4C44189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油烟</w:t>
                  </w:r>
                </w:p>
              </w:tc>
              <w:tc>
                <w:tcPr>
                  <w:tcW w:w="180" w:type="pct"/>
                  <w:tcBorders>
                    <w:tl2br w:val="nil"/>
                    <w:tr2bl w:val="nil"/>
                  </w:tcBorders>
                  <w:tcMar>
                    <w:top w:w="0" w:type="dxa"/>
                    <w:left w:w="28" w:type="dxa"/>
                    <w:bottom w:w="0" w:type="dxa"/>
                    <w:right w:w="28" w:type="dxa"/>
                  </w:tcMar>
                  <w:vAlign w:val="center"/>
                </w:tcPr>
                <w:p w14:paraId="6B70A66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249" w:type="pct"/>
                  <w:tcBorders>
                    <w:tl2br w:val="nil"/>
                    <w:tr2bl w:val="nil"/>
                  </w:tcBorders>
                  <w:tcMar>
                    <w:top w:w="0" w:type="dxa"/>
                    <w:left w:w="28" w:type="dxa"/>
                    <w:bottom w:w="0" w:type="dxa"/>
                    <w:right w:w="28" w:type="dxa"/>
                  </w:tcMar>
                  <w:vAlign w:val="center"/>
                </w:tcPr>
                <w:p w14:paraId="5BABE0A8">
                  <w:pPr>
                    <w:jc w:val="center"/>
                    <w:rPr>
                      <w:rFonts w:ascii="Times New Roman" w:hAnsi="Times New Roman" w:cs="Times New Roman"/>
                      <w:szCs w:val="21"/>
                    </w:rPr>
                  </w:pPr>
                  <w:r>
                    <w:rPr>
                      <w:rFonts w:ascii="Times New Roman" w:hAnsi="Times New Roman" w:cs="Times New Roman"/>
                      <w:szCs w:val="21"/>
                    </w:rPr>
                    <w:t>0.81</w:t>
                  </w:r>
                </w:p>
                <w:p w14:paraId="6BD66BF7">
                  <w:pPr>
                    <w:jc w:val="center"/>
                    <w:rPr>
                      <w:rFonts w:ascii="Times New Roman" w:hAnsi="Times New Roman" w:cs="Times New Roman"/>
                      <w:szCs w:val="21"/>
                    </w:rPr>
                  </w:pPr>
                  <w:r>
                    <w:rPr>
                      <w:rFonts w:ascii="Times New Roman" w:hAnsi="Times New Roman" w:cs="Times New Roman"/>
                      <w:szCs w:val="21"/>
                    </w:rPr>
                    <w:t>kg/a</w:t>
                  </w:r>
                </w:p>
              </w:tc>
              <w:tc>
                <w:tcPr>
                  <w:tcW w:w="292" w:type="pct"/>
                  <w:tcBorders>
                    <w:tl2br w:val="nil"/>
                    <w:tr2bl w:val="nil"/>
                  </w:tcBorders>
                  <w:tcMar>
                    <w:top w:w="0" w:type="dxa"/>
                    <w:left w:w="28" w:type="dxa"/>
                    <w:bottom w:w="0" w:type="dxa"/>
                    <w:right w:w="28" w:type="dxa"/>
                  </w:tcMar>
                  <w:vAlign w:val="center"/>
                </w:tcPr>
                <w:p w14:paraId="1BF8C1E4">
                  <w:pPr>
                    <w:jc w:val="center"/>
                    <w:rPr>
                      <w:rFonts w:ascii="Times New Roman" w:hAnsi="Times New Roman" w:cs="Times New Roman"/>
                      <w:szCs w:val="21"/>
                    </w:rPr>
                  </w:pPr>
                  <w:r>
                    <w:rPr>
                      <w:rFonts w:ascii="Times New Roman" w:hAnsi="Times New Roman" w:cs="Times New Roman"/>
                      <w:szCs w:val="21"/>
                    </w:rPr>
                    <w:t>0.0015</w:t>
                  </w:r>
                </w:p>
              </w:tc>
              <w:tc>
                <w:tcPr>
                  <w:tcW w:w="302" w:type="pct"/>
                  <w:tcBorders>
                    <w:tl2br w:val="nil"/>
                    <w:tr2bl w:val="nil"/>
                  </w:tcBorders>
                  <w:tcMar>
                    <w:top w:w="0" w:type="dxa"/>
                    <w:left w:w="28" w:type="dxa"/>
                    <w:bottom w:w="0" w:type="dxa"/>
                    <w:right w:w="28" w:type="dxa"/>
                  </w:tcMar>
                  <w:vAlign w:val="center"/>
                </w:tcPr>
                <w:p w14:paraId="313315AE">
                  <w:pPr>
                    <w:jc w:val="center"/>
                    <w:rPr>
                      <w:rFonts w:ascii="Times New Roman" w:hAnsi="Times New Roman" w:cs="Times New Roman"/>
                      <w:szCs w:val="21"/>
                    </w:rPr>
                  </w:pPr>
                  <w:r>
                    <w:rPr>
                      <w:rFonts w:ascii="Times New Roman" w:hAnsi="Times New Roman" w:cs="Times New Roman"/>
                      <w:szCs w:val="21"/>
                    </w:rPr>
                    <w:t>0.75</w:t>
                  </w:r>
                </w:p>
              </w:tc>
              <w:tc>
                <w:tcPr>
                  <w:tcW w:w="734" w:type="pct"/>
                  <w:tcBorders>
                    <w:tl2br w:val="nil"/>
                    <w:tr2bl w:val="nil"/>
                  </w:tcBorders>
                  <w:tcMar>
                    <w:top w:w="0" w:type="dxa"/>
                    <w:left w:w="28" w:type="dxa"/>
                    <w:bottom w:w="0" w:type="dxa"/>
                    <w:right w:w="28" w:type="dxa"/>
                  </w:tcMar>
                  <w:vAlign w:val="center"/>
                </w:tcPr>
                <w:p w14:paraId="0FD3837D">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油烟经油烟净化器处理后经烟道引至屋顶排放</w:t>
                  </w:r>
                </w:p>
              </w:tc>
              <w:tc>
                <w:tcPr>
                  <w:tcW w:w="206" w:type="pct"/>
                  <w:tcBorders>
                    <w:tl2br w:val="nil"/>
                    <w:tr2bl w:val="nil"/>
                  </w:tcBorders>
                  <w:tcMar>
                    <w:top w:w="0" w:type="dxa"/>
                    <w:left w:w="28" w:type="dxa"/>
                    <w:bottom w:w="0" w:type="dxa"/>
                    <w:right w:w="28" w:type="dxa"/>
                  </w:tcMar>
                  <w:vAlign w:val="center"/>
                </w:tcPr>
                <w:p w14:paraId="40680CA1">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2000</w:t>
                  </w:r>
                </w:p>
              </w:tc>
              <w:tc>
                <w:tcPr>
                  <w:tcW w:w="264" w:type="pct"/>
                  <w:tcBorders>
                    <w:tl2br w:val="nil"/>
                    <w:tr2bl w:val="nil"/>
                  </w:tcBorders>
                  <w:tcMar>
                    <w:top w:w="0" w:type="dxa"/>
                    <w:left w:w="28" w:type="dxa"/>
                    <w:bottom w:w="0" w:type="dxa"/>
                    <w:right w:w="28" w:type="dxa"/>
                  </w:tcMar>
                  <w:vAlign w:val="center"/>
                </w:tcPr>
                <w:p w14:paraId="72B95B7F">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w:t>
                  </w:r>
                </w:p>
              </w:tc>
              <w:tc>
                <w:tcPr>
                  <w:tcW w:w="278" w:type="pct"/>
                  <w:tcBorders>
                    <w:tl2br w:val="nil"/>
                    <w:tr2bl w:val="nil"/>
                  </w:tcBorders>
                  <w:tcMar>
                    <w:top w:w="0" w:type="dxa"/>
                    <w:left w:w="28" w:type="dxa"/>
                    <w:bottom w:w="0" w:type="dxa"/>
                    <w:right w:w="28" w:type="dxa"/>
                  </w:tcMar>
                  <w:vAlign w:val="center"/>
                </w:tcPr>
                <w:p w14:paraId="4BF7FD43">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60%</w:t>
                  </w:r>
                </w:p>
              </w:tc>
              <w:tc>
                <w:tcPr>
                  <w:tcW w:w="196" w:type="pct"/>
                  <w:tcBorders>
                    <w:tl2br w:val="nil"/>
                    <w:tr2bl w:val="nil"/>
                  </w:tcBorders>
                  <w:tcMar>
                    <w:top w:w="0" w:type="dxa"/>
                    <w:left w:w="28" w:type="dxa"/>
                    <w:bottom w:w="0" w:type="dxa"/>
                    <w:right w:w="28" w:type="dxa"/>
                  </w:tcMar>
                  <w:vAlign w:val="center"/>
                </w:tcPr>
                <w:p w14:paraId="03BBE35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是</w:t>
                  </w:r>
                </w:p>
              </w:tc>
              <w:tc>
                <w:tcPr>
                  <w:tcW w:w="234" w:type="pct"/>
                  <w:tcBorders>
                    <w:tl2br w:val="nil"/>
                    <w:tr2bl w:val="nil"/>
                  </w:tcBorders>
                  <w:tcMar>
                    <w:top w:w="0" w:type="dxa"/>
                    <w:left w:w="28" w:type="dxa"/>
                    <w:bottom w:w="0" w:type="dxa"/>
                    <w:right w:w="28" w:type="dxa"/>
                  </w:tcMar>
                  <w:vAlign w:val="center"/>
                </w:tcPr>
                <w:p w14:paraId="5A0E091A">
                  <w:pPr>
                    <w:jc w:val="center"/>
                    <w:rPr>
                      <w:rFonts w:ascii="Times New Roman" w:hAnsi="Times New Roman" w:cs="Times New Roman"/>
                      <w:szCs w:val="21"/>
                    </w:rPr>
                  </w:pPr>
                  <w:r>
                    <w:rPr>
                      <w:rFonts w:hint="eastAsia" w:ascii="Times New Roman" w:hAnsi="Times New Roman" w:cs="Times New Roman"/>
                      <w:szCs w:val="21"/>
                    </w:rPr>
                    <w:t>0.324kg/a</w:t>
                  </w:r>
                </w:p>
              </w:tc>
              <w:tc>
                <w:tcPr>
                  <w:tcW w:w="225" w:type="pct"/>
                  <w:tcBorders>
                    <w:tl2br w:val="nil"/>
                    <w:tr2bl w:val="nil"/>
                  </w:tcBorders>
                  <w:tcMar>
                    <w:top w:w="0" w:type="dxa"/>
                    <w:left w:w="28" w:type="dxa"/>
                    <w:bottom w:w="0" w:type="dxa"/>
                    <w:right w:w="28" w:type="dxa"/>
                  </w:tcMar>
                  <w:vAlign w:val="center"/>
                </w:tcPr>
                <w:p w14:paraId="67800BA0">
                  <w:pPr>
                    <w:jc w:val="center"/>
                    <w:rPr>
                      <w:rFonts w:ascii="Times New Roman" w:hAnsi="Times New Roman" w:cs="Times New Roman"/>
                      <w:szCs w:val="21"/>
                    </w:rPr>
                  </w:pPr>
                  <w:r>
                    <w:rPr>
                      <w:rFonts w:hint="eastAsia" w:ascii="Times New Roman" w:hAnsi="Times New Roman" w:cs="Times New Roman"/>
                      <w:szCs w:val="21"/>
                    </w:rPr>
                    <w:t>0.006</w:t>
                  </w:r>
                </w:p>
              </w:tc>
              <w:tc>
                <w:tcPr>
                  <w:tcW w:w="302" w:type="pct"/>
                  <w:tcBorders>
                    <w:tl2br w:val="nil"/>
                    <w:tr2bl w:val="nil"/>
                  </w:tcBorders>
                  <w:tcMar>
                    <w:top w:w="0" w:type="dxa"/>
                    <w:left w:w="28" w:type="dxa"/>
                    <w:bottom w:w="0" w:type="dxa"/>
                    <w:right w:w="28" w:type="dxa"/>
                  </w:tcMar>
                  <w:vAlign w:val="center"/>
                </w:tcPr>
                <w:p w14:paraId="364AE985">
                  <w:pPr>
                    <w:jc w:val="center"/>
                    <w:rPr>
                      <w:rFonts w:ascii="Times New Roman" w:hAnsi="Times New Roman" w:cs="Times New Roman"/>
                      <w:szCs w:val="21"/>
                    </w:rPr>
                  </w:pPr>
                  <w:r>
                    <w:rPr>
                      <w:rFonts w:hint="eastAsia" w:ascii="Times New Roman" w:hAnsi="Times New Roman" w:cs="Times New Roman"/>
                      <w:szCs w:val="21"/>
                    </w:rPr>
                    <w:t>0.3</w:t>
                  </w:r>
                </w:p>
              </w:tc>
              <w:tc>
                <w:tcPr>
                  <w:tcW w:w="201" w:type="pct"/>
                  <w:tcBorders>
                    <w:tl2br w:val="nil"/>
                    <w:tr2bl w:val="nil"/>
                  </w:tcBorders>
                  <w:tcMar>
                    <w:top w:w="0" w:type="dxa"/>
                    <w:left w:w="28" w:type="dxa"/>
                    <w:bottom w:w="0" w:type="dxa"/>
                    <w:right w:w="28" w:type="dxa"/>
                  </w:tcMar>
                  <w:vAlign w:val="center"/>
                </w:tcPr>
                <w:p w14:paraId="72ED587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540</w:t>
                  </w:r>
                </w:p>
              </w:tc>
              <w:tc>
                <w:tcPr>
                  <w:tcW w:w="245" w:type="pct"/>
                  <w:tcBorders>
                    <w:tl2br w:val="nil"/>
                    <w:tr2bl w:val="nil"/>
                  </w:tcBorders>
                  <w:tcMar>
                    <w:top w:w="0" w:type="dxa"/>
                    <w:left w:w="28" w:type="dxa"/>
                    <w:bottom w:w="0" w:type="dxa"/>
                    <w:right w:w="28" w:type="dxa"/>
                  </w:tcMar>
                  <w:vAlign w:val="center"/>
                </w:tcPr>
                <w:p w14:paraId="16680CE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358" w:type="pct"/>
                  <w:tcBorders>
                    <w:tl2br w:val="nil"/>
                    <w:tr2bl w:val="nil"/>
                  </w:tcBorders>
                  <w:tcMar>
                    <w:top w:w="0" w:type="dxa"/>
                    <w:left w:w="28" w:type="dxa"/>
                    <w:bottom w:w="0" w:type="dxa"/>
                    <w:right w:w="28" w:type="dxa"/>
                  </w:tcMar>
                  <w:vAlign w:val="center"/>
                </w:tcPr>
                <w:p w14:paraId="30C39F9C">
                  <w:pPr>
                    <w:jc w:val="center"/>
                    <w:rPr>
                      <w:rFonts w:ascii="Times New Roman" w:hAnsi="Times New Roman" w:cs="Times New Roman"/>
                      <w:szCs w:val="21"/>
                    </w:rPr>
                  </w:pPr>
                  <w:r>
                    <w:rPr>
                      <w:rFonts w:ascii="Times New Roman" w:hAnsi="Times New Roman" w:eastAsia="宋体" w:cs="Times New Roman"/>
                      <w:sz w:val="24"/>
                    </w:rPr>
                    <w:t>≤2.0</w:t>
                  </w:r>
                </w:p>
              </w:tc>
              <w:tc>
                <w:tcPr>
                  <w:tcW w:w="134" w:type="pct"/>
                  <w:tcBorders>
                    <w:tl2br w:val="nil"/>
                    <w:tr2bl w:val="nil"/>
                  </w:tcBorders>
                  <w:tcMar>
                    <w:top w:w="0" w:type="dxa"/>
                    <w:left w:w="28" w:type="dxa"/>
                    <w:bottom w:w="0" w:type="dxa"/>
                    <w:right w:w="28" w:type="dxa"/>
                  </w:tcMar>
                  <w:vAlign w:val="center"/>
                </w:tcPr>
                <w:p w14:paraId="5BCEE52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达标</w:t>
                  </w:r>
                </w:p>
              </w:tc>
            </w:tr>
          </w:tbl>
          <w:p w14:paraId="70DBE143"/>
        </w:tc>
      </w:tr>
    </w:tbl>
    <w:p w14:paraId="2BFF90CD">
      <w:pPr>
        <w:adjustRightInd w:val="0"/>
        <w:snapToGrid w:val="0"/>
        <w:jc w:val="center"/>
        <w:rPr>
          <w:b/>
        </w:rPr>
        <w:sectPr>
          <w:pgSz w:w="16840" w:h="11907" w:orient="landscape"/>
          <w:pgMar w:top="1800" w:right="1440" w:bottom="1800" w:left="1440" w:header="851" w:footer="992" w:gutter="0"/>
          <w:pgNumType w:fmt="decimal"/>
          <w:cols w:space="720" w:num="1"/>
          <w:docGrid w:linePitch="312" w:charSpace="0"/>
        </w:sectPr>
      </w:pPr>
    </w:p>
    <w:tbl>
      <w:tblPr>
        <w:tblStyle w:val="28"/>
        <w:tblW w:w="874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62"/>
        <w:gridCol w:w="8285"/>
      </w:tblGrid>
      <w:tr w14:paraId="76A16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425" w:hRule="atLeast"/>
          <w:jc w:val="center"/>
        </w:trPr>
        <w:tc>
          <w:tcPr>
            <w:tcW w:w="462" w:type="dxa"/>
            <w:tcBorders>
              <w:tl2br w:val="nil"/>
              <w:tr2bl w:val="nil"/>
            </w:tcBorders>
            <w:tcMar>
              <w:left w:w="28" w:type="dxa"/>
              <w:right w:w="28" w:type="dxa"/>
            </w:tcMar>
            <w:vAlign w:val="center"/>
          </w:tcPr>
          <w:p w14:paraId="0662CA90">
            <w:pPr>
              <w:pStyle w:val="25"/>
              <w:adjustRightInd w:val="0"/>
              <w:snapToGrid w:val="0"/>
              <w:spacing w:beforeAutospacing="0" w:afterAutospacing="0"/>
              <w:jc w:val="center"/>
              <w:rPr>
                <w:rFonts w:cs="宋体"/>
                <w:b/>
                <w:bCs/>
                <w:kern w:val="2"/>
                <w:szCs w:val="24"/>
              </w:rPr>
            </w:pPr>
            <w:r>
              <w:rPr>
                <w:rFonts w:hint="default" w:cs="宋体"/>
                <w:b/>
                <w:bCs/>
                <w:kern w:val="2"/>
                <w:szCs w:val="24"/>
              </w:rPr>
              <w:t>运</w:t>
            </w:r>
          </w:p>
          <w:p w14:paraId="1701B1BC">
            <w:pPr>
              <w:pStyle w:val="25"/>
              <w:adjustRightInd w:val="0"/>
              <w:snapToGrid w:val="0"/>
              <w:spacing w:beforeAutospacing="0" w:afterAutospacing="0"/>
              <w:jc w:val="center"/>
              <w:rPr>
                <w:rFonts w:cs="宋体"/>
                <w:b/>
                <w:bCs/>
                <w:kern w:val="2"/>
                <w:szCs w:val="24"/>
              </w:rPr>
            </w:pPr>
            <w:r>
              <w:rPr>
                <w:rFonts w:hint="default" w:cs="宋体"/>
                <w:b/>
                <w:bCs/>
                <w:kern w:val="2"/>
                <w:szCs w:val="24"/>
              </w:rPr>
              <w:t>营</w:t>
            </w:r>
          </w:p>
          <w:p w14:paraId="370C2E59">
            <w:pPr>
              <w:pStyle w:val="25"/>
              <w:adjustRightInd w:val="0"/>
              <w:snapToGrid w:val="0"/>
              <w:spacing w:beforeAutospacing="0" w:afterAutospacing="0"/>
              <w:jc w:val="center"/>
              <w:rPr>
                <w:rFonts w:cs="宋体"/>
                <w:b/>
                <w:bCs/>
                <w:kern w:val="2"/>
                <w:szCs w:val="24"/>
              </w:rPr>
            </w:pPr>
            <w:r>
              <w:rPr>
                <w:rFonts w:hint="default" w:cs="宋体"/>
                <w:b/>
                <w:bCs/>
                <w:kern w:val="2"/>
                <w:szCs w:val="24"/>
              </w:rPr>
              <w:t>期</w:t>
            </w:r>
          </w:p>
          <w:p w14:paraId="695AD6E2">
            <w:pPr>
              <w:pStyle w:val="25"/>
              <w:adjustRightInd w:val="0"/>
              <w:snapToGrid w:val="0"/>
              <w:spacing w:beforeAutospacing="0" w:afterAutospacing="0"/>
              <w:jc w:val="center"/>
              <w:rPr>
                <w:rFonts w:cs="宋体"/>
                <w:b/>
                <w:bCs/>
                <w:kern w:val="2"/>
                <w:szCs w:val="24"/>
              </w:rPr>
            </w:pPr>
            <w:r>
              <w:rPr>
                <w:rFonts w:hint="default" w:cs="宋体"/>
                <w:b/>
                <w:bCs/>
                <w:kern w:val="2"/>
                <w:szCs w:val="24"/>
              </w:rPr>
              <w:t>环</w:t>
            </w:r>
          </w:p>
          <w:p w14:paraId="5CF2920A">
            <w:pPr>
              <w:pStyle w:val="25"/>
              <w:adjustRightInd w:val="0"/>
              <w:snapToGrid w:val="0"/>
              <w:spacing w:beforeAutospacing="0" w:afterAutospacing="0"/>
              <w:jc w:val="center"/>
              <w:rPr>
                <w:rFonts w:cs="宋体"/>
                <w:b/>
                <w:bCs/>
                <w:kern w:val="2"/>
                <w:szCs w:val="24"/>
              </w:rPr>
            </w:pPr>
            <w:r>
              <w:rPr>
                <w:rFonts w:hint="default" w:cs="宋体"/>
                <w:b/>
                <w:bCs/>
                <w:kern w:val="2"/>
                <w:szCs w:val="24"/>
              </w:rPr>
              <w:t>境</w:t>
            </w:r>
          </w:p>
          <w:p w14:paraId="60D95FB9">
            <w:pPr>
              <w:pStyle w:val="25"/>
              <w:adjustRightInd w:val="0"/>
              <w:snapToGrid w:val="0"/>
              <w:spacing w:beforeAutospacing="0" w:afterAutospacing="0"/>
              <w:jc w:val="center"/>
              <w:rPr>
                <w:rFonts w:cs="宋体"/>
                <w:b/>
                <w:bCs/>
                <w:kern w:val="2"/>
                <w:szCs w:val="24"/>
              </w:rPr>
            </w:pPr>
            <w:r>
              <w:rPr>
                <w:rFonts w:hint="default" w:cs="宋体"/>
                <w:b/>
                <w:bCs/>
                <w:kern w:val="2"/>
                <w:szCs w:val="24"/>
              </w:rPr>
              <w:t>影</w:t>
            </w:r>
          </w:p>
          <w:p w14:paraId="0E3A3119">
            <w:pPr>
              <w:pStyle w:val="25"/>
              <w:adjustRightInd w:val="0"/>
              <w:snapToGrid w:val="0"/>
              <w:spacing w:beforeAutospacing="0" w:afterAutospacing="0"/>
              <w:jc w:val="center"/>
              <w:rPr>
                <w:rFonts w:cs="宋体"/>
                <w:b/>
                <w:bCs/>
                <w:kern w:val="2"/>
                <w:szCs w:val="24"/>
              </w:rPr>
            </w:pPr>
            <w:r>
              <w:rPr>
                <w:rFonts w:hint="default" w:cs="宋体"/>
                <w:b/>
                <w:bCs/>
                <w:kern w:val="2"/>
                <w:szCs w:val="24"/>
              </w:rPr>
              <w:t>响</w:t>
            </w:r>
          </w:p>
          <w:p w14:paraId="697A4D58">
            <w:pPr>
              <w:pStyle w:val="25"/>
              <w:adjustRightInd w:val="0"/>
              <w:snapToGrid w:val="0"/>
              <w:spacing w:beforeAutospacing="0" w:afterAutospacing="0"/>
              <w:jc w:val="center"/>
              <w:rPr>
                <w:rFonts w:cs="宋体"/>
                <w:b/>
                <w:bCs/>
                <w:kern w:val="2"/>
                <w:szCs w:val="24"/>
              </w:rPr>
            </w:pPr>
            <w:r>
              <w:rPr>
                <w:rFonts w:hint="default" w:cs="宋体"/>
                <w:b/>
                <w:bCs/>
                <w:kern w:val="2"/>
                <w:szCs w:val="24"/>
              </w:rPr>
              <w:t>和</w:t>
            </w:r>
          </w:p>
          <w:p w14:paraId="13F60AD4">
            <w:pPr>
              <w:pStyle w:val="25"/>
              <w:adjustRightInd w:val="0"/>
              <w:snapToGrid w:val="0"/>
              <w:spacing w:beforeAutospacing="0" w:afterAutospacing="0"/>
              <w:jc w:val="center"/>
              <w:rPr>
                <w:rFonts w:cs="宋体"/>
                <w:b/>
                <w:bCs/>
                <w:kern w:val="2"/>
                <w:szCs w:val="24"/>
              </w:rPr>
            </w:pPr>
            <w:r>
              <w:rPr>
                <w:rFonts w:hint="default" w:cs="宋体"/>
                <w:b/>
                <w:bCs/>
                <w:kern w:val="2"/>
                <w:szCs w:val="24"/>
              </w:rPr>
              <w:t>保</w:t>
            </w:r>
          </w:p>
          <w:p w14:paraId="610A2308">
            <w:pPr>
              <w:pStyle w:val="25"/>
              <w:adjustRightInd w:val="0"/>
              <w:snapToGrid w:val="0"/>
              <w:spacing w:beforeAutospacing="0" w:afterAutospacing="0"/>
              <w:jc w:val="center"/>
              <w:rPr>
                <w:rFonts w:cs="宋体"/>
                <w:b/>
                <w:bCs/>
                <w:kern w:val="2"/>
                <w:szCs w:val="24"/>
              </w:rPr>
            </w:pPr>
            <w:r>
              <w:rPr>
                <w:rFonts w:hint="default" w:cs="宋体"/>
                <w:b/>
                <w:bCs/>
                <w:kern w:val="2"/>
                <w:szCs w:val="24"/>
              </w:rPr>
              <w:t>护</w:t>
            </w:r>
          </w:p>
          <w:p w14:paraId="5CEED6B3">
            <w:pPr>
              <w:pStyle w:val="25"/>
              <w:adjustRightInd w:val="0"/>
              <w:snapToGrid w:val="0"/>
              <w:spacing w:beforeAutospacing="0" w:afterAutospacing="0"/>
              <w:jc w:val="center"/>
              <w:rPr>
                <w:rFonts w:cs="宋体"/>
                <w:b/>
                <w:bCs/>
                <w:kern w:val="2"/>
                <w:szCs w:val="24"/>
              </w:rPr>
            </w:pPr>
            <w:r>
              <w:rPr>
                <w:rFonts w:hint="default" w:cs="宋体"/>
                <w:b/>
                <w:bCs/>
                <w:kern w:val="2"/>
                <w:szCs w:val="24"/>
              </w:rPr>
              <w:t>措</w:t>
            </w:r>
          </w:p>
          <w:p w14:paraId="51AF8757">
            <w:pPr>
              <w:pStyle w:val="25"/>
              <w:adjustRightInd w:val="0"/>
              <w:snapToGrid w:val="0"/>
              <w:spacing w:beforeAutospacing="0" w:afterAutospacing="0"/>
              <w:jc w:val="center"/>
              <w:rPr>
                <w:rFonts w:hint="default" w:ascii="Times New Roman" w:hAnsi="Times New Roman" w:eastAsia="仿宋"/>
                <w:bCs/>
                <w:szCs w:val="21"/>
              </w:rPr>
            </w:pPr>
            <w:r>
              <w:rPr>
                <w:rFonts w:hint="default" w:cs="宋体"/>
                <w:b/>
                <w:bCs/>
                <w:kern w:val="2"/>
                <w:szCs w:val="24"/>
              </w:rPr>
              <w:t>施</w:t>
            </w:r>
          </w:p>
        </w:tc>
        <w:tc>
          <w:tcPr>
            <w:tcW w:w="8285" w:type="dxa"/>
            <w:tcBorders>
              <w:tl2br w:val="nil"/>
              <w:tr2bl w:val="nil"/>
            </w:tcBorders>
            <w:vAlign w:val="center"/>
          </w:tcPr>
          <w:p w14:paraId="55E7E72D">
            <w:pPr>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2.2废气源强核算</w:t>
            </w:r>
          </w:p>
          <w:p w14:paraId="3C9C89A2">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 xml:space="preserve">运营期本项目废气主要源自道路运输扬尘，石料堆棚扬尘，石料卸料扬尘，冷料上料粉尘，皮带运输粉尘，矿粉立仓粉尘，柴油储罐呼吸及动静密封点废气，烘干、筛分、热骨料仓废气，搅拌粉尘，搅拌罐沥青烟气、成品出料沥青烟气，沥青储罐呼吸废气，食堂油烟。  </w:t>
            </w:r>
          </w:p>
          <w:p w14:paraId="5C58CEFC">
            <w:pPr>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2.2.1道路运输扬尘</w:t>
            </w:r>
          </w:p>
          <w:p w14:paraId="56099028">
            <w:pPr>
              <w:spacing w:line="360" w:lineRule="auto"/>
              <w:ind w:firstLine="482" w:firstLineChars="200"/>
              <w:rPr>
                <w:rFonts w:ascii="Times New Roman" w:hAnsi="Times New Roman" w:eastAsia="宋体" w:cs="Times New Roman"/>
                <w:sz w:val="24"/>
              </w:rPr>
            </w:pPr>
            <w:r>
              <w:rPr>
                <w:rFonts w:hint="eastAsia" w:ascii="Times New Roman" w:hAnsi="Times New Roman" w:eastAsia="宋体" w:cs="Times New Roman"/>
                <w:b/>
                <w:bCs/>
                <w:sz w:val="24"/>
              </w:rPr>
              <w:t>源强核算：</w:t>
            </w:r>
            <w:r>
              <w:rPr>
                <w:rFonts w:hint="eastAsia" w:ascii="Times New Roman" w:hAnsi="Times New Roman" w:eastAsia="宋体" w:cs="Times New Roman"/>
                <w:sz w:val="24"/>
              </w:rPr>
              <w:t>本项目生产所需石料由重型自卸卡车运输进厂至原料堆棚暂存，沥青采用专用封闭式保温罐车运输进厂，通过密闭管道经输送泵直接打入厂区沥青储罐内暂存，矿粉采用密闭式粉粒物料运输车（散装罐车）运送至厂区，卸料时通过车载空压机以气力输送方式，经密闭管道直接泵入矿粉立仓暂存，凹凸棒石破碎成品从厂区北侧临泽县奋君矿业有限公司使用铲车/装载机直接运输至厂区冷料仓上料。</w:t>
            </w:r>
          </w:p>
          <w:p w14:paraId="47EC3CFA">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本项目生产所需原辅料和成品运输过程中会产生一定量的道路运输扬尘，属无组织排放，其产生量受车速、路面清洁度及气象条件等因素影响。</w:t>
            </w:r>
          </w:p>
          <w:p w14:paraId="4CEC129E">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本项目道路运输扬尘</w:t>
            </w:r>
            <w:r>
              <w:rPr>
                <w:rFonts w:hint="eastAsia" w:ascii="Times New Roman" w:hAnsi="Times New Roman" w:eastAsia="宋体" w:cs="Times New Roman"/>
                <w:sz w:val="24"/>
              </w:rPr>
              <w:t>产生量</w:t>
            </w:r>
            <w:r>
              <w:rPr>
                <w:rFonts w:ascii="Times New Roman" w:hAnsi="Times New Roman" w:eastAsia="宋体" w:cs="Times New Roman"/>
                <w:sz w:val="24"/>
              </w:rPr>
              <w:t>采用上海港环境保护中心和武汉水运工程学院提出的经验公式进行估算。具体公式为：</w:t>
            </w:r>
          </w:p>
          <w:p w14:paraId="17932266">
            <w:pPr>
              <w:widowControl/>
              <w:autoSpaceDE w:val="0"/>
              <w:autoSpaceDN w:val="0"/>
              <w:adjustRightInd w:val="0"/>
              <w:snapToGrid w:val="0"/>
              <w:spacing w:line="360" w:lineRule="auto"/>
              <w:ind w:firstLine="480" w:firstLineChars="200"/>
              <w:textAlignment w:val="baseline"/>
              <w:rPr>
                <w:rFonts w:ascii="Times New Roman" w:hAnsi="Times New Roman" w:eastAsia="仿宋_GB2312" w:cs="Times New Roman"/>
                <w:snapToGrid w:val="0"/>
                <w:kern w:val="0"/>
                <w:position w:val="-13"/>
                <w:sz w:val="24"/>
                <w:szCs w:val="21"/>
              </w:rPr>
            </w:pPr>
            <w:r>
              <w:rPr>
                <w:rFonts w:ascii="Times New Roman" w:hAnsi="Times New Roman" w:eastAsia="仿宋_GB2312" w:cs="Times New Roman"/>
                <w:snapToGrid w:val="0"/>
                <w:kern w:val="0"/>
                <w:position w:val="-13"/>
                <w:sz w:val="24"/>
                <w:szCs w:val="21"/>
                <w:lang w:eastAsia="en-US"/>
              </w:rPr>
              <w:drawing>
                <wp:anchor distT="0" distB="0" distL="0" distR="0" simplePos="0" relativeHeight="251669504" behindDoc="1" locked="0" layoutInCell="1" allowOverlap="1">
                  <wp:simplePos x="0" y="0"/>
                  <wp:positionH relativeFrom="column">
                    <wp:posOffset>998220</wp:posOffset>
                  </wp:positionH>
                  <wp:positionV relativeFrom="paragraph">
                    <wp:posOffset>137160</wp:posOffset>
                  </wp:positionV>
                  <wp:extent cx="2728595" cy="478790"/>
                  <wp:effectExtent l="0" t="0" r="14605" b="3810"/>
                  <wp:wrapNone/>
                  <wp:docPr id="1" name="IM 18"/>
                  <wp:cNvGraphicFramePr/>
                  <a:graphic xmlns:a="http://schemas.openxmlformats.org/drawingml/2006/main">
                    <a:graphicData uri="http://schemas.openxmlformats.org/drawingml/2006/picture">
                      <pic:pic xmlns:pic="http://schemas.openxmlformats.org/drawingml/2006/picture">
                        <pic:nvPicPr>
                          <pic:cNvPr id="1" name="IM 18"/>
                          <pic:cNvPicPr/>
                        </pic:nvPicPr>
                        <pic:blipFill>
                          <a:blip r:embed="rId13" cstate="print"/>
                          <a:srcRect/>
                          <a:stretch>
                            <a:fillRect/>
                          </a:stretch>
                        </pic:blipFill>
                        <pic:spPr>
                          <a:xfrm>
                            <a:off x="0" y="0"/>
                            <a:ext cx="2728595" cy="478790"/>
                          </a:xfrm>
                          <a:prstGeom prst="rect">
                            <a:avLst/>
                          </a:prstGeom>
                        </pic:spPr>
                      </pic:pic>
                    </a:graphicData>
                  </a:graphic>
                </wp:anchor>
              </w:drawing>
            </w:r>
          </w:p>
          <w:p w14:paraId="029B6538">
            <w:pPr>
              <w:widowControl/>
              <w:autoSpaceDE w:val="0"/>
              <w:autoSpaceDN w:val="0"/>
              <w:adjustRightInd w:val="0"/>
              <w:snapToGrid w:val="0"/>
              <w:spacing w:line="360" w:lineRule="auto"/>
              <w:ind w:firstLine="480" w:firstLineChars="200"/>
              <w:jc w:val="center"/>
              <w:textAlignment w:val="baseline"/>
              <w:rPr>
                <w:rFonts w:ascii="Times New Roman" w:hAnsi="Times New Roman" w:eastAsia="仿宋_GB2312" w:cs="Times New Roman"/>
                <w:snapToGrid w:val="0"/>
                <w:kern w:val="0"/>
                <w:sz w:val="24"/>
                <w:szCs w:val="21"/>
              </w:rPr>
            </w:pPr>
          </w:p>
          <w:p w14:paraId="1E86D7BC">
            <w:pPr>
              <w:widowControl/>
              <w:autoSpaceDE w:val="0"/>
              <w:autoSpaceDN w:val="0"/>
              <w:adjustRightInd w:val="0"/>
              <w:snapToGrid w:val="0"/>
              <w:spacing w:line="360" w:lineRule="auto"/>
              <w:ind w:firstLine="472" w:firstLineChars="200"/>
              <w:textAlignment w:val="baseline"/>
              <w:rPr>
                <w:rFonts w:ascii="Times New Roman" w:hAnsi="Times New Roman" w:eastAsia="仿宋_GB2312" w:cs="Times New Roman"/>
                <w:snapToGrid w:val="0"/>
                <w:spacing w:val="-2"/>
                <w:position w:val="3"/>
                <w:sz w:val="24"/>
                <w:szCs w:val="21"/>
              </w:rPr>
            </w:pPr>
          </w:p>
          <w:p w14:paraId="360EF83A">
            <w:pPr>
              <w:widowControl/>
              <w:autoSpaceDE w:val="0"/>
              <w:autoSpaceDN w:val="0"/>
              <w:adjustRightInd w:val="0"/>
              <w:snapToGrid w:val="0"/>
              <w:spacing w:line="360" w:lineRule="auto"/>
              <w:ind w:firstLine="472" w:firstLineChars="200"/>
              <w:textAlignment w:val="baseline"/>
              <w:rPr>
                <w:rFonts w:ascii="Times New Roman" w:hAnsi="Times New Roman" w:eastAsia="仿宋_GB2312" w:cs="Times New Roman"/>
                <w:snapToGrid w:val="0"/>
                <w:sz w:val="24"/>
                <w:szCs w:val="21"/>
              </w:rPr>
            </w:pPr>
            <w:r>
              <w:rPr>
                <w:rFonts w:ascii="Times New Roman" w:hAnsi="Times New Roman" w:eastAsia="仿宋_GB2312" w:cs="Times New Roman"/>
                <w:snapToGrid w:val="0"/>
                <w:spacing w:val="-2"/>
                <w:position w:val="3"/>
                <w:sz w:val="24"/>
                <w:szCs w:val="21"/>
              </w:rPr>
              <w:t>式中：Q——汽车行驶的起尘量（kg/辆</w:t>
            </w:r>
            <w:r>
              <w:rPr>
                <w:rFonts w:ascii="Times New Roman" w:hAnsi="Times New Roman" w:eastAsia="仿宋_GB2312" w:cs="Times New Roman"/>
                <w:snapToGrid w:val="0"/>
                <w:spacing w:val="-10"/>
                <w:position w:val="3"/>
                <w:sz w:val="24"/>
                <w:szCs w:val="21"/>
              </w:rPr>
              <w:t>）；</w:t>
            </w:r>
          </w:p>
          <w:p w14:paraId="7755AB00">
            <w:pPr>
              <w:widowControl/>
              <w:autoSpaceDE w:val="0"/>
              <w:autoSpaceDN w:val="0"/>
              <w:adjustRightInd w:val="0"/>
              <w:snapToGrid w:val="0"/>
              <w:spacing w:line="360" w:lineRule="auto"/>
              <w:ind w:firstLine="1150" w:firstLineChars="500"/>
              <w:textAlignment w:val="baseline"/>
              <w:rPr>
                <w:rFonts w:ascii="Times New Roman" w:hAnsi="Times New Roman" w:eastAsia="仿宋_GB2312" w:cs="Times New Roman"/>
                <w:snapToGrid w:val="0"/>
                <w:spacing w:val="-5"/>
                <w:sz w:val="24"/>
                <w:szCs w:val="21"/>
              </w:rPr>
            </w:pPr>
            <w:r>
              <w:rPr>
                <w:rFonts w:ascii="Times New Roman" w:hAnsi="Times New Roman" w:eastAsia="仿宋_GB2312" w:cs="Times New Roman"/>
                <w:snapToGrid w:val="0"/>
                <w:spacing w:val="-5"/>
                <w:sz w:val="24"/>
                <w:szCs w:val="21"/>
              </w:rPr>
              <w:t>V——汽车行驶速度（km/h</w:t>
            </w:r>
            <w:r>
              <w:rPr>
                <w:rFonts w:ascii="Times New Roman" w:hAnsi="Times New Roman" w:eastAsia="仿宋_GB2312" w:cs="Times New Roman"/>
                <w:snapToGrid w:val="0"/>
                <w:spacing w:val="2"/>
                <w:sz w:val="24"/>
                <w:szCs w:val="21"/>
              </w:rPr>
              <w:t>），</w:t>
            </w:r>
            <w:r>
              <w:rPr>
                <w:rFonts w:ascii="Times New Roman" w:hAnsi="Times New Roman" w:eastAsia="仿宋_GB2312" w:cs="Times New Roman"/>
                <w:snapToGrid w:val="0"/>
                <w:spacing w:val="-5"/>
                <w:sz w:val="24"/>
                <w:szCs w:val="21"/>
              </w:rPr>
              <w:t>本项目取</w:t>
            </w:r>
            <w:r>
              <w:rPr>
                <w:rFonts w:hint="eastAsia" w:ascii="Times New Roman" w:hAnsi="Times New Roman" w:eastAsia="仿宋_GB2312" w:cs="Times New Roman"/>
                <w:snapToGrid w:val="0"/>
                <w:spacing w:val="-5"/>
                <w:sz w:val="24"/>
                <w:szCs w:val="21"/>
              </w:rPr>
              <w:t>5</w:t>
            </w:r>
            <w:r>
              <w:rPr>
                <w:rFonts w:ascii="Times New Roman" w:hAnsi="Times New Roman" w:eastAsia="仿宋_GB2312" w:cs="Times New Roman"/>
                <w:snapToGrid w:val="0"/>
                <w:spacing w:val="-5"/>
                <w:sz w:val="24"/>
                <w:szCs w:val="21"/>
              </w:rPr>
              <w:t>km/h；</w:t>
            </w:r>
          </w:p>
          <w:p w14:paraId="2C8E085A">
            <w:pPr>
              <w:widowControl/>
              <w:autoSpaceDE w:val="0"/>
              <w:autoSpaceDN w:val="0"/>
              <w:adjustRightInd w:val="0"/>
              <w:snapToGrid w:val="0"/>
              <w:spacing w:line="360" w:lineRule="auto"/>
              <w:ind w:firstLine="1190" w:firstLineChars="500"/>
              <w:textAlignment w:val="baseline"/>
              <w:rPr>
                <w:rFonts w:ascii="Times New Roman" w:hAnsi="Times New Roman" w:eastAsia="仿宋_GB2312" w:cs="Times New Roman"/>
                <w:snapToGrid w:val="0"/>
                <w:sz w:val="24"/>
                <w:szCs w:val="21"/>
              </w:rPr>
            </w:pPr>
            <w:r>
              <w:rPr>
                <w:rFonts w:ascii="Times New Roman" w:hAnsi="Times New Roman" w:eastAsia="仿宋_GB2312" w:cs="Times New Roman"/>
                <w:snapToGrid w:val="0"/>
                <w:spacing w:val="-1"/>
                <w:sz w:val="24"/>
                <w:szCs w:val="21"/>
              </w:rPr>
              <w:t>M——汽车载重量（t</w:t>
            </w:r>
            <w:r>
              <w:rPr>
                <w:rFonts w:ascii="Times New Roman" w:hAnsi="Times New Roman" w:eastAsia="仿宋_GB2312" w:cs="Times New Roman"/>
                <w:snapToGrid w:val="0"/>
                <w:spacing w:val="-2"/>
                <w:sz w:val="24"/>
                <w:szCs w:val="21"/>
              </w:rPr>
              <w:t>），</w:t>
            </w:r>
            <w:r>
              <w:rPr>
                <w:rFonts w:ascii="Times New Roman" w:hAnsi="Times New Roman" w:eastAsia="仿宋_GB2312" w:cs="Times New Roman"/>
                <w:snapToGrid w:val="0"/>
                <w:spacing w:val="-1"/>
                <w:sz w:val="24"/>
                <w:szCs w:val="21"/>
              </w:rPr>
              <w:t>本项目取</w:t>
            </w:r>
            <w:r>
              <w:rPr>
                <w:rFonts w:hint="eastAsia" w:ascii="Times New Roman" w:hAnsi="Times New Roman" w:eastAsia="仿宋_GB2312" w:cs="Times New Roman"/>
                <w:snapToGrid w:val="0"/>
                <w:spacing w:val="-1"/>
                <w:sz w:val="24"/>
                <w:szCs w:val="21"/>
              </w:rPr>
              <w:t>35</w:t>
            </w:r>
            <w:r>
              <w:rPr>
                <w:rFonts w:ascii="Times New Roman" w:hAnsi="Times New Roman" w:eastAsia="仿宋_GB2312" w:cs="Times New Roman"/>
                <w:snapToGrid w:val="0"/>
                <w:spacing w:val="-1"/>
                <w:sz w:val="24"/>
                <w:szCs w:val="21"/>
              </w:rPr>
              <w:t>t；</w:t>
            </w:r>
          </w:p>
          <w:p w14:paraId="5FE32728">
            <w:pPr>
              <w:widowControl/>
              <w:autoSpaceDE w:val="0"/>
              <w:autoSpaceDN w:val="0"/>
              <w:adjustRightInd w:val="0"/>
              <w:snapToGrid w:val="0"/>
              <w:spacing w:line="360" w:lineRule="auto"/>
              <w:ind w:firstLine="1190" w:firstLineChars="500"/>
              <w:textAlignment w:val="baseline"/>
              <w:rPr>
                <w:rFonts w:ascii="Times New Roman" w:hAnsi="Times New Roman" w:eastAsia="仿宋_GB2312" w:cs="Times New Roman"/>
                <w:snapToGrid w:val="0"/>
                <w:sz w:val="24"/>
                <w:szCs w:val="21"/>
              </w:rPr>
            </w:pPr>
            <w:r>
              <w:rPr>
                <w:rFonts w:ascii="Times New Roman" w:hAnsi="Times New Roman" w:eastAsia="仿宋_GB2312" w:cs="Times New Roman"/>
                <w:snapToGrid w:val="0"/>
                <w:spacing w:val="-1"/>
                <w:position w:val="3"/>
                <w:sz w:val="24"/>
                <w:szCs w:val="21"/>
              </w:rPr>
              <w:t>P——道路表面物料量（kg/㎡</w:t>
            </w:r>
            <w:r>
              <w:rPr>
                <w:rFonts w:ascii="Times New Roman" w:hAnsi="Times New Roman" w:eastAsia="仿宋_GB2312" w:cs="Times New Roman"/>
                <w:snapToGrid w:val="0"/>
                <w:spacing w:val="4"/>
                <w:position w:val="3"/>
                <w:sz w:val="24"/>
                <w:szCs w:val="21"/>
              </w:rPr>
              <w:t>），</w:t>
            </w:r>
            <w:r>
              <w:rPr>
                <w:rFonts w:ascii="Times New Roman" w:hAnsi="Times New Roman" w:eastAsia="仿宋_GB2312" w:cs="Times New Roman"/>
                <w:snapToGrid w:val="0"/>
                <w:spacing w:val="-1"/>
                <w:position w:val="3"/>
                <w:sz w:val="24"/>
                <w:szCs w:val="21"/>
              </w:rPr>
              <w:t>本项目取0.</w:t>
            </w:r>
            <w:r>
              <w:rPr>
                <w:rFonts w:hint="eastAsia" w:ascii="Times New Roman" w:hAnsi="Times New Roman" w:eastAsia="仿宋_GB2312" w:cs="Times New Roman"/>
                <w:snapToGrid w:val="0"/>
                <w:spacing w:val="-1"/>
                <w:position w:val="3"/>
                <w:sz w:val="24"/>
                <w:szCs w:val="21"/>
              </w:rPr>
              <w:t>1</w:t>
            </w:r>
            <w:r>
              <w:rPr>
                <w:rFonts w:ascii="Times New Roman" w:hAnsi="Times New Roman" w:eastAsia="仿宋_GB2312" w:cs="Times New Roman"/>
                <w:snapToGrid w:val="0"/>
                <w:spacing w:val="-1"/>
                <w:position w:val="3"/>
                <w:sz w:val="24"/>
                <w:szCs w:val="21"/>
              </w:rPr>
              <w:t>kg/㎡；</w:t>
            </w:r>
          </w:p>
          <w:p w14:paraId="286207CB">
            <w:pPr>
              <w:widowControl/>
              <w:autoSpaceDE w:val="0"/>
              <w:autoSpaceDN w:val="0"/>
              <w:adjustRightInd w:val="0"/>
              <w:snapToGrid w:val="0"/>
              <w:spacing w:line="360" w:lineRule="auto"/>
              <w:ind w:firstLine="1220" w:firstLineChars="500"/>
              <w:textAlignment w:val="baseline"/>
              <w:rPr>
                <w:rFonts w:ascii="Times New Roman" w:hAnsi="Times New Roman" w:eastAsia="仿宋_GB2312" w:cs="Times New Roman"/>
                <w:snapToGrid w:val="0"/>
                <w:sz w:val="24"/>
                <w:szCs w:val="21"/>
              </w:rPr>
            </w:pPr>
            <w:r>
              <w:rPr>
                <w:rFonts w:ascii="Times New Roman" w:hAnsi="Times New Roman" w:eastAsia="仿宋_GB2312" w:cs="Times New Roman"/>
                <w:snapToGrid w:val="0"/>
                <w:spacing w:val="2"/>
                <w:sz w:val="24"/>
                <w:szCs w:val="21"/>
              </w:rPr>
              <w:t>L——道路长度（</w:t>
            </w:r>
            <w:r>
              <w:rPr>
                <w:rFonts w:ascii="Times New Roman" w:hAnsi="Times New Roman" w:eastAsia="仿宋_GB2312" w:cs="Times New Roman"/>
                <w:snapToGrid w:val="0"/>
                <w:sz w:val="24"/>
                <w:szCs w:val="21"/>
              </w:rPr>
              <w:t>km</w:t>
            </w:r>
            <w:r>
              <w:rPr>
                <w:rFonts w:ascii="Times New Roman" w:hAnsi="Times New Roman" w:eastAsia="仿宋_GB2312" w:cs="Times New Roman"/>
                <w:snapToGrid w:val="0"/>
                <w:spacing w:val="10"/>
                <w:sz w:val="24"/>
                <w:szCs w:val="21"/>
              </w:rPr>
              <w:t>），</w:t>
            </w:r>
            <w:r>
              <w:rPr>
                <w:rFonts w:ascii="Times New Roman" w:hAnsi="Times New Roman" w:eastAsia="仿宋_GB2312" w:cs="Times New Roman"/>
                <w:snapToGrid w:val="0"/>
                <w:spacing w:val="2"/>
                <w:sz w:val="24"/>
                <w:szCs w:val="21"/>
              </w:rPr>
              <w:t>本项目取</w:t>
            </w:r>
            <w:r>
              <w:rPr>
                <w:rFonts w:hint="eastAsia" w:ascii="Times New Roman" w:hAnsi="Times New Roman" w:eastAsia="仿宋_GB2312" w:cs="Times New Roman"/>
                <w:snapToGrid w:val="0"/>
                <w:spacing w:val="2"/>
                <w:sz w:val="24"/>
                <w:szCs w:val="21"/>
              </w:rPr>
              <w:t>1</w:t>
            </w:r>
            <w:r>
              <w:rPr>
                <w:rFonts w:ascii="Times New Roman" w:hAnsi="Times New Roman" w:eastAsia="仿宋_GB2312" w:cs="Times New Roman"/>
                <w:snapToGrid w:val="0"/>
                <w:sz w:val="24"/>
                <w:szCs w:val="21"/>
              </w:rPr>
              <w:t>km</w:t>
            </w:r>
            <w:r>
              <w:rPr>
                <w:rFonts w:hint="eastAsia" w:ascii="Times New Roman" w:hAnsi="Times New Roman" w:eastAsia="仿宋_GB2312" w:cs="Times New Roman"/>
                <w:snapToGrid w:val="0"/>
                <w:sz w:val="24"/>
                <w:szCs w:val="21"/>
              </w:rPr>
              <w:t>；</w:t>
            </w:r>
          </w:p>
          <w:p w14:paraId="53D1BD8D">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通过计算，本项目道路运输扬尘产生量为0.0718kg/辆。本项目年运输次数为9308车次（包含原辅料及成品），则道路运输扬尘产生量约为0.668t/a。</w:t>
            </w:r>
          </w:p>
          <w:p w14:paraId="3061BD04">
            <w:pPr>
              <w:wordWrap w:val="0"/>
              <w:topLinePunct/>
              <w:spacing w:line="360" w:lineRule="auto"/>
              <w:ind w:firstLine="482" w:firstLineChars="200"/>
              <w:rPr>
                <w:rFonts w:ascii="Times New Roman" w:hAnsi="Times New Roman" w:eastAsia="宋体" w:cs="Times New Roman"/>
                <w:sz w:val="24"/>
              </w:rPr>
            </w:pPr>
            <w:r>
              <w:rPr>
                <w:rFonts w:ascii="Times New Roman" w:hAnsi="Times New Roman" w:eastAsia="宋体" w:cs="Times New Roman"/>
                <w:b/>
                <w:bCs/>
                <w:sz w:val="24"/>
              </w:rPr>
              <w:t>拟采取治理措施：</w:t>
            </w:r>
            <w:r>
              <w:rPr>
                <w:rFonts w:hint="eastAsia" w:ascii="Times New Roman" w:hAnsi="Times New Roman" w:eastAsia="宋体" w:cs="Times New Roman"/>
                <w:sz w:val="24"/>
              </w:rPr>
              <w:t>所有运输车辆进、出厂均要求苫盖严密，减速限速（5km/</w:t>
            </w:r>
            <w:r>
              <w:rPr>
                <w:rFonts w:ascii="Times New Roman" w:hAnsi="Times New Roman" w:eastAsia="宋体" w:cs="Times New Roman"/>
                <w:sz w:val="24"/>
              </w:rPr>
              <w:t>h</w:t>
            </w:r>
            <w:r>
              <w:rPr>
                <w:rFonts w:hint="eastAsia" w:ascii="Times New Roman" w:hAnsi="Times New Roman" w:eastAsia="宋体" w:cs="Times New Roman"/>
                <w:sz w:val="24"/>
              </w:rPr>
              <w:t>）、禁止超载；厂内运输道路已硬化，采用洒水车对厂区及连接道路进行定期洒水，保持路面湿润，从源头抑制扬尘产生（路面清洁度不高、运输繁忙、大风天气时，增加洒水频次）；同时，厂区进出口设置洗车平台，对进出运输车辆轮胎进行冲洗。</w:t>
            </w:r>
          </w:p>
          <w:p w14:paraId="309D006C">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根据“《排放源统计调查产排污核算方法和系数手册》（公告2021年第24号）-附表2 固体物料堆存颗粒物产排污核算系数手册-附录4：“粉尘控制措施控制效率取1-[（1-74%）×（1-78%）]≈94.28%”。</w:t>
            </w:r>
          </w:p>
          <w:p w14:paraId="1225EB08">
            <w:pPr>
              <w:wordWrap w:val="0"/>
              <w:topLinePunct/>
              <w:spacing w:line="360" w:lineRule="auto"/>
              <w:ind w:firstLine="482" w:firstLineChars="200"/>
              <w:rPr>
                <w:rFonts w:ascii="Times New Roman" w:hAnsi="Times New Roman" w:eastAsia="宋体" w:cs="Times New Roman"/>
                <w:sz w:val="24"/>
              </w:rPr>
            </w:pPr>
            <w:r>
              <w:rPr>
                <w:rFonts w:ascii="Times New Roman" w:hAnsi="Times New Roman" w:eastAsia="宋体" w:cs="Times New Roman"/>
                <w:b/>
                <w:bCs/>
                <w:sz w:val="24"/>
              </w:rPr>
              <w:t>排放情况：</w:t>
            </w:r>
            <w:r>
              <w:rPr>
                <w:rFonts w:ascii="Times New Roman" w:hAnsi="Times New Roman" w:eastAsia="宋体" w:cs="Times New Roman"/>
                <w:sz w:val="24"/>
              </w:rPr>
              <w:t>本项目道路运输扬尘产生、治理及排放情况见下表。</w:t>
            </w:r>
          </w:p>
          <w:p w14:paraId="53B6436F">
            <w:pPr>
              <w:pStyle w:val="123"/>
              <w:spacing w:line="400" w:lineRule="exact"/>
              <w:ind w:firstLine="0"/>
              <w:rPr>
                <w:rFonts w:ascii="Times New Roman" w:hAnsi="Times New Roman" w:eastAsia="宋体" w:cs="宋体-PUA"/>
                <w:b/>
                <w:sz w:val="24"/>
                <w:szCs w:val="24"/>
                <w:shd w:val="clear" w:color="auto" w:fill="FFFFFF"/>
              </w:rPr>
            </w:pPr>
            <w:r>
              <w:rPr>
                <w:rFonts w:ascii="Times New Roman" w:hAnsi="Times New Roman" w:eastAsia="宋体" w:cs="宋体-PUA"/>
                <w:b/>
                <w:sz w:val="24"/>
                <w:szCs w:val="24"/>
                <w:shd w:val="clear" w:color="auto" w:fill="FFFFFF"/>
              </w:rPr>
              <w:t>表4</w:t>
            </w:r>
            <w:r>
              <w:rPr>
                <w:rFonts w:hint="eastAsia" w:ascii="Times New Roman" w:hAnsi="Times New Roman" w:eastAsia="宋体" w:cs="宋体-PUA"/>
                <w:b/>
                <w:sz w:val="24"/>
                <w:szCs w:val="24"/>
                <w:shd w:val="clear" w:color="auto" w:fill="FFFFFF"/>
              </w:rPr>
              <w:t xml:space="preserve">-2  </w:t>
            </w:r>
            <w:r>
              <w:rPr>
                <w:rFonts w:ascii="Times New Roman" w:hAnsi="Times New Roman" w:eastAsia="宋体" w:cs="宋体-PUA"/>
                <w:b/>
                <w:sz w:val="24"/>
                <w:szCs w:val="24"/>
                <w:shd w:val="clear" w:color="auto" w:fill="FFFFFF"/>
              </w:rPr>
              <w:t>道路运输扬尘产排情况一览表</w:t>
            </w:r>
          </w:p>
          <w:tbl>
            <w:tblPr>
              <w:tblStyle w:val="76"/>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0"/>
              <w:gridCol w:w="794"/>
              <w:gridCol w:w="730"/>
              <w:gridCol w:w="913"/>
              <w:gridCol w:w="2589"/>
              <w:gridCol w:w="1000"/>
              <w:gridCol w:w="1208"/>
            </w:tblGrid>
            <w:tr w14:paraId="61D9C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509" w:type="pct"/>
                  <w:vMerge w:val="restart"/>
                  <w:tcBorders>
                    <w:tl2br w:val="nil"/>
                    <w:tr2bl w:val="nil"/>
                  </w:tcBorders>
                  <w:shd w:val="clear" w:color="auto" w:fill="FFFFFF"/>
                  <w:vAlign w:val="center"/>
                </w:tcPr>
                <w:p w14:paraId="1245D5A4">
                  <w:pPr>
                    <w:jc w:val="center"/>
                    <w:rPr>
                      <w:rFonts w:ascii="Times New Roman" w:hAnsi="Times New Roman" w:cs="Times New Roman"/>
                      <w:b/>
                      <w:bCs/>
                      <w:szCs w:val="21"/>
                    </w:rPr>
                  </w:pPr>
                  <w:r>
                    <w:rPr>
                      <w:rFonts w:hint="eastAsia" w:ascii="Times New Roman" w:hAnsi="Times New Roman" w:cs="Times New Roman"/>
                      <w:b/>
                      <w:bCs/>
                      <w:szCs w:val="21"/>
                    </w:rPr>
                    <w:t>产污</w:t>
                  </w:r>
                </w:p>
                <w:p w14:paraId="1C219FAA">
                  <w:pPr>
                    <w:jc w:val="center"/>
                    <w:rPr>
                      <w:rFonts w:ascii="Times New Roman" w:hAnsi="Times New Roman" w:cs="Times New Roman"/>
                      <w:b/>
                      <w:bCs/>
                      <w:color w:val="1C0CF2"/>
                      <w:szCs w:val="21"/>
                    </w:rPr>
                  </w:pPr>
                  <w:r>
                    <w:rPr>
                      <w:rFonts w:hint="eastAsia" w:ascii="Times New Roman" w:hAnsi="Times New Roman" w:cs="Times New Roman"/>
                      <w:b/>
                      <w:bCs/>
                      <w:szCs w:val="21"/>
                    </w:rPr>
                    <w:t>环节</w:t>
                  </w:r>
                </w:p>
              </w:tc>
              <w:tc>
                <w:tcPr>
                  <w:tcW w:w="493" w:type="pct"/>
                  <w:vMerge w:val="restart"/>
                  <w:tcBorders>
                    <w:tl2br w:val="nil"/>
                    <w:tr2bl w:val="nil"/>
                  </w:tcBorders>
                  <w:shd w:val="clear" w:color="auto" w:fill="FFFFFF"/>
                  <w:vAlign w:val="center"/>
                </w:tcPr>
                <w:p w14:paraId="50F7013E">
                  <w:pPr>
                    <w:jc w:val="center"/>
                    <w:rPr>
                      <w:rFonts w:ascii="Times New Roman" w:hAnsi="Times New Roman" w:cs="Times New Roman"/>
                      <w:b/>
                      <w:bCs/>
                      <w:szCs w:val="21"/>
                    </w:rPr>
                  </w:pPr>
                  <w:r>
                    <w:rPr>
                      <w:rFonts w:hint="eastAsia" w:ascii="Times New Roman" w:hAnsi="Times New Roman" w:cs="Times New Roman"/>
                      <w:b/>
                      <w:bCs/>
                      <w:szCs w:val="21"/>
                    </w:rPr>
                    <w:t>产污</w:t>
                  </w:r>
                </w:p>
                <w:p w14:paraId="2EF7821D">
                  <w:pPr>
                    <w:jc w:val="center"/>
                    <w:rPr>
                      <w:rFonts w:ascii="Times New Roman" w:hAnsi="Times New Roman" w:cs="Times New Roman"/>
                      <w:b/>
                      <w:bCs/>
                      <w:color w:val="1C0CF2"/>
                      <w:szCs w:val="21"/>
                    </w:rPr>
                  </w:pPr>
                  <w:r>
                    <w:rPr>
                      <w:rFonts w:hint="eastAsia" w:ascii="Times New Roman" w:hAnsi="Times New Roman" w:cs="Times New Roman"/>
                      <w:b/>
                      <w:bCs/>
                      <w:szCs w:val="21"/>
                    </w:rPr>
                    <w:t>位置</w:t>
                  </w:r>
                </w:p>
              </w:tc>
              <w:tc>
                <w:tcPr>
                  <w:tcW w:w="1020" w:type="pct"/>
                  <w:gridSpan w:val="2"/>
                  <w:tcBorders>
                    <w:tl2br w:val="nil"/>
                    <w:tr2bl w:val="nil"/>
                  </w:tcBorders>
                  <w:shd w:val="clear" w:color="auto" w:fill="FFFFFF"/>
                  <w:vAlign w:val="center"/>
                </w:tcPr>
                <w:p w14:paraId="68475D29">
                  <w:pPr>
                    <w:jc w:val="center"/>
                    <w:rPr>
                      <w:rFonts w:ascii="Times New Roman" w:hAnsi="Times New Roman" w:cs="Times New Roman"/>
                      <w:b/>
                      <w:bCs/>
                      <w:color w:val="1C0CF2"/>
                      <w:szCs w:val="21"/>
                    </w:rPr>
                  </w:pPr>
                  <w:r>
                    <w:rPr>
                      <w:rFonts w:hint="eastAsia" w:ascii="Times New Roman" w:hAnsi="Times New Roman" w:cs="Times New Roman"/>
                      <w:b/>
                      <w:bCs/>
                      <w:szCs w:val="21"/>
                    </w:rPr>
                    <w:t>产生情况</w:t>
                  </w:r>
                </w:p>
              </w:tc>
              <w:tc>
                <w:tcPr>
                  <w:tcW w:w="1607" w:type="pct"/>
                  <w:vMerge w:val="restart"/>
                  <w:tcBorders>
                    <w:tl2br w:val="nil"/>
                    <w:tr2bl w:val="nil"/>
                  </w:tcBorders>
                  <w:shd w:val="clear" w:color="auto" w:fill="FFFFFF"/>
                  <w:vAlign w:val="center"/>
                </w:tcPr>
                <w:p w14:paraId="14CDEACE">
                  <w:pPr>
                    <w:jc w:val="center"/>
                    <w:rPr>
                      <w:rFonts w:ascii="Times New Roman" w:hAnsi="Times New Roman" w:cs="Times New Roman"/>
                      <w:b/>
                      <w:bCs/>
                      <w:color w:val="1C0CF2"/>
                      <w:szCs w:val="21"/>
                    </w:rPr>
                  </w:pPr>
                  <w:r>
                    <w:rPr>
                      <w:rFonts w:hint="eastAsia" w:ascii="Times New Roman" w:hAnsi="Times New Roman" w:cs="Times New Roman"/>
                      <w:b/>
                      <w:bCs/>
                      <w:szCs w:val="21"/>
                    </w:rPr>
                    <w:t>治理措施及效率</w:t>
                  </w:r>
                </w:p>
              </w:tc>
              <w:tc>
                <w:tcPr>
                  <w:tcW w:w="1368" w:type="pct"/>
                  <w:gridSpan w:val="2"/>
                  <w:tcBorders>
                    <w:tl2br w:val="nil"/>
                    <w:tr2bl w:val="nil"/>
                  </w:tcBorders>
                  <w:shd w:val="clear" w:color="auto" w:fill="FFFFFF"/>
                  <w:vAlign w:val="center"/>
                </w:tcPr>
                <w:p w14:paraId="3AB58C72">
                  <w:pPr>
                    <w:jc w:val="center"/>
                    <w:rPr>
                      <w:rFonts w:ascii="Times New Roman" w:hAnsi="Times New Roman" w:cs="Times New Roman"/>
                      <w:b/>
                      <w:bCs/>
                      <w:color w:val="1C0CF2"/>
                      <w:szCs w:val="21"/>
                    </w:rPr>
                  </w:pPr>
                  <w:r>
                    <w:rPr>
                      <w:rFonts w:hint="eastAsia" w:ascii="Times New Roman" w:hAnsi="Times New Roman" w:cs="Times New Roman"/>
                      <w:b/>
                      <w:bCs/>
                      <w:szCs w:val="21"/>
                    </w:rPr>
                    <w:t>排放情况</w:t>
                  </w:r>
                </w:p>
              </w:tc>
            </w:tr>
            <w:tr w14:paraId="0AB44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09" w:type="pct"/>
                  <w:vMerge w:val="continue"/>
                  <w:tcBorders>
                    <w:tl2br w:val="nil"/>
                    <w:tr2bl w:val="nil"/>
                  </w:tcBorders>
                  <w:shd w:val="clear" w:color="auto" w:fill="FFFFFF"/>
                  <w:vAlign w:val="center"/>
                </w:tcPr>
                <w:p w14:paraId="79B3A12A">
                  <w:pPr>
                    <w:jc w:val="center"/>
                    <w:rPr>
                      <w:rFonts w:ascii="Times New Roman" w:hAnsi="Times New Roman" w:cs="Times New Roman"/>
                      <w:b/>
                      <w:bCs/>
                      <w:color w:val="1C0CF2"/>
                      <w:szCs w:val="21"/>
                    </w:rPr>
                  </w:pPr>
                </w:p>
              </w:tc>
              <w:tc>
                <w:tcPr>
                  <w:tcW w:w="493" w:type="pct"/>
                  <w:vMerge w:val="continue"/>
                  <w:tcBorders>
                    <w:tl2br w:val="nil"/>
                    <w:tr2bl w:val="nil"/>
                  </w:tcBorders>
                  <w:shd w:val="clear" w:color="auto" w:fill="FFFFFF"/>
                  <w:vAlign w:val="center"/>
                </w:tcPr>
                <w:p w14:paraId="7B3ABBDE">
                  <w:pPr>
                    <w:jc w:val="center"/>
                    <w:rPr>
                      <w:rFonts w:ascii="Times New Roman" w:hAnsi="Times New Roman" w:cs="Times New Roman"/>
                      <w:b/>
                      <w:bCs/>
                      <w:color w:val="1C0CF2"/>
                      <w:szCs w:val="21"/>
                    </w:rPr>
                  </w:pPr>
                </w:p>
              </w:tc>
              <w:tc>
                <w:tcPr>
                  <w:tcW w:w="453" w:type="pct"/>
                  <w:tcBorders>
                    <w:tl2br w:val="nil"/>
                    <w:tr2bl w:val="nil"/>
                  </w:tcBorders>
                  <w:shd w:val="clear" w:color="auto" w:fill="FFFFFF"/>
                  <w:vAlign w:val="center"/>
                </w:tcPr>
                <w:p w14:paraId="17463E58">
                  <w:pPr>
                    <w:jc w:val="center"/>
                    <w:rPr>
                      <w:rFonts w:ascii="Times New Roman" w:hAnsi="Times New Roman" w:cs="Times New Roman"/>
                      <w:b/>
                      <w:bCs/>
                      <w:szCs w:val="21"/>
                    </w:rPr>
                  </w:pPr>
                  <w:r>
                    <w:rPr>
                      <w:rFonts w:hint="eastAsia" w:ascii="Times New Roman" w:hAnsi="Times New Roman" w:cs="Times New Roman"/>
                      <w:b/>
                      <w:bCs/>
                      <w:szCs w:val="21"/>
                    </w:rPr>
                    <w:t>产生量（t/a）</w:t>
                  </w:r>
                </w:p>
              </w:tc>
              <w:tc>
                <w:tcPr>
                  <w:tcW w:w="567" w:type="pct"/>
                  <w:tcBorders>
                    <w:tl2br w:val="nil"/>
                    <w:tr2bl w:val="nil"/>
                  </w:tcBorders>
                  <w:shd w:val="clear" w:color="auto" w:fill="FFFFFF"/>
                  <w:vAlign w:val="center"/>
                </w:tcPr>
                <w:p w14:paraId="7CD271D5">
                  <w:pPr>
                    <w:jc w:val="center"/>
                    <w:rPr>
                      <w:rFonts w:ascii="Times New Roman" w:hAnsi="Times New Roman" w:cs="Times New Roman"/>
                      <w:b/>
                      <w:bCs/>
                      <w:szCs w:val="21"/>
                    </w:rPr>
                  </w:pPr>
                  <w:r>
                    <w:rPr>
                      <w:rFonts w:hint="eastAsia" w:ascii="Times New Roman" w:hAnsi="Times New Roman" w:cs="Times New Roman"/>
                      <w:b/>
                      <w:bCs/>
                      <w:szCs w:val="21"/>
                    </w:rPr>
                    <w:t>产生速率（kg/h）</w:t>
                  </w:r>
                </w:p>
              </w:tc>
              <w:tc>
                <w:tcPr>
                  <w:tcW w:w="1607" w:type="pct"/>
                  <w:vMerge w:val="continue"/>
                  <w:tcBorders>
                    <w:tl2br w:val="nil"/>
                    <w:tr2bl w:val="nil"/>
                  </w:tcBorders>
                  <w:shd w:val="clear" w:color="auto" w:fill="FFFFFF"/>
                  <w:vAlign w:val="center"/>
                </w:tcPr>
                <w:p w14:paraId="3065FD9A">
                  <w:pPr>
                    <w:jc w:val="center"/>
                    <w:rPr>
                      <w:rFonts w:ascii="Times New Roman" w:hAnsi="Times New Roman" w:cs="Times New Roman"/>
                      <w:b/>
                      <w:bCs/>
                      <w:color w:val="1C0CF2"/>
                      <w:szCs w:val="21"/>
                    </w:rPr>
                  </w:pPr>
                </w:p>
              </w:tc>
              <w:tc>
                <w:tcPr>
                  <w:tcW w:w="621" w:type="pct"/>
                  <w:tcBorders>
                    <w:tl2br w:val="nil"/>
                    <w:tr2bl w:val="nil"/>
                  </w:tcBorders>
                  <w:shd w:val="clear" w:color="auto" w:fill="FFFFFF"/>
                  <w:vAlign w:val="center"/>
                </w:tcPr>
                <w:p w14:paraId="53BED549">
                  <w:pPr>
                    <w:jc w:val="center"/>
                    <w:rPr>
                      <w:rFonts w:ascii="Times New Roman" w:hAnsi="Times New Roman" w:cs="Times New Roman"/>
                      <w:b/>
                      <w:bCs/>
                      <w:color w:val="1C0CF2"/>
                      <w:szCs w:val="21"/>
                    </w:rPr>
                  </w:pPr>
                  <w:r>
                    <w:rPr>
                      <w:rFonts w:hint="eastAsia" w:ascii="Times New Roman" w:hAnsi="Times New Roman" w:cs="Times New Roman"/>
                      <w:b/>
                      <w:bCs/>
                      <w:szCs w:val="21"/>
                    </w:rPr>
                    <w:t>排放量（t/a）</w:t>
                  </w:r>
                </w:p>
              </w:tc>
              <w:tc>
                <w:tcPr>
                  <w:tcW w:w="747" w:type="pct"/>
                  <w:tcBorders>
                    <w:tl2br w:val="nil"/>
                    <w:tr2bl w:val="nil"/>
                  </w:tcBorders>
                  <w:shd w:val="clear" w:color="auto" w:fill="FFFFFF"/>
                  <w:vAlign w:val="center"/>
                </w:tcPr>
                <w:p w14:paraId="5B093147">
                  <w:pPr>
                    <w:jc w:val="center"/>
                    <w:rPr>
                      <w:rFonts w:ascii="Times New Roman" w:hAnsi="Times New Roman" w:cs="Times New Roman"/>
                      <w:b/>
                      <w:bCs/>
                      <w:color w:val="1C0CF2"/>
                      <w:szCs w:val="21"/>
                    </w:rPr>
                  </w:pPr>
                  <w:r>
                    <w:rPr>
                      <w:rFonts w:hint="eastAsia" w:ascii="Times New Roman" w:hAnsi="Times New Roman" w:cs="Times New Roman"/>
                      <w:b/>
                      <w:bCs/>
                      <w:szCs w:val="21"/>
                    </w:rPr>
                    <w:t>排放速率（kg/h）</w:t>
                  </w:r>
                </w:p>
              </w:tc>
            </w:tr>
            <w:tr w14:paraId="0306D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9" w:hRule="atLeast"/>
                <w:jc w:val="center"/>
              </w:trPr>
              <w:tc>
                <w:tcPr>
                  <w:tcW w:w="509" w:type="pct"/>
                  <w:tcBorders>
                    <w:tl2br w:val="nil"/>
                    <w:tr2bl w:val="nil"/>
                  </w:tcBorders>
                  <w:shd w:val="clear" w:color="auto" w:fill="FFFFFF"/>
                  <w:vAlign w:val="center"/>
                </w:tcPr>
                <w:p w14:paraId="42693179">
                  <w:pPr>
                    <w:jc w:val="center"/>
                    <w:rPr>
                      <w:rFonts w:ascii="Times New Roman" w:hAnsi="Times New Roman" w:cs="Times New Roman"/>
                      <w:szCs w:val="21"/>
                    </w:rPr>
                  </w:pPr>
                  <w:r>
                    <w:rPr>
                      <w:rFonts w:hint="eastAsia" w:ascii="Times New Roman" w:hAnsi="Times New Roman" w:cs="Times New Roman"/>
                      <w:szCs w:val="21"/>
                    </w:rPr>
                    <w:t>车辆</w:t>
                  </w:r>
                </w:p>
                <w:p w14:paraId="589BB46A">
                  <w:pPr>
                    <w:jc w:val="center"/>
                    <w:rPr>
                      <w:rFonts w:ascii="Times New Roman" w:hAnsi="Times New Roman" w:cs="Times New Roman"/>
                      <w:color w:val="1C0CF2"/>
                      <w:szCs w:val="21"/>
                    </w:rPr>
                  </w:pPr>
                  <w:r>
                    <w:rPr>
                      <w:rFonts w:hint="eastAsia" w:ascii="Times New Roman" w:hAnsi="Times New Roman" w:cs="Times New Roman"/>
                      <w:szCs w:val="21"/>
                    </w:rPr>
                    <w:t>运输</w:t>
                  </w:r>
                </w:p>
              </w:tc>
              <w:tc>
                <w:tcPr>
                  <w:tcW w:w="493" w:type="pct"/>
                  <w:tcBorders>
                    <w:tl2br w:val="nil"/>
                    <w:tr2bl w:val="nil"/>
                  </w:tcBorders>
                  <w:shd w:val="clear" w:color="auto" w:fill="FFFFFF"/>
                  <w:vAlign w:val="center"/>
                </w:tcPr>
                <w:p w14:paraId="68652EF5">
                  <w:pPr>
                    <w:jc w:val="center"/>
                    <w:rPr>
                      <w:rFonts w:ascii="Times New Roman" w:hAnsi="Times New Roman" w:cs="Times New Roman"/>
                      <w:szCs w:val="21"/>
                    </w:rPr>
                  </w:pPr>
                  <w:r>
                    <w:rPr>
                      <w:rFonts w:hint="eastAsia" w:ascii="Times New Roman" w:hAnsi="Times New Roman" w:cs="Times New Roman"/>
                      <w:szCs w:val="21"/>
                    </w:rPr>
                    <w:t>车辆运输道路</w:t>
                  </w:r>
                </w:p>
              </w:tc>
              <w:tc>
                <w:tcPr>
                  <w:tcW w:w="453" w:type="pct"/>
                  <w:tcBorders>
                    <w:tl2br w:val="nil"/>
                    <w:tr2bl w:val="nil"/>
                  </w:tcBorders>
                  <w:shd w:val="clear" w:color="auto" w:fill="FFFFFF"/>
                  <w:vAlign w:val="center"/>
                </w:tcPr>
                <w:p w14:paraId="0CC74ECA">
                  <w:pPr>
                    <w:jc w:val="center"/>
                    <w:rPr>
                      <w:rFonts w:ascii="Times New Roman" w:hAnsi="Times New Roman" w:cs="Times New Roman"/>
                      <w:szCs w:val="21"/>
                    </w:rPr>
                  </w:pPr>
                  <w:r>
                    <w:rPr>
                      <w:rFonts w:hint="eastAsia" w:ascii="Times New Roman" w:hAnsi="Times New Roman" w:cs="Times New Roman"/>
                      <w:szCs w:val="21"/>
                    </w:rPr>
                    <w:t>0.668</w:t>
                  </w:r>
                </w:p>
              </w:tc>
              <w:tc>
                <w:tcPr>
                  <w:tcW w:w="567" w:type="pct"/>
                  <w:tcBorders>
                    <w:tl2br w:val="nil"/>
                    <w:tr2bl w:val="nil"/>
                  </w:tcBorders>
                  <w:shd w:val="clear" w:color="auto" w:fill="FFFFFF"/>
                  <w:vAlign w:val="center"/>
                </w:tcPr>
                <w:p w14:paraId="5526506E">
                  <w:pPr>
                    <w:jc w:val="center"/>
                    <w:rPr>
                      <w:rFonts w:ascii="Times New Roman" w:hAnsi="Times New Roman" w:cs="Times New Roman"/>
                      <w:szCs w:val="21"/>
                    </w:rPr>
                  </w:pPr>
                  <w:r>
                    <w:rPr>
                      <w:rFonts w:hint="eastAsia" w:ascii="Times New Roman" w:hAnsi="Times New Roman" w:cs="Times New Roman"/>
                      <w:szCs w:val="21"/>
                    </w:rPr>
                    <w:t>0.74</w:t>
                  </w:r>
                </w:p>
              </w:tc>
              <w:tc>
                <w:tcPr>
                  <w:tcW w:w="1607" w:type="pct"/>
                  <w:tcBorders>
                    <w:tl2br w:val="nil"/>
                    <w:tr2bl w:val="nil"/>
                  </w:tcBorders>
                  <w:shd w:val="clear" w:color="auto" w:fill="FFFFFF"/>
                  <w:vAlign w:val="center"/>
                </w:tcPr>
                <w:p w14:paraId="39E87CE1">
                  <w:pPr>
                    <w:jc w:val="center"/>
                    <w:rPr>
                      <w:rFonts w:ascii="Times New Roman" w:hAnsi="Times New Roman" w:cs="Times New Roman"/>
                      <w:color w:val="1C0CF2"/>
                      <w:szCs w:val="21"/>
                    </w:rPr>
                  </w:pPr>
                  <w:r>
                    <w:rPr>
                      <w:rFonts w:hint="eastAsia" w:ascii="Times New Roman" w:hAnsi="Times New Roman" w:cs="Times New Roman"/>
                      <w:szCs w:val="21"/>
                    </w:rPr>
                    <w:t>①所有运输车辆进、出厂均要求苫盖严密，减速限速、禁止超载；②厂内运输道路已硬化，采用洒水车对厂区及连接道路进行定期洒水，保持路面湿润，从源头抑制扬尘产生；③厂区进出口设置洗车平台，对进出运输车辆轮胎进行冲洗。综合治理效率取94.28%。</w:t>
                  </w:r>
                </w:p>
              </w:tc>
              <w:tc>
                <w:tcPr>
                  <w:tcW w:w="621" w:type="pct"/>
                  <w:tcBorders>
                    <w:tl2br w:val="nil"/>
                    <w:tr2bl w:val="nil"/>
                  </w:tcBorders>
                  <w:shd w:val="clear" w:color="auto" w:fill="FFFFFF"/>
                  <w:vAlign w:val="center"/>
                </w:tcPr>
                <w:p w14:paraId="270B9350">
                  <w:pPr>
                    <w:jc w:val="center"/>
                    <w:rPr>
                      <w:rFonts w:ascii="Times New Roman" w:hAnsi="Times New Roman" w:cs="Times New Roman"/>
                      <w:szCs w:val="21"/>
                    </w:rPr>
                  </w:pPr>
                  <w:r>
                    <w:rPr>
                      <w:rFonts w:hint="eastAsia" w:ascii="Times New Roman" w:hAnsi="Times New Roman" w:cs="Times New Roman"/>
                      <w:szCs w:val="21"/>
                    </w:rPr>
                    <w:t>0.038</w:t>
                  </w:r>
                </w:p>
              </w:tc>
              <w:tc>
                <w:tcPr>
                  <w:tcW w:w="747" w:type="pct"/>
                  <w:tcBorders>
                    <w:tl2br w:val="nil"/>
                    <w:tr2bl w:val="nil"/>
                  </w:tcBorders>
                  <w:shd w:val="clear" w:color="auto" w:fill="FFFFFF"/>
                  <w:vAlign w:val="center"/>
                </w:tcPr>
                <w:p w14:paraId="021F3A29">
                  <w:pPr>
                    <w:jc w:val="center"/>
                    <w:rPr>
                      <w:rFonts w:ascii="Times New Roman" w:hAnsi="Times New Roman" w:cs="Times New Roman"/>
                      <w:szCs w:val="21"/>
                    </w:rPr>
                  </w:pPr>
                  <w:r>
                    <w:rPr>
                      <w:rFonts w:hint="eastAsia" w:ascii="Times New Roman" w:hAnsi="Times New Roman" w:cs="Times New Roman"/>
                      <w:szCs w:val="21"/>
                    </w:rPr>
                    <w:t>0.042</w:t>
                  </w:r>
                </w:p>
              </w:tc>
            </w:tr>
            <w:tr w14:paraId="7DA35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5000" w:type="pct"/>
                  <w:gridSpan w:val="7"/>
                  <w:tcBorders>
                    <w:tl2br w:val="nil"/>
                    <w:tr2bl w:val="nil"/>
                  </w:tcBorders>
                  <w:shd w:val="clear" w:color="auto" w:fill="FFFFFF"/>
                  <w:vAlign w:val="center"/>
                </w:tcPr>
                <w:p w14:paraId="39A803B7">
                  <w:pPr>
                    <w:rPr>
                      <w:rFonts w:ascii="Times New Roman" w:hAnsi="Times New Roman" w:cs="Times New Roman"/>
                      <w:szCs w:val="21"/>
                    </w:rPr>
                  </w:pPr>
                  <w:r>
                    <w:rPr>
                      <w:rFonts w:hint="eastAsia" w:ascii="Times New Roman" w:hAnsi="Times New Roman" w:cs="Times New Roman"/>
                      <w:szCs w:val="21"/>
                    </w:rPr>
                    <w:t>注：本项目全年运行180天，车辆运输按照900h/a计。</w:t>
                  </w:r>
                </w:p>
              </w:tc>
            </w:tr>
          </w:tbl>
          <w:p w14:paraId="7E260320">
            <w:pPr>
              <w:pStyle w:val="4"/>
              <w:keepNext w:val="0"/>
              <w:keepLines w:val="0"/>
              <w:wordWrap w:val="0"/>
              <w:topLinePunct/>
              <w:ind w:firstLine="482"/>
              <w:rPr>
                <w:rFonts w:ascii="Times New Roman" w:hAnsi="Times New Roman" w:cs="Times New Roman"/>
                <w:bCs/>
                <w:spacing w:val="0"/>
                <w:w w:val="100"/>
                <w:szCs w:val="24"/>
              </w:rPr>
            </w:pPr>
            <w:r>
              <w:rPr>
                <w:rFonts w:hint="eastAsia" w:ascii="Times New Roman" w:hAnsi="Times New Roman" w:cs="Times New Roman"/>
                <w:bCs/>
                <w:spacing w:val="0"/>
                <w:w w:val="100"/>
                <w:szCs w:val="24"/>
              </w:rPr>
              <w:t>2.2.2石料堆棚扬尘</w:t>
            </w:r>
          </w:p>
          <w:p w14:paraId="1352E288">
            <w:pPr>
              <w:pStyle w:val="4"/>
              <w:keepNext w:val="0"/>
              <w:keepLines w:val="0"/>
              <w:wordWrap w:val="0"/>
              <w:topLinePunct/>
              <w:ind w:firstLine="482"/>
              <w:rPr>
                <w:rFonts w:ascii="Times New Roman" w:hAnsi="Times New Roman" w:cs="Times New Roman"/>
                <w:bCs/>
                <w:spacing w:val="0"/>
                <w:w w:val="100"/>
                <w:szCs w:val="24"/>
              </w:rPr>
            </w:pPr>
            <w:r>
              <w:rPr>
                <w:rFonts w:hint="eastAsia" w:ascii="Times New Roman" w:hAnsi="Times New Roman" w:cs="Times New Roman"/>
                <w:bCs/>
                <w:spacing w:val="0"/>
                <w:w w:val="100"/>
                <w:szCs w:val="24"/>
              </w:rPr>
              <w:t>源强核算：</w:t>
            </w:r>
            <w:r>
              <w:rPr>
                <w:rFonts w:hint="eastAsia" w:ascii="Times New Roman" w:hAnsi="Times New Roman" w:cs="Times New Roman"/>
                <w:b w:val="0"/>
                <w:spacing w:val="0"/>
                <w:w w:val="100"/>
                <w:szCs w:val="24"/>
              </w:rPr>
              <w:t>本项目建设半封闭式原料堆棚（三面围挡），总占地面积3416m</w:t>
            </w:r>
            <w:r>
              <w:rPr>
                <w:rFonts w:hint="eastAsia" w:ascii="Times New Roman" w:hAnsi="Times New Roman" w:cs="Times New Roman"/>
                <w:b w:val="0"/>
                <w:spacing w:val="0"/>
                <w:w w:val="100"/>
                <w:szCs w:val="24"/>
                <w:vertAlign w:val="superscript"/>
              </w:rPr>
              <w:t>2</w:t>
            </w:r>
            <w:r>
              <w:rPr>
                <w:rFonts w:hint="eastAsia" w:ascii="Times New Roman" w:hAnsi="Times New Roman" w:cs="Times New Roman"/>
                <w:b w:val="0"/>
                <w:spacing w:val="0"/>
                <w:w w:val="100"/>
                <w:szCs w:val="24"/>
              </w:rPr>
              <w:t>，用于暂存不同粒径的石料，在大风天气下易形成无组织排放源，其产生量的大小与当地自然环境、原料岩性、堆存方式等因素有关。本项目石料堆棚扬尘产生量采用</w:t>
            </w:r>
            <w:r>
              <w:rPr>
                <w:rFonts w:ascii="Times New Roman" w:hAnsi="Times New Roman" w:cs="Times New Roman"/>
                <w:b w:val="0"/>
                <w:spacing w:val="0"/>
                <w:w w:val="100"/>
                <w:szCs w:val="24"/>
              </w:rPr>
              <w:t>西安建筑科技大学（原西安冶金建筑学院）提出的干散物料堆场起尘经验公式</w:t>
            </w:r>
            <w:r>
              <w:rPr>
                <w:rFonts w:hint="eastAsia" w:ascii="Times New Roman" w:hAnsi="Times New Roman" w:cs="Times New Roman"/>
                <w:b w:val="0"/>
                <w:spacing w:val="0"/>
                <w:w w:val="100"/>
                <w:szCs w:val="24"/>
              </w:rPr>
              <w:t>进行估算，具体为：</w:t>
            </w:r>
          </w:p>
          <w:p w14:paraId="6DC93147">
            <w:pPr>
              <w:spacing w:line="360" w:lineRule="auto"/>
              <w:jc w:val="center"/>
              <w:rPr>
                <w:rFonts w:ascii="仿宋" w:hAnsi="仿宋" w:eastAsia="仿宋" w:cs="仿宋"/>
                <w:bCs/>
                <w:sz w:val="24"/>
              </w:rPr>
            </w:pPr>
            <w:r>
              <w:rPr>
                <w:rFonts w:hint="eastAsia" w:ascii="仿宋" w:hAnsi="仿宋" w:eastAsia="仿宋" w:cs="仿宋"/>
                <w:bCs/>
                <w:sz w:val="24"/>
              </w:rPr>
              <w:t>Q=4.23×10</w:t>
            </w:r>
            <w:r>
              <w:rPr>
                <w:rFonts w:hint="eastAsia" w:ascii="仿宋" w:hAnsi="仿宋" w:eastAsia="仿宋" w:cs="仿宋"/>
                <w:bCs/>
                <w:sz w:val="24"/>
                <w:vertAlign w:val="superscript"/>
              </w:rPr>
              <w:t>-4</w:t>
            </w:r>
            <w:r>
              <w:rPr>
                <w:rFonts w:hint="eastAsia" w:ascii="仿宋" w:hAnsi="仿宋" w:eastAsia="仿宋" w:cs="仿宋"/>
                <w:bCs/>
                <w:sz w:val="24"/>
              </w:rPr>
              <w:t>×U</w:t>
            </w:r>
            <w:r>
              <w:rPr>
                <w:rFonts w:hint="eastAsia" w:ascii="仿宋" w:hAnsi="仿宋" w:eastAsia="仿宋" w:cs="仿宋"/>
                <w:bCs/>
                <w:sz w:val="24"/>
                <w:vertAlign w:val="superscript"/>
              </w:rPr>
              <w:t>4.9</w:t>
            </w:r>
            <w:r>
              <w:rPr>
                <w:rFonts w:hint="eastAsia" w:ascii="仿宋" w:hAnsi="仿宋" w:eastAsia="仿宋" w:cs="仿宋"/>
                <w:bCs/>
                <w:sz w:val="24"/>
              </w:rPr>
              <w:t>×Ap</w:t>
            </w:r>
          </w:p>
          <w:p w14:paraId="5A7461A2">
            <w:pPr>
              <w:spacing w:line="360" w:lineRule="auto"/>
              <w:ind w:firstLine="480" w:firstLineChars="200"/>
              <w:rPr>
                <w:rFonts w:ascii="Times New Roman" w:hAnsi="Times New Roman" w:eastAsia="仿宋" w:cs="Times New Roman"/>
                <w:bCs/>
                <w:sz w:val="24"/>
              </w:rPr>
            </w:pPr>
            <w:r>
              <w:rPr>
                <w:rFonts w:ascii="Times New Roman" w:hAnsi="Times New Roman" w:eastAsia="仿宋" w:cs="Times New Roman"/>
                <w:bCs/>
                <w:sz w:val="24"/>
              </w:rPr>
              <w:t>式中：Q——</w:t>
            </w:r>
            <w:r>
              <w:rPr>
                <w:rFonts w:hint="eastAsia" w:ascii="Times New Roman" w:hAnsi="Times New Roman" w:eastAsia="仿宋" w:cs="Times New Roman"/>
                <w:bCs/>
                <w:sz w:val="24"/>
              </w:rPr>
              <w:t>堆场起尘强度</w:t>
            </w:r>
            <w:r>
              <w:rPr>
                <w:rFonts w:ascii="Times New Roman" w:hAnsi="Times New Roman" w:eastAsia="仿宋" w:cs="Times New Roman"/>
                <w:bCs/>
                <w:sz w:val="24"/>
              </w:rPr>
              <w:t>，mg/s；</w:t>
            </w:r>
          </w:p>
          <w:p w14:paraId="3DD272F8">
            <w:pPr>
              <w:spacing w:line="360" w:lineRule="auto"/>
              <w:ind w:firstLine="1200" w:firstLineChars="500"/>
              <w:rPr>
                <w:rFonts w:ascii="Times New Roman" w:hAnsi="Times New Roman" w:eastAsia="仿宋" w:cs="Times New Roman"/>
                <w:bCs/>
                <w:sz w:val="24"/>
              </w:rPr>
            </w:pPr>
            <w:r>
              <w:rPr>
                <w:rFonts w:hint="eastAsia" w:ascii="Times New Roman" w:hAnsi="Times New Roman" w:eastAsia="仿宋" w:cs="Times New Roman"/>
                <w:bCs/>
                <w:sz w:val="24"/>
              </w:rPr>
              <w:t>U</w:t>
            </w:r>
            <w:r>
              <w:rPr>
                <w:rFonts w:ascii="Times New Roman" w:hAnsi="Times New Roman" w:eastAsia="仿宋" w:cs="Times New Roman"/>
                <w:bCs/>
                <w:sz w:val="24"/>
              </w:rPr>
              <w:t>——</w:t>
            </w:r>
            <w:r>
              <w:rPr>
                <w:rFonts w:hint="eastAsia" w:ascii="Times New Roman" w:hAnsi="Times New Roman" w:eastAsia="仿宋" w:cs="Times New Roman"/>
                <w:bCs/>
                <w:sz w:val="24"/>
              </w:rPr>
              <w:t>项目区近五年平均风速</w:t>
            </w:r>
            <w:r>
              <w:rPr>
                <w:rFonts w:ascii="Times New Roman" w:hAnsi="Times New Roman" w:eastAsia="仿宋" w:cs="Times New Roman"/>
                <w:bCs/>
                <w:sz w:val="24"/>
              </w:rPr>
              <w:t>，</w:t>
            </w:r>
            <w:r>
              <w:rPr>
                <w:rFonts w:hint="eastAsia" w:ascii="Times New Roman" w:hAnsi="Times New Roman" w:eastAsia="仿宋" w:cs="Times New Roman"/>
                <w:bCs/>
                <w:sz w:val="24"/>
              </w:rPr>
              <w:t>m/s；</w:t>
            </w:r>
            <w:r>
              <w:rPr>
                <w:rFonts w:ascii="Times New Roman" w:hAnsi="Times New Roman" w:eastAsia="仿宋" w:cs="Times New Roman"/>
                <w:bCs/>
                <w:sz w:val="24"/>
              </w:rPr>
              <w:t>本项目取</w:t>
            </w:r>
            <w:r>
              <w:rPr>
                <w:rFonts w:hint="eastAsia" w:ascii="Times New Roman" w:hAnsi="Times New Roman" w:eastAsia="仿宋" w:cs="Times New Roman"/>
                <w:bCs/>
                <w:sz w:val="24"/>
              </w:rPr>
              <w:t>3.2m/s（来源于临泽县气象资料）</w:t>
            </w:r>
            <w:r>
              <w:rPr>
                <w:rFonts w:ascii="Times New Roman" w:hAnsi="Times New Roman" w:eastAsia="仿宋" w:cs="Times New Roman"/>
                <w:bCs/>
                <w:sz w:val="24"/>
              </w:rPr>
              <w:t>；</w:t>
            </w:r>
          </w:p>
          <w:p w14:paraId="4D917C3E">
            <w:pPr>
              <w:spacing w:line="360" w:lineRule="auto"/>
              <w:ind w:firstLine="1200" w:firstLineChars="500"/>
              <w:rPr>
                <w:rFonts w:ascii="Times New Roman" w:hAnsi="Times New Roman" w:eastAsia="仿宋" w:cs="Times New Roman"/>
                <w:bCs/>
                <w:sz w:val="24"/>
              </w:rPr>
            </w:pPr>
            <w:r>
              <w:rPr>
                <w:rFonts w:ascii="Times New Roman" w:hAnsi="Times New Roman" w:eastAsia="仿宋" w:cs="Times New Roman"/>
                <w:bCs/>
                <w:sz w:val="24"/>
              </w:rPr>
              <w:t>Ap——</w:t>
            </w:r>
            <w:r>
              <w:rPr>
                <w:rFonts w:hint="eastAsia" w:ascii="Times New Roman" w:hAnsi="Times New Roman" w:eastAsia="仿宋" w:cs="Times New Roman"/>
                <w:bCs/>
                <w:sz w:val="24"/>
              </w:rPr>
              <w:t>堆场占地</w:t>
            </w:r>
            <w:r>
              <w:rPr>
                <w:rFonts w:ascii="Times New Roman" w:hAnsi="Times New Roman" w:eastAsia="仿宋" w:cs="Times New Roman"/>
                <w:bCs/>
                <w:sz w:val="24"/>
              </w:rPr>
              <w:t>面积，m</w:t>
            </w:r>
            <w:r>
              <w:rPr>
                <w:rFonts w:ascii="Times New Roman" w:hAnsi="Times New Roman" w:eastAsia="仿宋" w:cs="Times New Roman"/>
                <w:bCs/>
                <w:sz w:val="24"/>
                <w:vertAlign w:val="superscript"/>
              </w:rPr>
              <w:t>2</w:t>
            </w:r>
            <w:r>
              <w:rPr>
                <w:rFonts w:hint="eastAsia" w:ascii="Times New Roman" w:hAnsi="Times New Roman" w:eastAsia="仿宋" w:cs="Times New Roman"/>
                <w:bCs/>
                <w:sz w:val="24"/>
              </w:rPr>
              <w:t>；</w:t>
            </w:r>
            <w:r>
              <w:rPr>
                <w:rFonts w:ascii="Times New Roman" w:hAnsi="Times New Roman" w:eastAsia="仿宋" w:cs="Times New Roman"/>
                <w:bCs/>
                <w:sz w:val="24"/>
              </w:rPr>
              <w:t>本项目堆场总面积取</w:t>
            </w:r>
            <w:r>
              <w:rPr>
                <w:rFonts w:hint="eastAsia" w:ascii="Times New Roman" w:hAnsi="Times New Roman" w:eastAsia="仿宋" w:cs="Times New Roman"/>
                <w:bCs/>
                <w:sz w:val="24"/>
              </w:rPr>
              <w:t>3416</w:t>
            </w:r>
            <w:r>
              <w:rPr>
                <w:rFonts w:ascii="Times New Roman" w:hAnsi="Times New Roman" w:eastAsia="仿宋" w:cs="Times New Roman"/>
                <w:bCs/>
                <w:sz w:val="24"/>
              </w:rPr>
              <w:t>m</w:t>
            </w:r>
            <w:r>
              <w:rPr>
                <w:rFonts w:ascii="Times New Roman" w:hAnsi="Times New Roman" w:eastAsia="仿宋" w:cs="Times New Roman"/>
                <w:bCs/>
                <w:sz w:val="24"/>
                <w:vertAlign w:val="superscript"/>
              </w:rPr>
              <w:t>2</w:t>
            </w:r>
            <w:r>
              <w:rPr>
                <w:rFonts w:hint="eastAsia" w:ascii="Times New Roman" w:hAnsi="Times New Roman" w:eastAsia="仿宋" w:cs="Times New Roman"/>
                <w:bCs/>
                <w:sz w:val="24"/>
              </w:rPr>
              <w:t>（按照满负荷满仓计）</w:t>
            </w:r>
            <w:r>
              <w:rPr>
                <w:rFonts w:ascii="Times New Roman" w:hAnsi="Times New Roman" w:eastAsia="仿宋" w:cs="Times New Roman"/>
                <w:bCs/>
                <w:sz w:val="24"/>
              </w:rPr>
              <w:t>。</w:t>
            </w:r>
          </w:p>
          <w:p w14:paraId="615842CB">
            <w:pPr>
              <w:keepNext/>
              <w:keepLines/>
              <w:pageBreakBefore/>
              <w:widowControl/>
              <w:wordWrap w:val="0"/>
              <w:topLinePunct/>
              <w:spacing w:line="36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经计算，</w:t>
            </w:r>
            <w:r>
              <w:rPr>
                <w:rFonts w:hint="eastAsia" w:ascii="Times New Roman" w:hAnsi="Times New Roman" w:eastAsia="宋体" w:cs="Times New Roman"/>
                <w:color w:val="000000"/>
                <w:sz w:val="24"/>
              </w:rPr>
              <w:t>本</w:t>
            </w:r>
            <w:r>
              <w:rPr>
                <w:rFonts w:ascii="Times New Roman" w:hAnsi="Times New Roman" w:eastAsia="宋体" w:cs="Times New Roman"/>
                <w:color w:val="000000"/>
                <w:sz w:val="24"/>
              </w:rPr>
              <w:t>项目堆场起尘强度为</w:t>
            </w:r>
            <w:r>
              <w:rPr>
                <w:rFonts w:hint="eastAsia" w:ascii="Times New Roman" w:hAnsi="Times New Roman" w:eastAsia="宋体" w:cs="Times New Roman"/>
                <w:color w:val="000000"/>
                <w:sz w:val="24"/>
              </w:rPr>
              <w:t>432.14</w:t>
            </w:r>
            <w:r>
              <w:rPr>
                <w:rFonts w:ascii="Times New Roman" w:hAnsi="Times New Roman" w:eastAsia="宋体" w:cs="Times New Roman"/>
                <w:color w:val="000000"/>
                <w:sz w:val="24"/>
              </w:rPr>
              <w:t>mg/s，</w:t>
            </w:r>
            <w:r>
              <w:rPr>
                <w:rFonts w:hint="eastAsia" w:ascii="Times New Roman" w:hAnsi="Times New Roman" w:eastAsia="宋体" w:cs="Times New Roman"/>
                <w:color w:val="000000"/>
                <w:sz w:val="24"/>
              </w:rPr>
              <w:t>1.556</w:t>
            </w:r>
            <w:r>
              <w:rPr>
                <w:rFonts w:ascii="Times New Roman" w:hAnsi="Times New Roman" w:eastAsia="宋体" w:cs="Times New Roman"/>
                <w:color w:val="000000"/>
                <w:sz w:val="24"/>
              </w:rPr>
              <w:t>kg/h，起尘时间按照</w:t>
            </w:r>
            <w:r>
              <w:rPr>
                <w:rFonts w:hint="eastAsia" w:ascii="Times New Roman" w:hAnsi="Times New Roman" w:eastAsia="宋体" w:cs="Times New Roman"/>
                <w:color w:val="000000"/>
                <w:sz w:val="24"/>
              </w:rPr>
              <w:t>180d</w:t>
            </w:r>
            <w:r>
              <w:rPr>
                <w:rFonts w:ascii="Times New Roman" w:hAnsi="Times New Roman" w:eastAsia="宋体" w:cs="Times New Roman"/>
                <w:color w:val="000000"/>
                <w:sz w:val="24"/>
              </w:rPr>
              <w:t>，每天24h计</w:t>
            </w:r>
            <w:r>
              <w:rPr>
                <w:rFonts w:hint="eastAsia" w:ascii="Times New Roman" w:hAnsi="Times New Roman" w:eastAsia="宋体" w:cs="Times New Roman"/>
                <w:color w:val="000000"/>
                <w:sz w:val="24"/>
              </w:rPr>
              <w:t>，则</w:t>
            </w:r>
            <w:r>
              <w:rPr>
                <w:rFonts w:ascii="Times New Roman" w:hAnsi="Times New Roman" w:eastAsia="宋体" w:cs="Times New Roman"/>
                <w:color w:val="000000"/>
                <w:sz w:val="24"/>
              </w:rPr>
              <w:t>本项目</w:t>
            </w:r>
            <w:r>
              <w:rPr>
                <w:rFonts w:hint="eastAsia" w:ascii="Times New Roman" w:hAnsi="Times New Roman" w:eastAsia="宋体" w:cs="Times New Roman"/>
                <w:color w:val="000000"/>
                <w:sz w:val="24"/>
              </w:rPr>
              <w:t>石料</w:t>
            </w:r>
            <w:r>
              <w:rPr>
                <w:rFonts w:ascii="Times New Roman" w:hAnsi="Times New Roman" w:eastAsia="宋体" w:cs="Times New Roman"/>
                <w:color w:val="000000"/>
                <w:sz w:val="24"/>
              </w:rPr>
              <w:t>堆</w:t>
            </w:r>
            <w:r>
              <w:rPr>
                <w:rFonts w:hint="eastAsia" w:ascii="Times New Roman" w:hAnsi="Times New Roman" w:eastAsia="宋体" w:cs="Times New Roman"/>
                <w:color w:val="000000"/>
                <w:sz w:val="24"/>
              </w:rPr>
              <w:t>棚</w:t>
            </w:r>
            <w:r>
              <w:rPr>
                <w:rFonts w:ascii="Times New Roman" w:hAnsi="Times New Roman" w:eastAsia="宋体" w:cs="Times New Roman"/>
                <w:color w:val="000000"/>
                <w:sz w:val="24"/>
              </w:rPr>
              <w:t>总起尘量为</w:t>
            </w:r>
            <w:r>
              <w:rPr>
                <w:rFonts w:hint="eastAsia" w:ascii="Times New Roman" w:hAnsi="Times New Roman" w:eastAsia="宋体" w:cs="Times New Roman"/>
                <w:color w:val="000000"/>
                <w:sz w:val="24"/>
              </w:rPr>
              <w:t>6.72</w:t>
            </w:r>
            <w:r>
              <w:rPr>
                <w:rFonts w:ascii="Times New Roman" w:hAnsi="Times New Roman" w:eastAsia="宋体" w:cs="Times New Roman"/>
                <w:color w:val="000000"/>
                <w:sz w:val="24"/>
              </w:rPr>
              <w:t>t/a。</w:t>
            </w:r>
          </w:p>
          <w:p w14:paraId="120751A5">
            <w:pPr>
              <w:keepNext/>
              <w:keepLines/>
              <w:pageBreakBefore/>
              <w:widowControl/>
              <w:wordWrap w:val="0"/>
              <w:topLinePunct/>
              <w:spacing w:line="360" w:lineRule="auto"/>
              <w:ind w:firstLine="482" w:firstLineChars="200"/>
              <w:rPr>
                <w:rFonts w:ascii="Times New Roman" w:hAnsi="Times New Roman" w:eastAsia="宋体" w:cs="Times New Roman"/>
                <w:color w:val="000000"/>
                <w:sz w:val="24"/>
              </w:rPr>
            </w:pPr>
            <w:r>
              <w:rPr>
                <w:rFonts w:ascii="Times New Roman" w:hAnsi="Times New Roman" w:eastAsia="宋体" w:cs="Times New Roman"/>
                <w:b/>
                <w:bCs/>
                <w:color w:val="000000"/>
                <w:sz w:val="24"/>
              </w:rPr>
              <w:t>拟采取治理措施</w:t>
            </w:r>
            <w:r>
              <w:rPr>
                <w:rFonts w:hint="eastAsia" w:ascii="Times New Roman" w:hAnsi="Times New Roman" w:eastAsia="宋体" w:cs="Times New Roman"/>
                <w:b/>
                <w:bCs/>
                <w:color w:val="000000"/>
                <w:sz w:val="24"/>
              </w:rPr>
              <w:t>：</w:t>
            </w:r>
            <w:r>
              <w:rPr>
                <w:rFonts w:hint="eastAsia" w:ascii="Times New Roman" w:hAnsi="Times New Roman" w:eastAsia="宋体" w:cs="Times New Roman"/>
                <w:color w:val="000000"/>
                <w:sz w:val="24"/>
              </w:rPr>
              <w:t>建设半封闭式原料堆棚（三面围挡，仅装卸一侧敞开），</w:t>
            </w:r>
            <w:r>
              <w:rPr>
                <w:rFonts w:ascii="Times New Roman" w:hAnsi="Times New Roman" w:eastAsia="宋体" w:cs="Times New Roman"/>
                <w:color w:val="000000"/>
                <w:sz w:val="24"/>
              </w:rPr>
              <w:t>为降低堆场扬尘，</w:t>
            </w:r>
            <w:r>
              <w:rPr>
                <w:rFonts w:hint="eastAsia" w:ascii="Times New Roman" w:hAnsi="Times New Roman" w:eastAsia="宋体" w:cs="Times New Roman"/>
                <w:color w:val="1331F5"/>
                <w:sz w:val="24"/>
                <w:lang w:val="en-US" w:eastAsia="zh-CN"/>
              </w:rPr>
              <w:t>对易起尘物料（细物料）采用篷布</w:t>
            </w:r>
            <w:r>
              <w:rPr>
                <w:rFonts w:hint="default" w:ascii="Times New Roman" w:hAnsi="Times New Roman" w:eastAsia="宋体" w:cs="Times New Roman"/>
                <w:color w:val="1331F5"/>
                <w:sz w:val="24"/>
                <w:lang w:val="en-US" w:eastAsia="zh-CN"/>
              </w:rPr>
              <w:t>/</w:t>
            </w:r>
            <w:r>
              <w:rPr>
                <w:rFonts w:hint="eastAsia" w:ascii="Times New Roman" w:hAnsi="Times New Roman" w:eastAsia="宋体" w:cs="Times New Roman"/>
                <w:color w:val="1331F5"/>
                <w:sz w:val="24"/>
                <w:lang w:val="en-US" w:eastAsia="zh-CN"/>
              </w:rPr>
              <w:t>编织苫盖，原料堆棚</w:t>
            </w:r>
            <w:r>
              <w:rPr>
                <w:rFonts w:ascii="Times New Roman" w:hAnsi="Times New Roman" w:eastAsia="宋体" w:cs="Times New Roman"/>
                <w:color w:val="000000"/>
                <w:sz w:val="24"/>
              </w:rPr>
              <w:t>配置移动式喷淋雾炮1套，辅以洒水车不间断洒水降尘，保持堆场表面湿润。</w:t>
            </w:r>
            <w:r>
              <w:rPr>
                <w:rFonts w:hint="eastAsia" w:ascii="Times New Roman" w:hAnsi="Times New Roman" w:eastAsia="宋体" w:cs="Times New Roman"/>
                <w:color w:val="000000"/>
                <w:sz w:val="24"/>
              </w:rPr>
              <w:t>并</w:t>
            </w:r>
            <w:r>
              <w:rPr>
                <w:rFonts w:ascii="Times New Roman" w:hAnsi="Times New Roman" w:eastAsia="宋体" w:cs="Times New Roman"/>
                <w:color w:val="000000"/>
                <w:sz w:val="24"/>
              </w:rPr>
              <w:t>加强堆场日常管理，合理安排作业时序，大风天气增加洒水频次或暂停作业。</w:t>
            </w:r>
          </w:p>
          <w:p w14:paraId="3DD3EFFF">
            <w:pPr>
              <w:keepNext/>
              <w:keepLines/>
              <w:pageBreakBefore/>
              <w:widowControl/>
              <w:wordWrap w:val="0"/>
              <w:topLinePunct/>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根据“《排放源统计调查产排污核算方法和系数手册》（公告2021年第24号）-附表2 固体物料堆存颗粒物产排污核算系数手册-附录4：“粉尘控制措施控制效率取</w:t>
            </w:r>
            <w:r>
              <w:rPr>
                <w:rFonts w:hint="eastAsia" w:ascii="Times New Roman" w:hAnsi="Times New Roman" w:eastAsia="宋体" w:cs="Times New Roman"/>
                <w:sz w:val="24"/>
              </w:rPr>
              <w:t>1-[（1-74%）×（1-60%）]≈89.6%</w:t>
            </w:r>
            <w:r>
              <w:rPr>
                <w:rFonts w:hint="eastAsia" w:ascii="Times New Roman" w:hAnsi="Times New Roman" w:eastAsia="宋体" w:cs="Times New Roman"/>
                <w:color w:val="000000"/>
                <w:sz w:val="24"/>
              </w:rPr>
              <w:t>”。</w:t>
            </w:r>
          </w:p>
          <w:p w14:paraId="06AAE74D">
            <w:pPr>
              <w:keepNext/>
              <w:keepLines/>
              <w:pageBreakBefore/>
              <w:widowControl/>
              <w:wordWrap w:val="0"/>
              <w:topLinePunct/>
              <w:spacing w:line="360" w:lineRule="auto"/>
              <w:ind w:firstLine="482" w:firstLineChars="200"/>
              <w:rPr>
                <w:rFonts w:ascii="Times New Roman" w:hAnsi="Times New Roman" w:eastAsia="宋体" w:cs="Times New Roman"/>
                <w:color w:val="000000"/>
                <w:sz w:val="24"/>
              </w:rPr>
            </w:pPr>
            <w:r>
              <w:rPr>
                <w:rFonts w:ascii="Times New Roman" w:hAnsi="Times New Roman" w:eastAsia="宋体" w:cs="Times New Roman"/>
                <w:b/>
                <w:bCs/>
                <w:color w:val="000000"/>
                <w:sz w:val="24"/>
              </w:rPr>
              <w:t>排放情况：</w:t>
            </w:r>
            <w:r>
              <w:rPr>
                <w:rFonts w:ascii="Times New Roman" w:hAnsi="Times New Roman" w:eastAsia="宋体" w:cs="Times New Roman"/>
                <w:color w:val="000000"/>
                <w:sz w:val="24"/>
              </w:rPr>
              <w:t>本项目</w:t>
            </w:r>
            <w:r>
              <w:rPr>
                <w:rFonts w:hint="eastAsia" w:ascii="Times New Roman" w:hAnsi="Times New Roman" w:eastAsia="宋体" w:cs="Times New Roman"/>
                <w:color w:val="000000"/>
                <w:sz w:val="24"/>
              </w:rPr>
              <w:t>堆棚扬尘</w:t>
            </w:r>
            <w:r>
              <w:rPr>
                <w:rFonts w:ascii="Times New Roman" w:hAnsi="Times New Roman" w:eastAsia="宋体" w:cs="Times New Roman"/>
                <w:color w:val="000000"/>
                <w:sz w:val="24"/>
              </w:rPr>
              <w:t>产生、治理及排放情况见下表。</w:t>
            </w:r>
          </w:p>
          <w:p w14:paraId="65782A65">
            <w:pPr>
              <w:pStyle w:val="123"/>
              <w:spacing w:line="400" w:lineRule="exact"/>
              <w:ind w:firstLine="0"/>
              <w:rPr>
                <w:rFonts w:ascii="Times New Roman" w:hAnsi="Times New Roman" w:eastAsia="宋体" w:cs="宋体-PUA"/>
                <w:b/>
                <w:sz w:val="24"/>
                <w:szCs w:val="24"/>
                <w:shd w:val="clear" w:color="auto" w:fill="FFFFFF"/>
              </w:rPr>
            </w:pPr>
            <w:r>
              <w:rPr>
                <w:rFonts w:ascii="Times New Roman" w:hAnsi="Times New Roman" w:eastAsia="宋体" w:cs="宋体-PUA"/>
                <w:b/>
                <w:sz w:val="24"/>
                <w:szCs w:val="24"/>
                <w:shd w:val="clear" w:color="auto" w:fill="FFFFFF"/>
              </w:rPr>
              <w:t>表4</w:t>
            </w:r>
            <w:r>
              <w:rPr>
                <w:rFonts w:hint="eastAsia" w:ascii="Times New Roman" w:hAnsi="Times New Roman" w:eastAsia="宋体" w:cs="宋体-PUA"/>
                <w:b/>
                <w:sz w:val="24"/>
                <w:szCs w:val="24"/>
                <w:shd w:val="clear" w:color="auto" w:fill="FFFFFF"/>
              </w:rPr>
              <w:t>-3  石料堆棚</w:t>
            </w:r>
            <w:r>
              <w:rPr>
                <w:rFonts w:ascii="Times New Roman" w:hAnsi="Times New Roman" w:eastAsia="宋体" w:cs="宋体-PUA"/>
                <w:b/>
                <w:sz w:val="24"/>
                <w:szCs w:val="24"/>
                <w:shd w:val="clear" w:color="auto" w:fill="FFFFFF"/>
              </w:rPr>
              <w:t>扬尘产排情况一览表</w:t>
            </w:r>
          </w:p>
          <w:tbl>
            <w:tblPr>
              <w:tblStyle w:val="76"/>
              <w:tblW w:w="499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3"/>
              <w:gridCol w:w="725"/>
              <w:gridCol w:w="957"/>
              <w:gridCol w:w="910"/>
              <w:gridCol w:w="2582"/>
              <w:gridCol w:w="949"/>
              <w:gridCol w:w="1137"/>
            </w:tblGrid>
            <w:tr w14:paraId="17279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486" w:type="pct"/>
                  <w:vMerge w:val="restart"/>
                  <w:tcBorders>
                    <w:tl2br w:val="nil"/>
                    <w:tr2bl w:val="nil"/>
                  </w:tcBorders>
                  <w:shd w:val="clear" w:color="auto" w:fill="FFFFFF"/>
                  <w:vAlign w:val="center"/>
                </w:tcPr>
                <w:p w14:paraId="4DFF5216">
                  <w:pPr>
                    <w:jc w:val="center"/>
                    <w:rPr>
                      <w:rFonts w:ascii="Times New Roman" w:hAnsi="Times New Roman" w:cs="Times New Roman"/>
                      <w:b/>
                      <w:bCs/>
                      <w:szCs w:val="21"/>
                    </w:rPr>
                  </w:pPr>
                  <w:r>
                    <w:rPr>
                      <w:rFonts w:ascii="Times New Roman" w:hAnsi="Times New Roman" w:cs="Times New Roman"/>
                      <w:b/>
                      <w:bCs/>
                      <w:szCs w:val="21"/>
                    </w:rPr>
                    <w:t>产污</w:t>
                  </w:r>
                </w:p>
                <w:p w14:paraId="56FCF753">
                  <w:pPr>
                    <w:jc w:val="center"/>
                    <w:rPr>
                      <w:rFonts w:ascii="Times New Roman" w:hAnsi="Times New Roman" w:cs="Times New Roman"/>
                      <w:b/>
                      <w:bCs/>
                      <w:szCs w:val="21"/>
                    </w:rPr>
                  </w:pPr>
                  <w:r>
                    <w:rPr>
                      <w:rFonts w:ascii="Times New Roman" w:hAnsi="Times New Roman" w:cs="Times New Roman"/>
                      <w:b/>
                      <w:bCs/>
                      <w:szCs w:val="21"/>
                    </w:rPr>
                    <w:t>环节</w:t>
                  </w:r>
                </w:p>
              </w:tc>
              <w:tc>
                <w:tcPr>
                  <w:tcW w:w="450" w:type="pct"/>
                  <w:vMerge w:val="restart"/>
                  <w:tcBorders>
                    <w:tl2br w:val="nil"/>
                    <w:tr2bl w:val="nil"/>
                  </w:tcBorders>
                  <w:shd w:val="clear" w:color="auto" w:fill="FFFFFF"/>
                  <w:vAlign w:val="center"/>
                </w:tcPr>
                <w:p w14:paraId="41A9031E">
                  <w:pPr>
                    <w:jc w:val="center"/>
                    <w:rPr>
                      <w:rFonts w:ascii="Times New Roman" w:hAnsi="Times New Roman" w:cs="Times New Roman"/>
                      <w:b/>
                      <w:bCs/>
                      <w:szCs w:val="21"/>
                    </w:rPr>
                  </w:pPr>
                  <w:r>
                    <w:rPr>
                      <w:rFonts w:ascii="Times New Roman" w:hAnsi="Times New Roman" w:cs="Times New Roman"/>
                      <w:b/>
                      <w:bCs/>
                      <w:szCs w:val="21"/>
                    </w:rPr>
                    <w:t>产污</w:t>
                  </w:r>
                </w:p>
                <w:p w14:paraId="0BE9792F">
                  <w:pPr>
                    <w:jc w:val="center"/>
                    <w:rPr>
                      <w:rFonts w:ascii="Times New Roman" w:hAnsi="Times New Roman" w:cs="Times New Roman"/>
                      <w:szCs w:val="21"/>
                    </w:rPr>
                  </w:pPr>
                  <w:r>
                    <w:rPr>
                      <w:rFonts w:ascii="Times New Roman" w:hAnsi="Times New Roman" w:cs="Times New Roman"/>
                      <w:b/>
                      <w:bCs/>
                      <w:szCs w:val="21"/>
                    </w:rPr>
                    <w:t>位置</w:t>
                  </w:r>
                </w:p>
              </w:tc>
              <w:tc>
                <w:tcPr>
                  <w:tcW w:w="1161" w:type="pct"/>
                  <w:gridSpan w:val="2"/>
                  <w:tcBorders>
                    <w:tl2br w:val="nil"/>
                    <w:tr2bl w:val="nil"/>
                  </w:tcBorders>
                  <w:shd w:val="clear" w:color="auto" w:fill="FFFFFF"/>
                  <w:vAlign w:val="center"/>
                </w:tcPr>
                <w:p w14:paraId="16DAA70A">
                  <w:pPr>
                    <w:jc w:val="center"/>
                    <w:rPr>
                      <w:rFonts w:ascii="Times New Roman" w:hAnsi="Times New Roman" w:cs="Times New Roman"/>
                      <w:b/>
                      <w:bCs/>
                      <w:szCs w:val="21"/>
                    </w:rPr>
                  </w:pPr>
                  <w:r>
                    <w:rPr>
                      <w:rFonts w:ascii="Times New Roman" w:hAnsi="Times New Roman" w:cs="Times New Roman"/>
                      <w:b/>
                      <w:bCs/>
                      <w:szCs w:val="21"/>
                    </w:rPr>
                    <w:t>产生情况</w:t>
                  </w:r>
                </w:p>
              </w:tc>
              <w:tc>
                <w:tcPr>
                  <w:tcW w:w="1604" w:type="pct"/>
                  <w:vMerge w:val="restart"/>
                  <w:tcBorders>
                    <w:tl2br w:val="nil"/>
                    <w:tr2bl w:val="nil"/>
                  </w:tcBorders>
                  <w:shd w:val="clear" w:color="auto" w:fill="FFFFFF"/>
                  <w:vAlign w:val="center"/>
                </w:tcPr>
                <w:p w14:paraId="5D46EF7E">
                  <w:pPr>
                    <w:jc w:val="center"/>
                    <w:rPr>
                      <w:rFonts w:ascii="Times New Roman" w:hAnsi="Times New Roman" w:cs="Times New Roman"/>
                      <w:b/>
                      <w:bCs/>
                      <w:szCs w:val="21"/>
                    </w:rPr>
                  </w:pPr>
                  <w:r>
                    <w:rPr>
                      <w:rFonts w:ascii="Times New Roman" w:hAnsi="Times New Roman" w:cs="Times New Roman"/>
                      <w:b/>
                      <w:bCs/>
                      <w:szCs w:val="21"/>
                    </w:rPr>
                    <w:t>治理措施及效率</w:t>
                  </w:r>
                </w:p>
              </w:tc>
              <w:tc>
                <w:tcPr>
                  <w:tcW w:w="1297" w:type="pct"/>
                  <w:gridSpan w:val="2"/>
                  <w:tcBorders>
                    <w:tl2br w:val="nil"/>
                    <w:tr2bl w:val="nil"/>
                  </w:tcBorders>
                  <w:shd w:val="clear" w:color="auto" w:fill="FFFFFF"/>
                  <w:vAlign w:val="center"/>
                </w:tcPr>
                <w:p w14:paraId="055E8BD8">
                  <w:pPr>
                    <w:jc w:val="center"/>
                    <w:rPr>
                      <w:rFonts w:ascii="Times New Roman" w:hAnsi="Times New Roman" w:cs="Times New Roman"/>
                      <w:b/>
                      <w:bCs/>
                      <w:szCs w:val="21"/>
                    </w:rPr>
                  </w:pPr>
                  <w:r>
                    <w:rPr>
                      <w:rFonts w:ascii="Times New Roman" w:hAnsi="Times New Roman" w:cs="Times New Roman"/>
                      <w:b/>
                      <w:bCs/>
                      <w:szCs w:val="21"/>
                    </w:rPr>
                    <w:t>排放情况</w:t>
                  </w:r>
                </w:p>
              </w:tc>
            </w:tr>
            <w:tr w14:paraId="755B8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86" w:type="pct"/>
                  <w:vMerge w:val="continue"/>
                  <w:tcBorders>
                    <w:tl2br w:val="nil"/>
                    <w:tr2bl w:val="nil"/>
                  </w:tcBorders>
                  <w:shd w:val="clear" w:color="auto" w:fill="FFFFFF"/>
                  <w:vAlign w:val="center"/>
                </w:tcPr>
                <w:p w14:paraId="64522130">
                  <w:pPr>
                    <w:jc w:val="center"/>
                    <w:rPr>
                      <w:rFonts w:ascii="Times New Roman" w:hAnsi="Times New Roman" w:cs="Times New Roman"/>
                      <w:b/>
                      <w:bCs/>
                      <w:szCs w:val="21"/>
                    </w:rPr>
                  </w:pPr>
                </w:p>
              </w:tc>
              <w:tc>
                <w:tcPr>
                  <w:tcW w:w="450" w:type="pct"/>
                  <w:vMerge w:val="continue"/>
                  <w:tcBorders>
                    <w:tl2br w:val="nil"/>
                    <w:tr2bl w:val="nil"/>
                  </w:tcBorders>
                  <w:shd w:val="clear" w:color="auto" w:fill="FFFFFF"/>
                  <w:vAlign w:val="center"/>
                </w:tcPr>
                <w:p w14:paraId="3DD0152A">
                  <w:pPr>
                    <w:jc w:val="center"/>
                    <w:rPr>
                      <w:rFonts w:ascii="Times New Roman" w:hAnsi="Times New Roman" w:cs="Times New Roman"/>
                      <w:szCs w:val="21"/>
                    </w:rPr>
                  </w:pPr>
                </w:p>
              </w:tc>
              <w:tc>
                <w:tcPr>
                  <w:tcW w:w="595" w:type="pct"/>
                  <w:tcBorders>
                    <w:tl2br w:val="nil"/>
                    <w:tr2bl w:val="nil"/>
                  </w:tcBorders>
                  <w:shd w:val="clear" w:color="auto" w:fill="FFFFFF"/>
                  <w:vAlign w:val="center"/>
                </w:tcPr>
                <w:p w14:paraId="72C8C738">
                  <w:pPr>
                    <w:jc w:val="center"/>
                    <w:rPr>
                      <w:rFonts w:ascii="Times New Roman" w:hAnsi="Times New Roman" w:cs="Times New Roman"/>
                      <w:b/>
                      <w:bCs/>
                      <w:szCs w:val="21"/>
                    </w:rPr>
                  </w:pPr>
                  <w:r>
                    <w:rPr>
                      <w:rFonts w:ascii="Times New Roman" w:hAnsi="Times New Roman" w:cs="Times New Roman"/>
                      <w:b/>
                      <w:bCs/>
                      <w:szCs w:val="21"/>
                    </w:rPr>
                    <w:t>产生量</w:t>
                  </w:r>
                </w:p>
                <w:p w14:paraId="1B8F9CD1">
                  <w:pPr>
                    <w:jc w:val="center"/>
                    <w:rPr>
                      <w:rFonts w:ascii="Times New Roman" w:hAnsi="Times New Roman" w:cs="Times New Roman"/>
                      <w:b/>
                      <w:bCs/>
                      <w:szCs w:val="21"/>
                    </w:rPr>
                  </w:pPr>
                  <w:r>
                    <w:rPr>
                      <w:rFonts w:ascii="Times New Roman" w:hAnsi="Times New Roman" w:cs="Times New Roman"/>
                      <w:b/>
                      <w:bCs/>
                      <w:szCs w:val="21"/>
                    </w:rPr>
                    <w:t>（t/a）</w:t>
                  </w:r>
                </w:p>
              </w:tc>
              <w:tc>
                <w:tcPr>
                  <w:tcW w:w="566" w:type="pct"/>
                  <w:tcBorders>
                    <w:tl2br w:val="nil"/>
                    <w:tr2bl w:val="nil"/>
                  </w:tcBorders>
                  <w:shd w:val="clear" w:color="auto" w:fill="FFFFFF"/>
                  <w:vAlign w:val="center"/>
                </w:tcPr>
                <w:p w14:paraId="6F7FBFEF">
                  <w:pPr>
                    <w:jc w:val="center"/>
                    <w:rPr>
                      <w:rFonts w:ascii="Times New Roman" w:hAnsi="Times New Roman" w:cs="Times New Roman"/>
                      <w:b/>
                      <w:bCs/>
                      <w:szCs w:val="21"/>
                    </w:rPr>
                  </w:pPr>
                  <w:r>
                    <w:rPr>
                      <w:rFonts w:ascii="Times New Roman" w:hAnsi="Times New Roman" w:cs="Times New Roman"/>
                      <w:b/>
                      <w:bCs/>
                      <w:szCs w:val="21"/>
                    </w:rPr>
                    <w:t>产生速率（kg/h）</w:t>
                  </w:r>
                </w:p>
              </w:tc>
              <w:tc>
                <w:tcPr>
                  <w:tcW w:w="1604" w:type="pct"/>
                  <w:vMerge w:val="continue"/>
                  <w:tcBorders>
                    <w:tl2br w:val="nil"/>
                    <w:tr2bl w:val="nil"/>
                  </w:tcBorders>
                  <w:shd w:val="clear" w:color="auto" w:fill="FFFFFF"/>
                  <w:vAlign w:val="center"/>
                </w:tcPr>
                <w:p w14:paraId="12F33501">
                  <w:pPr>
                    <w:jc w:val="center"/>
                    <w:rPr>
                      <w:rFonts w:ascii="Times New Roman" w:hAnsi="Times New Roman" w:cs="Times New Roman"/>
                      <w:b/>
                      <w:bCs/>
                      <w:szCs w:val="21"/>
                    </w:rPr>
                  </w:pPr>
                </w:p>
              </w:tc>
              <w:tc>
                <w:tcPr>
                  <w:tcW w:w="590" w:type="pct"/>
                  <w:tcBorders>
                    <w:tl2br w:val="nil"/>
                    <w:tr2bl w:val="nil"/>
                  </w:tcBorders>
                  <w:shd w:val="clear" w:color="auto" w:fill="FFFFFF"/>
                  <w:vAlign w:val="center"/>
                </w:tcPr>
                <w:p w14:paraId="17452089">
                  <w:pPr>
                    <w:jc w:val="center"/>
                    <w:rPr>
                      <w:rFonts w:ascii="Times New Roman" w:hAnsi="Times New Roman" w:cs="Times New Roman"/>
                      <w:b/>
                      <w:bCs/>
                      <w:szCs w:val="21"/>
                    </w:rPr>
                  </w:pPr>
                  <w:r>
                    <w:rPr>
                      <w:rFonts w:ascii="Times New Roman" w:hAnsi="Times New Roman" w:cs="Times New Roman"/>
                      <w:b/>
                      <w:bCs/>
                      <w:szCs w:val="21"/>
                    </w:rPr>
                    <w:t>排放量（t/a）</w:t>
                  </w:r>
                </w:p>
              </w:tc>
              <w:tc>
                <w:tcPr>
                  <w:tcW w:w="706" w:type="pct"/>
                  <w:tcBorders>
                    <w:tl2br w:val="nil"/>
                    <w:tr2bl w:val="nil"/>
                  </w:tcBorders>
                  <w:shd w:val="clear" w:color="auto" w:fill="FFFFFF"/>
                  <w:vAlign w:val="center"/>
                </w:tcPr>
                <w:p w14:paraId="51FDF1F3">
                  <w:pPr>
                    <w:jc w:val="center"/>
                    <w:rPr>
                      <w:rFonts w:ascii="Times New Roman" w:hAnsi="Times New Roman" w:cs="Times New Roman"/>
                      <w:b/>
                      <w:bCs/>
                      <w:szCs w:val="21"/>
                    </w:rPr>
                  </w:pPr>
                  <w:r>
                    <w:rPr>
                      <w:rFonts w:ascii="Times New Roman" w:hAnsi="Times New Roman" w:cs="Times New Roman"/>
                      <w:b/>
                      <w:bCs/>
                      <w:szCs w:val="21"/>
                    </w:rPr>
                    <w:t>排放速率</w:t>
                  </w:r>
                </w:p>
                <w:p w14:paraId="1637CA60">
                  <w:pPr>
                    <w:jc w:val="center"/>
                    <w:rPr>
                      <w:rFonts w:ascii="Times New Roman" w:hAnsi="Times New Roman" w:cs="Times New Roman"/>
                      <w:b/>
                      <w:bCs/>
                      <w:szCs w:val="21"/>
                    </w:rPr>
                  </w:pPr>
                  <w:r>
                    <w:rPr>
                      <w:rFonts w:ascii="Times New Roman" w:hAnsi="Times New Roman" w:cs="Times New Roman"/>
                      <w:b/>
                      <w:bCs/>
                      <w:szCs w:val="21"/>
                    </w:rPr>
                    <w:t>（kg/h）</w:t>
                  </w:r>
                </w:p>
              </w:tc>
            </w:tr>
            <w:tr w14:paraId="23C90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86" w:type="pct"/>
                  <w:tcBorders>
                    <w:tl2br w:val="nil"/>
                    <w:tr2bl w:val="nil"/>
                  </w:tcBorders>
                  <w:shd w:val="clear" w:color="auto" w:fill="FFFFFF"/>
                  <w:vAlign w:val="center"/>
                </w:tcPr>
                <w:p w14:paraId="53ABA945">
                  <w:pPr>
                    <w:jc w:val="center"/>
                    <w:rPr>
                      <w:rFonts w:ascii="Times New Roman" w:hAnsi="Times New Roman" w:cs="Times New Roman"/>
                      <w:szCs w:val="21"/>
                    </w:rPr>
                  </w:pPr>
                  <w:r>
                    <w:rPr>
                      <w:rFonts w:ascii="Times New Roman" w:hAnsi="Times New Roman" w:cs="Times New Roman"/>
                      <w:szCs w:val="21"/>
                    </w:rPr>
                    <w:t>物料</w:t>
                  </w:r>
                </w:p>
                <w:p w14:paraId="7B898F02">
                  <w:pPr>
                    <w:jc w:val="center"/>
                    <w:rPr>
                      <w:rFonts w:ascii="Times New Roman" w:hAnsi="Times New Roman" w:cs="Times New Roman"/>
                      <w:b/>
                      <w:bCs/>
                      <w:szCs w:val="21"/>
                    </w:rPr>
                  </w:pPr>
                  <w:r>
                    <w:rPr>
                      <w:rFonts w:ascii="Times New Roman" w:hAnsi="Times New Roman" w:cs="Times New Roman"/>
                      <w:szCs w:val="21"/>
                    </w:rPr>
                    <w:t>堆存</w:t>
                  </w:r>
                </w:p>
              </w:tc>
              <w:tc>
                <w:tcPr>
                  <w:tcW w:w="450" w:type="pct"/>
                  <w:tcBorders>
                    <w:tl2br w:val="nil"/>
                    <w:tr2bl w:val="nil"/>
                  </w:tcBorders>
                  <w:shd w:val="clear" w:color="auto" w:fill="FFFFFF"/>
                  <w:vAlign w:val="center"/>
                </w:tcPr>
                <w:p w14:paraId="674042D9">
                  <w:pPr>
                    <w:jc w:val="center"/>
                    <w:rPr>
                      <w:rFonts w:ascii="Times New Roman" w:hAnsi="Times New Roman" w:cs="Times New Roman"/>
                      <w:szCs w:val="21"/>
                    </w:rPr>
                  </w:pPr>
                  <w:r>
                    <w:rPr>
                      <w:rFonts w:hint="eastAsia" w:ascii="Times New Roman" w:hAnsi="Times New Roman" w:cs="Times New Roman"/>
                      <w:szCs w:val="21"/>
                    </w:rPr>
                    <w:t>原料</w:t>
                  </w:r>
                </w:p>
                <w:p w14:paraId="27517A3E">
                  <w:pPr>
                    <w:jc w:val="center"/>
                    <w:rPr>
                      <w:rFonts w:ascii="Times New Roman" w:hAnsi="Times New Roman" w:cs="Times New Roman"/>
                      <w:szCs w:val="21"/>
                    </w:rPr>
                  </w:pPr>
                  <w:r>
                    <w:rPr>
                      <w:rFonts w:hint="eastAsia" w:ascii="Times New Roman" w:hAnsi="Times New Roman" w:cs="Times New Roman"/>
                      <w:szCs w:val="21"/>
                    </w:rPr>
                    <w:t>堆棚</w:t>
                  </w:r>
                </w:p>
              </w:tc>
              <w:tc>
                <w:tcPr>
                  <w:tcW w:w="595" w:type="pct"/>
                  <w:tcBorders>
                    <w:tl2br w:val="nil"/>
                    <w:tr2bl w:val="nil"/>
                  </w:tcBorders>
                  <w:shd w:val="clear" w:color="auto" w:fill="FFFFFF"/>
                  <w:vAlign w:val="center"/>
                </w:tcPr>
                <w:p w14:paraId="7BCB5637">
                  <w:pPr>
                    <w:jc w:val="center"/>
                    <w:rPr>
                      <w:rFonts w:ascii="Times New Roman" w:hAnsi="Times New Roman" w:cs="Times New Roman"/>
                      <w:szCs w:val="21"/>
                    </w:rPr>
                  </w:pPr>
                  <w:r>
                    <w:rPr>
                      <w:rFonts w:hint="eastAsia" w:ascii="Times New Roman" w:hAnsi="Times New Roman" w:cs="Times New Roman"/>
                      <w:szCs w:val="21"/>
                    </w:rPr>
                    <w:t>6.72</w:t>
                  </w:r>
                </w:p>
              </w:tc>
              <w:tc>
                <w:tcPr>
                  <w:tcW w:w="566" w:type="pct"/>
                  <w:tcBorders>
                    <w:tl2br w:val="nil"/>
                    <w:tr2bl w:val="nil"/>
                  </w:tcBorders>
                  <w:shd w:val="clear" w:color="auto" w:fill="FFFFFF"/>
                  <w:vAlign w:val="center"/>
                </w:tcPr>
                <w:p w14:paraId="42B776F0">
                  <w:pPr>
                    <w:jc w:val="center"/>
                    <w:rPr>
                      <w:rFonts w:ascii="Times New Roman" w:hAnsi="Times New Roman" w:cs="Times New Roman"/>
                      <w:szCs w:val="21"/>
                    </w:rPr>
                  </w:pPr>
                  <w:r>
                    <w:rPr>
                      <w:rFonts w:hint="eastAsia" w:ascii="Times New Roman" w:hAnsi="Times New Roman" w:cs="Times New Roman"/>
                      <w:szCs w:val="21"/>
                    </w:rPr>
                    <w:t>1.556</w:t>
                  </w:r>
                </w:p>
              </w:tc>
              <w:tc>
                <w:tcPr>
                  <w:tcW w:w="1604" w:type="pct"/>
                  <w:tcBorders>
                    <w:tl2br w:val="nil"/>
                    <w:tr2bl w:val="nil"/>
                  </w:tcBorders>
                  <w:shd w:val="clear" w:color="auto" w:fill="FFFFFF"/>
                  <w:vAlign w:val="center"/>
                </w:tcPr>
                <w:p w14:paraId="135AB1E0">
                  <w:pPr>
                    <w:jc w:val="center"/>
                    <w:rPr>
                      <w:rFonts w:ascii="Times New Roman" w:hAnsi="Times New Roman" w:cs="Times New Roman"/>
                      <w:szCs w:val="21"/>
                    </w:rPr>
                  </w:pPr>
                  <w:r>
                    <w:rPr>
                      <w:rFonts w:hint="eastAsia" w:ascii="Times New Roman" w:hAnsi="Times New Roman" w:eastAsia="宋体" w:cs="Times New Roman"/>
                      <w:color w:val="000000"/>
                      <w:kern w:val="2"/>
                      <w:sz w:val="21"/>
                      <w:szCs w:val="21"/>
                      <w:lang w:val="en-US" w:eastAsia="zh-CN" w:bidi="ar-SA"/>
                    </w:rPr>
                    <w:t>①建设半封闭式原料堆棚（三面围挡，仅装卸一侧敞开）；</w:t>
                  </w:r>
                  <w:r>
                    <w:rPr>
                      <w:rFonts w:hint="eastAsia" w:ascii="Times New Roman" w:hAnsi="Times New Roman" w:eastAsia="宋体" w:cs="Times New Roman"/>
                      <w:color w:val="1331F5"/>
                      <w:kern w:val="2"/>
                      <w:sz w:val="21"/>
                      <w:szCs w:val="21"/>
                      <w:lang w:val="en-US" w:eastAsia="zh-CN" w:bidi="ar-SA"/>
                    </w:rPr>
                    <w:t>②对易起尘物料（细物料）采用篷布</w:t>
                  </w:r>
                  <w:r>
                    <w:rPr>
                      <w:rFonts w:hint="default" w:ascii="Times New Roman" w:hAnsi="Times New Roman" w:eastAsia="宋体" w:cs="Times New Roman"/>
                      <w:color w:val="1331F5"/>
                      <w:kern w:val="2"/>
                      <w:sz w:val="21"/>
                      <w:szCs w:val="21"/>
                      <w:lang w:val="en-US" w:eastAsia="zh-CN" w:bidi="ar-SA"/>
                    </w:rPr>
                    <w:t>/</w:t>
                  </w:r>
                  <w:r>
                    <w:rPr>
                      <w:rFonts w:hint="eastAsia" w:ascii="Times New Roman" w:hAnsi="Times New Roman" w:eastAsia="宋体" w:cs="Times New Roman"/>
                      <w:color w:val="1331F5"/>
                      <w:kern w:val="2"/>
                      <w:sz w:val="21"/>
                      <w:szCs w:val="21"/>
                      <w:lang w:val="en-US" w:eastAsia="zh-CN" w:bidi="ar-SA"/>
                    </w:rPr>
                    <w:t>编织苫盖；</w:t>
                  </w:r>
                  <w:r>
                    <w:rPr>
                      <w:rFonts w:hint="eastAsia" w:ascii="Times New Roman" w:hAnsi="Times New Roman" w:eastAsia="宋体" w:cs="Times New Roman"/>
                      <w:color w:val="000000"/>
                      <w:kern w:val="2"/>
                      <w:sz w:val="21"/>
                      <w:szCs w:val="21"/>
                      <w:lang w:val="en-US" w:eastAsia="zh-CN" w:bidi="ar-SA"/>
                    </w:rPr>
                    <w:t>原料堆棚配置移动式喷淋雾炮1套，辅以洒水车洒水降尘，保持堆棚表面湿润；③加强堆场日常管理，合理安排作业时序，大风天气增加洒水频次或暂停作业。</w:t>
                  </w:r>
                  <w:r>
                    <w:rPr>
                      <w:rFonts w:hint="eastAsia" w:ascii="Times New Roman" w:hAnsi="Times New Roman" w:cs="Times New Roman"/>
                      <w:szCs w:val="21"/>
                    </w:rPr>
                    <w:t>综合治理效率取89.6%。</w:t>
                  </w:r>
                </w:p>
              </w:tc>
              <w:tc>
                <w:tcPr>
                  <w:tcW w:w="590" w:type="pct"/>
                  <w:tcBorders>
                    <w:tl2br w:val="nil"/>
                    <w:tr2bl w:val="nil"/>
                  </w:tcBorders>
                  <w:shd w:val="clear" w:color="auto" w:fill="FFFFFF"/>
                  <w:vAlign w:val="center"/>
                </w:tcPr>
                <w:p w14:paraId="1966AC4E">
                  <w:pPr>
                    <w:jc w:val="center"/>
                    <w:rPr>
                      <w:rFonts w:ascii="Times New Roman" w:hAnsi="Times New Roman" w:cs="Times New Roman"/>
                      <w:szCs w:val="21"/>
                    </w:rPr>
                  </w:pPr>
                  <w:r>
                    <w:rPr>
                      <w:rFonts w:hint="eastAsia" w:ascii="Times New Roman" w:hAnsi="Times New Roman" w:cs="Times New Roman"/>
                      <w:szCs w:val="21"/>
                    </w:rPr>
                    <w:t>0.7</w:t>
                  </w:r>
                </w:p>
              </w:tc>
              <w:tc>
                <w:tcPr>
                  <w:tcW w:w="706" w:type="pct"/>
                  <w:tcBorders>
                    <w:tl2br w:val="nil"/>
                    <w:tr2bl w:val="nil"/>
                  </w:tcBorders>
                  <w:shd w:val="clear" w:color="auto" w:fill="FFFFFF"/>
                  <w:vAlign w:val="center"/>
                </w:tcPr>
                <w:p w14:paraId="12ECDC38">
                  <w:pPr>
                    <w:jc w:val="center"/>
                    <w:rPr>
                      <w:rFonts w:ascii="Times New Roman" w:hAnsi="Times New Roman" w:cs="Times New Roman"/>
                      <w:szCs w:val="21"/>
                    </w:rPr>
                  </w:pPr>
                  <w:r>
                    <w:rPr>
                      <w:rFonts w:hint="eastAsia" w:ascii="Times New Roman" w:hAnsi="Times New Roman" w:cs="Times New Roman"/>
                      <w:szCs w:val="21"/>
                    </w:rPr>
                    <w:t>0.162</w:t>
                  </w:r>
                </w:p>
              </w:tc>
            </w:tr>
          </w:tbl>
          <w:p w14:paraId="7208FC6F">
            <w:pPr>
              <w:pStyle w:val="4"/>
              <w:keepNext w:val="0"/>
              <w:keepLines w:val="0"/>
              <w:wordWrap w:val="0"/>
              <w:topLinePunct/>
              <w:ind w:firstLine="482"/>
              <w:rPr>
                <w:rFonts w:ascii="Times New Roman" w:hAnsi="Times New Roman" w:cs="Times New Roman"/>
                <w:bCs/>
                <w:spacing w:val="0"/>
                <w:w w:val="100"/>
                <w:szCs w:val="24"/>
              </w:rPr>
            </w:pPr>
            <w:r>
              <w:rPr>
                <w:rFonts w:hint="eastAsia" w:ascii="Times New Roman" w:hAnsi="Times New Roman" w:cs="Times New Roman"/>
                <w:bCs/>
                <w:spacing w:val="0"/>
                <w:w w:val="100"/>
                <w:szCs w:val="24"/>
              </w:rPr>
              <w:t>2.2.3石料卸料扬尘</w:t>
            </w:r>
          </w:p>
          <w:p w14:paraId="5DC910EE">
            <w:pPr>
              <w:pStyle w:val="4"/>
              <w:keepNext w:val="0"/>
              <w:keepLines w:val="0"/>
              <w:wordWrap w:val="0"/>
              <w:topLinePunct/>
              <w:ind w:firstLine="482"/>
              <w:rPr>
                <w:rFonts w:ascii="Times New Roman" w:hAnsi="Times New Roman" w:cs="Times New Roman"/>
                <w:b w:val="0"/>
                <w:spacing w:val="0"/>
                <w:w w:val="100"/>
                <w:szCs w:val="24"/>
              </w:rPr>
            </w:pPr>
            <w:r>
              <w:rPr>
                <w:rFonts w:hint="eastAsia" w:ascii="Times New Roman" w:hAnsi="Times New Roman" w:cs="Times New Roman"/>
                <w:bCs/>
                <w:spacing w:val="0"/>
                <w:w w:val="100"/>
                <w:szCs w:val="24"/>
              </w:rPr>
              <w:t>源强核算：</w:t>
            </w:r>
            <w:r>
              <w:rPr>
                <w:rFonts w:hint="eastAsia" w:ascii="Times New Roman" w:hAnsi="Times New Roman" w:cs="Times New Roman"/>
                <w:b w:val="0"/>
                <w:spacing w:val="0"/>
                <w:w w:val="100"/>
                <w:szCs w:val="24"/>
              </w:rPr>
              <w:t>本</w:t>
            </w:r>
            <w:r>
              <w:rPr>
                <w:rFonts w:ascii="Times New Roman" w:hAnsi="Times New Roman" w:cs="Times New Roman"/>
                <w:b w:val="0"/>
                <w:spacing w:val="0"/>
                <w:w w:val="100"/>
                <w:szCs w:val="24"/>
              </w:rPr>
              <w:t>项目</w:t>
            </w:r>
            <w:r>
              <w:rPr>
                <w:rFonts w:hint="eastAsia" w:ascii="Times New Roman" w:hAnsi="Times New Roman" w:cs="Times New Roman"/>
                <w:b w:val="0"/>
                <w:spacing w:val="0"/>
                <w:w w:val="100"/>
                <w:szCs w:val="24"/>
              </w:rPr>
              <w:t>石料在卸料过程中会产生扬尘。根据</w:t>
            </w:r>
            <w:r>
              <w:rPr>
                <w:rFonts w:ascii="Times New Roman" w:hAnsi="Times New Roman" w:cs="Times New Roman"/>
                <w:b w:val="0"/>
                <w:spacing w:val="0"/>
                <w:w w:val="100"/>
                <w:szCs w:val="24"/>
              </w:rPr>
              <w:t>《逸散性工业粉尘控制技术》</w:t>
            </w:r>
            <w:r>
              <w:rPr>
                <w:rFonts w:hint="eastAsia" w:ascii="Times New Roman" w:hAnsi="Times New Roman" w:cs="Times New Roman"/>
                <w:b w:val="0"/>
                <w:spacing w:val="0"/>
                <w:w w:val="100"/>
                <w:szCs w:val="24"/>
              </w:rPr>
              <w:t>“</w:t>
            </w:r>
            <w:r>
              <w:rPr>
                <w:rFonts w:ascii="Times New Roman" w:hAnsi="Times New Roman" w:cs="Times New Roman"/>
                <w:b w:val="0"/>
                <w:spacing w:val="0"/>
                <w:w w:val="100"/>
                <w:szCs w:val="24"/>
              </w:rPr>
              <w:t>第</w:t>
            </w:r>
            <w:r>
              <w:rPr>
                <w:rFonts w:hint="eastAsia" w:ascii="Times New Roman" w:hAnsi="Times New Roman" w:cs="Times New Roman"/>
                <w:b w:val="0"/>
                <w:spacing w:val="0"/>
                <w:w w:val="100"/>
                <w:szCs w:val="24"/>
              </w:rPr>
              <w:t>二十一章 沥青混凝土厂 表21-1，卸粗、细粒料到贮箱逸散粉尘产生系数为0.05kg/t-卸料”，本</w:t>
            </w:r>
            <w:r>
              <w:rPr>
                <w:rFonts w:ascii="Times New Roman" w:hAnsi="Times New Roman" w:cs="Times New Roman"/>
                <w:b w:val="0"/>
                <w:spacing w:val="0"/>
                <w:w w:val="100"/>
                <w:szCs w:val="24"/>
              </w:rPr>
              <w:t>项目</w:t>
            </w:r>
            <w:r>
              <w:rPr>
                <w:rFonts w:hint="eastAsia" w:ascii="Times New Roman" w:hAnsi="Times New Roman" w:cs="Times New Roman"/>
                <w:b w:val="0"/>
                <w:spacing w:val="0"/>
                <w:w w:val="100"/>
                <w:szCs w:val="24"/>
              </w:rPr>
              <w:t>石料卸料量为161260</w:t>
            </w:r>
            <w:r>
              <w:rPr>
                <w:rFonts w:ascii="Times New Roman" w:hAnsi="Times New Roman" w:cs="Times New Roman"/>
                <w:b w:val="0"/>
                <w:spacing w:val="0"/>
                <w:w w:val="100"/>
                <w:szCs w:val="24"/>
              </w:rPr>
              <w:t>t/a，</w:t>
            </w:r>
            <w:r>
              <w:rPr>
                <w:rFonts w:hint="eastAsia" w:ascii="Times New Roman" w:hAnsi="Times New Roman" w:cs="Times New Roman"/>
                <w:b w:val="0"/>
                <w:spacing w:val="0"/>
                <w:w w:val="100"/>
                <w:szCs w:val="24"/>
              </w:rPr>
              <w:t>则石料卸料扬尘</w:t>
            </w:r>
            <w:r>
              <w:rPr>
                <w:rFonts w:ascii="Times New Roman" w:hAnsi="Times New Roman" w:cs="Times New Roman"/>
                <w:b w:val="0"/>
                <w:spacing w:val="0"/>
                <w:w w:val="100"/>
                <w:szCs w:val="24"/>
              </w:rPr>
              <w:t>产生量为</w:t>
            </w:r>
            <w:r>
              <w:rPr>
                <w:rFonts w:hint="eastAsia" w:ascii="Times New Roman" w:hAnsi="Times New Roman" w:cs="Times New Roman"/>
                <w:b w:val="0"/>
                <w:spacing w:val="0"/>
                <w:w w:val="100"/>
                <w:szCs w:val="24"/>
              </w:rPr>
              <w:t>8.063</w:t>
            </w:r>
            <w:r>
              <w:rPr>
                <w:rFonts w:ascii="Times New Roman" w:hAnsi="Times New Roman" w:cs="Times New Roman"/>
                <w:b w:val="0"/>
                <w:spacing w:val="0"/>
                <w:w w:val="100"/>
                <w:szCs w:val="24"/>
              </w:rPr>
              <w:t>t/a</w:t>
            </w:r>
            <w:r>
              <w:rPr>
                <w:rFonts w:hint="eastAsia" w:ascii="Times New Roman" w:hAnsi="Times New Roman" w:cs="Times New Roman"/>
                <w:b w:val="0"/>
                <w:spacing w:val="0"/>
                <w:w w:val="100"/>
                <w:szCs w:val="24"/>
              </w:rPr>
              <w:t>。</w:t>
            </w:r>
          </w:p>
          <w:p w14:paraId="059B55CD">
            <w:pPr>
              <w:pStyle w:val="4"/>
              <w:keepNext w:val="0"/>
              <w:keepLines w:val="0"/>
              <w:wordWrap w:val="0"/>
              <w:topLinePunct/>
              <w:ind w:firstLine="482"/>
              <w:rPr>
                <w:rFonts w:ascii="Times New Roman" w:hAnsi="Times New Roman" w:cs="Times New Roman"/>
                <w:b w:val="0"/>
                <w:spacing w:val="0"/>
                <w:w w:val="100"/>
                <w:szCs w:val="24"/>
              </w:rPr>
            </w:pPr>
            <w:r>
              <w:rPr>
                <w:rFonts w:hint="eastAsia" w:ascii="Times New Roman" w:hAnsi="Times New Roman" w:cs="Times New Roman"/>
                <w:bCs/>
                <w:spacing w:val="0"/>
                <w:w w:val="100"/>
                <w:szCs w:val="24"/>
              </w:rPr>
              <w:t>拟采取治理措施：</w:t>
            </w:r>
            <w:r>
              <w:rPr>
                <w:rFonts w:hint="eastAsia" w:ascii="Times New Roman" w:hAnsi="Times New Roman" w:cs="Times New Roman"/>
                <w:b w:val="0"/>
                <w:spacing w:val="0"/>
                <w:w w:val="100"/>
                <w:szCs w:val="24"/>
              </w:rPr>
              <w:t>物料卸料作业时，采用移动式喷淋雾炮辅以洒水车针对作业面进行洒水降尘；并加强管理，合理安排作业时序，大风天气增加洒水频次或暂停作业。</w:t>
            </w:r>
          </w:p>
          <w:p w14:paraId="33375D0F">
            <w:pPr>
              <w:pStyle w:val="4"/>
              <w:keepNext w:val="0"/>
              <w:keepLines w:val="0"/>
              <w:wordWrap w:val="0"/>
              <w:topLinePunct/>
              <w:ind w:firstLine="482"/>
              <w:rPr>
                <w:rFonts w:ascii="Times New Roman" w:hAnsi="Times New Roman" w:cs="Times New Roman"/>
                <w:b w:val="0"/>
                <w:spacing w:val="0"/>
                <w:w w:val="100"/>
                <w:szCs w:val="24"/>
              </w:rPr>
            </w:pPr>
            <w:r>
              <w:rPr>
                <w:rFonts w:ascii="Times New Roman" w:hAnsi="Times New Roman" w:cs="Times New Roman"/>
                <w:bCs/>
                <w:spacing w:val="0"/>
                <w:w w:val="100"/>
                <w:szCs w:val="24"/>
              </w:rPr>
              <w:t>排放情况：</w:t>
            </w:r>
            <w:r>
              <w:rPr>
                <w:rFonts w:ascii="Times New Roman" w:hAnsi="Times New Roman" w:cs="Times New Roman"/>
                <w:b w:val="0"/>
                <w:spacing w:val="0"/>
                <w:w w:val="100"/>
                <w:szCs w:val="24"/>
              </w:rPr>
              <w:t>本项目</w:t>
            </w:r>
            <w:r>
              <w:rPr>
                <w:rFonts w:hint="eastAsia" w:ascii="Times New Roman" w:hAnsi="Times New Roman" w:cs="Times New Roman"/>
                <w:b w:val="0"/>
                <w:spacing w:val="0"/>
                <w:w w:val="100"/>
                <w:szCs w:val="24"/>
              </w:rPr>
              <w:t>石料卸料</w:t>
            </w:r>
            <w:r>
              <w:rPr>
                <w:rFonts w:ascii="Times New Roman" w:hAnsi="Times New Roman" w:cs="Times New Roman"/>
                <w:b w:val="0"/>
                <w:spacing w:val="0"/>
                <w:w w:val="100"/>
                <w:szCs w:val="24"/>
              </w:rPr>
              <w:t>扬尘产生、治理及排放情况见下表。</w:t>
            </w:r>
          </w:p>
          <w:p w14:paraId="6DF9DC24">
            <w:pPr>
              <w:pStyle w:val="4"/>
              <w:keepNext w:val="0"/>
              <w:keepLines w:val="0"/>
              <w:wordWrap w:val="0"/>
              <w:topLinePunct/>
              <w:ind w:firstLine="0" w:firstLineChars="0"/>
              <w:jc w:val="center"/>
              <w:rPr>
                <w:rFonts w:ascii="Times New Roman" w:hAnsi="Times New Roman" w:cs="Times New Roman"/>
                <w:bCs/>
                <w:spacing w:val="0"/>
                <w:w w:val="100"/>
                <w:szCs w:val="24"/>
              </w:rPr>
            </w:pPr>
            <w:r>
              <w:rPr>
                <w:rFonts w:ascii="Times New Roman" w:hAnsi="Times New Roman" w:cs="Times New Roman"/>
                <w:bCs/>
                <w:spacing w:val="0"/>
                <w:w w:val="100"/>
                <w:szCs w:val="24"/>
              </w:rPr>
              <w:t>表4</w:t>
            </w:r>
            <w:r>
              <w:rPr>
                <w:rFonts w:hint="eastAsia" w:ascii="Times New Roman" w:hAnsi="Times New Roman" w:cs="Times New Roman"/>
                <w:bCs/>
                <w:spacing w:val="0"/>
                <w:w w:val="100"/>
                <w:szCs w:val="24"/>
              </w:rPr>
              <w:t>-4  石料卸料</w:t>
            </w:r>
            <w:r>
              <w:rPr>
                <w:rFonts w:ascii="Times New Roman" w:hAnsi="Times New Roman" w:cs="Times New Roman"/>
                <w:bCs/>
                <w:spacing w:val="0"/>
                <w:w w:val="100"/>
                <w:szCs w:val="24"/>
              </w:rPr>
              <w:t>扬尘产排情况一览表</w:t>
            </w:r>
          </w:p>
          <w:tbl>
            <w:tblPr>
              <w:tblStyle w:val="76"/>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74"/>
              <w:gridCol w:w="1251"/>
              <w:gridCol w:w="912"/>
              <w:gridCol w:w="1063"/>
              <w:gridCol w:w="1910"/>
              <w:gridCol w:w="936"/>
              <w:gridCol w:w="1007"/>
            </w:tblGrid>
            <w:tr w14:paraId="0CE2B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05" w:type="pct"/>
                  <w:vMerge w:val="restart"/>
                  <w:tcBorders>
                    <w:tl2br w:val="nil"/>
                    <w:tr2bl w:val="nil"/>
                  </w:tcBorders>
                  <w:shd w:val="clear" w:color="auto" w:fill="FFFFFF"/>
                  <w:vAlign w:val="center"/>
                </w:tcPr>
                <w:p w14:paraId="257F4D29">
                  <w:pPr>
                    <w:jc w:val="center"/>
                    <w:rPr>
                      <w:rFonts w:ascii="Times New Roman" w:hAnsi="Times New Roman" w:cs="Times New Roman"/>
                      <w:b/>
                      <w:bCs/>
                      <w:szCs w:val="21"/>
                    </w:rPr>
                  </w:pPr>
                  <w:r>
                    <w:rPr>
                      <w:rFonts w:ascii="Times New Roman" w:hAnsi="Times New Roman" w:cs="Times New Roman"/>
                      <w:b/>
                      <w:bCs/>
                      <w:szCs w:val="21"/>
                    </w:rPr>
                    <w:t>产污环节</w:t>
                  </w:r>
                </w:p>
              </w:tc>
              <w:tc>
                <w:tcPr>
                  <w:tcW w:w="777" w:type="pct"/>
                  <w:vMerge w:val="restart"/>
                  <w:tcBorders>
                    <w:tl2br w:val="nil"/>
                    <w:tr2bl w:val="nil"/>
                  </w:tcBorders>
                  <w:shd w:val="clear" w:color="auto" w:fill="FFFFFF"/>
                  <w:vAlign w:val="center"/>
                </w:tcPr>
                <w:p w14:paraId="1FBFEFF1">
                  <w:pPr>
                    <w:jc w:val="center"/>
                    <w:rPr>
                      <w:rFonts w:ascii="Times New Roman" w:hAnsi="Times New Roman" w:cs="Times New Roman"/>
                      <w:b/>
                      <w:bCs/>
                      <w:szCs w:val="21"/>
                    </w:rPr>
                  </w:pPr>
                  <w:r>
                    <w:rPr>
                      <w:rFonts w:ascii="Times New Roman" w:hAnsi="Times New Roman" w:cs="Times New Roman"/>
                      <w:b/>
                      <w:bCs/>
                      <w:szCs w:val="21"/>
                    </w:rPr>
                    <w:t>产污位置</w:t>
                  </w:r>
                </w:p>
              </w:tc>
              <w:tc>
                <w:tcPr>
                  <w:tcW w:w="1226" w:type="pct"/>
                  <w:gridSpan w:val="2"/>
                  <w:tcBorders>
                    <w:tl2br w:val="nil"/>
                    <w:tr2bl w:val="nil"/>
                  </w:tcBorders>
                  <w:shd w:val="clear" w:color="auto" w:fill="FFFFFF"/>
                  <w:vAlign w:val="center"/>
                </w:tcPr>
                <w:p w14:paraId="2164C66C">
                  <w:pPr>
                    <w:jc w:val="center"/>
                    <w:rPr>
                      <w:rFonts w:ascii="Times New Roman" w:hAnsi="Times New Roman" w:cs="Times New Roman"/>
                      <w:b/>
                      <w:bCs/>
                      <w:szCs w:val="21"/>
                    </w:rPr>
                  </w:pPr>
                  <w:r>
                    <w:rPr>
                      <w:rFonts w:ascii="Times New Roman" w:hAnsi="Times New Roman" w:cs="Times New Roman"/>
                      <w:b/>
                      <w:bCs/>
                      <w:szCs w:val="21"/>
                    </w:rPr>
                    <w:t>产生情况</w:t>
                  </w:r>
                </w:p>
              </w:tc>
              <w:tc>
                <w:tcPr>
                  <w:tcW w:w="1186" w:type="pct"/>
                  <w:vMerge w:val="restart"/>
                  <w:tcBorders>
                    <w:tl2br w:val="nil"/>
                    <w:tr2bl w:val="nil"/>
                  </w:tcBorders>
                  <w:shd w:val="clear" w:color="auto" w:fill="FFFFFF"/>
                  <w:vAlign w:val="center"/>
                </w:tcPr>
                <w:p w14:paraId="321CD6DB">
                  <w:pPr>
                    <w:jc w:val="center"/>
                    <w:rPr>
                      <w:rFonts w:ascii="Times New Roman" w:hAnsi="Times New Roman" w:cs="Times New Roman"/>
                      <w:b/>
                      <w:bCs/>
                      <w:szCs w:val="21"/>
                    </w:rPr>
                  </w:pPr>
                  <w:r>
                    <w:rPr>
                      <w:rFonts w:ascii="Times New Roman" w:hAnsi="Times New Roman" w:cs="Times New Roman"/>
                      <w:b/>
                      <w:bCs/>
                      <w:szCs w:val="21"/>
                    </w:rPr>
                    <w:t>治理措施及效率</w:t>
                  </w:r>
                </w:p>
              </w:tc>
              <w:tc>
                <w:tcPr>
                  <w:tcW w:w="1204" w:type="pct"/>
                  <w:gridSpan w:val="2"/>
                  <w:tcBorders>
                    <w:tl2br w:val="nil"/>
                    <w:tr2bl w:val="nil"/>
                  </w:tcBorders>
                  <w:shd w:val="clear" w:color="auto" w:fill="FFFFFF"/>
                  <w:vAlign w:val="center"/>
                </w:tcPr>
                <w:p w14:paraId="176B5D30">
                  <w:pPr>
                    <w:jc w:val="center"/>
                    <w:rPr>
                      <w:rFonts w:ascii="Times New Roman" w:hAnsi="Times New Roman" w:cs="Times New Roman"/>
                      <w:b/>
                      <w:bCs/>
                      <w:szCs w:val="21"/>
                    </w:rPr>
                  </w:pPr>
                  <w:r>
                    <w:rPr>
                      <w:rFonts w:ascii="Times New Roman" w:hAnsi="Times New Roman" w:cs="Times New Roman"/>
                      <w:b/>
                      <w:bCs/>
                      <w:szCs w:val="21"/>
                    </w:rPr>
                    <w:t>排放情况</w:t>
                  </w:r>
                </w:p>
              </w:tc>
            </w:tr>
            <w:tr w14:paraId="217A6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05" w:type="pct"/>
                  <w:vMerge w:val="continue"/>
                  <w:tcBorders>
                    <w:tl2br w:val="nil"/>
                    <w:tr2bl w:val="nil"/>
                  </w:tcBorders>
                  <w:shd w:val="clear" w:color="auto" w:fill="FFFFFF"/>
                  <w:vAlign w:val="center"/>
                </w:tcPr>
                <w:p w14:paraId="703F2FC7">
                  <w:pPr>
                    <w:jc w:val="center"/>
                    <w:rPr>
                      <w:rFonts w:ascii="Times New Roman" w:hAnsi="Times New Roman" w:cs="Times New Roman"/>
                      <w:b/>
                      <w:bCs/>
                      <w:szCs w:val="21"/>
                    </w:rPr>
                  </w:pPr>
                </w:p>
              </w:tc>
              <w:tc>
                <w:tcPr>
                  <w:tcW w:w="777" w:type="pct"/>
                  <w:vMerge w:val="continue"/>
                  <w:tcBorders>
                    <w:tl2br w:val="nil"/>
                    <w:tr2bl w:val="nil"/>
                  </w:tcBorders>
                  <w:shd w:val="clear" w:color="auto" w:fill="FFFFFF"/>
                  <w:vAlign w:val="center"/>
                </w:tcPr>
                <w:p w14:paraId="4318E98B">
                  <w:pPr>
                    <w:jc w:val="center"/>
                    <w:rPr>
                      <w:rFonts w:ascii="Times New Roman" w:hAnsi="Times New Roman" w:cs="Times New Roman"/>
                      <w:b/>
                      <w:bCs/>
                      <w:szCs w:val="21"/>
                    </w:rPr>
                  </w:pPr>
                </w:p>
              </w:tc>
              <w:tc>
                <w:tcPr>
                  <w:tcW w:w="566" w:type="pct"/>
                  <w:tcBorders>
                    <w:tl2br w:val="nil"/>
                    <w:tr2bl w:val="nil"/>
                  </w:tcBorders>
                  <w:shd w:val="clear" w:color="auto" w:fill="FFFFFF"/>
                  <w:vAlign w:val="center"/>
                </w:tcPr>
                <w:p w14:paraId="2DC443E7">
                  <w:pPr>
                    <w:jc w:val="center"/>
                    <w:rPr>
                      <w:rFonts w:ascii="Times New Roman" w:hAnsi="Times New Roman" w:cs="Times New Roman"/>
                      <w:b/>
                      <w:bCs/>
                      <w:szCs w:val="21"/>
                    </w:rPr>
                  </w:pPr>
                  <w:r>
                    <w:rPr>
                      <w:rFonts w:ascii="Times New Roman" w:hAnsi="Times New Roman" w:cs="Times New Roman"/>
                      <w:b/>
                      <w:bCs/>
                      <w:szCs w:val="21"/>
                    </w:rPr>
                    <w:t>产生量（t/a）</w:t>
                  </w:r>
                </w:p>
              </w:tc>
              <w:tc>
                <w:tcPr>
                  <w:tcW w:w="660" w:type="pct"/>
                  <w:tcBorders>
                    <w:tl2br w:val="nil"/>
                    <w:tr2bl w:val="nil"/>
                  </w:tcBorders>
                  <w:shd w:val="clear" w:color="auto" w:fill="FFFFFF"/>
                  <w:vAlign w:val="center"/>
                </w:tcPr>
                <w:p w14:paraId="5D6DB68E">
                  <w:pPr>
                    <w:jc w:val="center"/>
                    <w:rPr>
                      <w:rFonts w:ascii="Times New Roman" w:hAnsi="Times New Roman" w:cs="Times New Roman"/>
                      <w:b/>
                      <w:bCs/>
                      <w:szCs w:val="21"/>
                    </w:rPr>
                  </w:pPr>
                  <w:r>
                    <w:rPr>
                      <w:rFonts w:ascii="Times New Roman" w:hAnsi="Times New Roman" w:cs="Times New Roman"/>
                      <w:b/>
                      <w:bCs/>
                      <w:szCs w:val="21"/>
                    </w:rPr>
                    <w:t>产生速率（kg/h）</w:t>
                  </w:r>
                </w:p>
              </w:tc>
              <w:tc>
                <w:tcPr>
                  <w:tcW w:w="1186" w:type="pct"/>
                  <w:vMerge w:val="continue"/>
                  <w:tcBorders>
                    <w:tl2br w:val="nil"/>
                    <w:tr2bl w:val="nil"/>
                  </w:tcBorders>
                  <w:shd w:val="clear" w:color="auto" w:fill="FFFFFF"/>
                  <w:vAlign w:val="center"/>
                </w:tcPr>
                <w:p w14:paraId="550143EB">
                  <w:pPr>
                    <w:jc w:val="center"/>
                    <w:rPr>
                      <w:rFonts w:ascii="Times New Roman" w:hAnsi="Times New Roman" w:cs="Times New Roman"/>
                      <w:b/>
                      <w:bCs/>
                      <w:szCs w:val="21"/>
                    </w:rPr>
                  </w:pPr>
                </w:p>
              </w:tc>
              <w:tc>
                <w:tcPr>
                  <w:tcW w:w="581" w:type="pct"/>
                  <w:tcBorders>
                    <w:tl2br w:val="nil"/>
                    <w:tr2bl w:val="nil"/>
                  </w:tcBorders>
                  <w:shd w:val="clear" w:color="auto" w:fill="FFFFFF"/>
                  <w:vAlign w:val="center"/>
                </w:tcPr>
                <w:p w14:paraId="2C978283">
                  <w:pPr>
                    <w:jc w:val="center"/>
                    <w:rPr>
                      <w:rFonts w:ascii="Times New Roman" w:hAnsi="Times New Roman" w:cs="Times New Roman"/>
                      <w:b/>
                      <w:bCs/>
                      <w:szCs w:val="21"/>
                    </w:rPr>
                  </w:pPr>
                  <w:r>
                    <w:rPr>
                      <w:rFonts w:ascii="Times New Roman" w:hAnsi="Times New Roman" w:cs="Times New Roman"/>
                      <w:b/>
                      <w:bCs/>
                      <w:szCs w:val="21"/>
                    </w:rPr>
                    <w:t>排放量（t/a）</w:t>
                  </w:r>
                </w:p>
              </w:tc>
              <w:tc>
                <w:tcPr>
                  <w:tcW w:w="622" w:type="pct"/>
                  <w:tcBorders>
                    <w:tl2br w:val="nil"/>
                    <w:tr2bl w:val="nil"/>
                  </w:tcBorders>
                  <w:shd w:val="clear" w:color="auto" w:fill="FFFFFF"/>
                  <w:vAlign w:val="center"/>
                </w:tcPr>
                <w:p w14:paraId="4B76A3E5">
                  <w:pPr>
                    <w:jc w:val="center"/>
                    <w:rPr>
                      <w:rFonts w:ascii="Times New Roman" w:hAnsi="Times New Roman" w:cs="Times New Roman"/>
                      <w:b/>
                      <w:bCs/>
                      <w:szCs w:val="21"/>
                    </w:rPr>
                  </w:pPr>
                  <w:r>
                    <w:rPr>
                      <w:rFonts w:ascii="Times New Roman" w:hAnsi="Times New Roman" w:cs="Times New Roman"/>
                      <w:b/>
                      <w:bCs/>
                      <w:szCs w:val="21"/>
                    </w:rPr>
                    <w:t>排放速率（kg/h）</w:t>
                  </w:r>
                </w:p>
              </w:tc>
            </w:tr>
            <w:tr w14:paraId="17324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05" w:type="pct"/>
                  <w:tcBorders>
                    <w:tl2br w:val="nil"/>
                    <w:tr2bl w:val="nil"/>
                  </w:tcBorders>
                  <w:shd w:val="clear" w:color="auto" w:fill="FFFFFF"/>
                  <w:vAlign w:val="center"/>
                </w:tcPr>
                <w:p w14:paraId="70B06BD3">
                  <w:pPr>
                    <w:jc w:val="center"/>
                    <w:rPr>
                      <w:rFonts w:ascii="Times New Roman" w:hAnsi="Times New Roman" w:cs="Times New Roman"/>
                      <w:szCs w:val="21"/>
                    </w:rPr>
                  </w:pPr>
                  <w:r>
                    <w:rPr>
                      <w:rFonts w:hint="eastAsia" w:ascii="Times New Roman" w:hAnsi="Times New Roman" w:cs="Times New Roman"/>
                      <w:szCs w:val="21"/>
                    </w:rPr>
                    <w:t>石料卸料</w:t>
                  </w:r>
                </w:p>
              </w:tc>
              <w:tc>
                <w:tcPr>
                  <w:tcW w:w="777" w:type="pct"/>
                  <w:tcBorders>
                    <w:tl2br w:val="nil"/>
                    <w:tr2bl w:val="nil"/>
                  </w:tcBorders>
                  <w:shd w:val="clear" w:color="auto" w:fill="FFFFFF"/>
                  <w:vAlign w:val="center"/>
                </w:tcPr>
                <w:p w14:paraId="3B25674D">
                  <w:pPr>
                    <w:jc w:val="center"/>
                    <w:rPr>
                      <w:rFonts w:ascii="Times New Roman" w:hAnsi="Times New Roman" w:cs="Times New Roman"/>
                      <w:szCs w:val="21"/>
                    </w:rPr>
                  </w:pPr>
                  <w:r>
                    <w:rPr>
                      <w:rFonts w:hint="eastAsia" w:ascii="Times New Roman" w:hAnsi="Times New Roman" w:cs="Times New Roman"/>
                      <w:szCs w:val="21"/>
                    </w:rPr>
                    <w:t>原料堆棚</w:t>
                  </w:r>
                </w:p>
              </w:tc>
              <w:tc>
                <w:tcPr>
                  <w:tcW w:w="566" w:type="pct"/>
                  <w:tcBorders>
                    <w:tl2br w:val="nil"/>
                    <w:tr2bl w:val="nil"/>
                  </w:tcBorders>
                  <w:shd w:val="clear" w:color="auto" w:fill="FFFFFF"/>
                  <w:vAlign w:val="center"/>
                </w:tcPr>
                <w:p w14:paraId="24F8D34F">
                  <w:pPr>
                    <w:jc w:val="center"/>
                    <w:rPr>
                      <w:rFonts w:ascii="Times New Roman" w:hAnsi="Times New Roman" w:cs="Times New Roman"/>
                      <w:szCs w:val="21"/>
                    </w:rPr>
                  </w:pPr>
                  <w:r>
                    <w:rPr>
                      <w:rFonts w:hint="eastAsia" w:ascii="Times New Roman" w:hAnsi="Times New Roman" w:cs="Times New Roman"/>
                      <w:szCs w:val="21"/>
                    </w:rPr>
                    <w:t>8.063</w:t>
                  </w:r>
                </w:p>
              </w:tc>
              <w:tc>
                <w:tcPr>
                  <w:tcW w:w="660" w:type="pct"/>
                  <w:tcBorders>
                    <w:tl2br w:val="nil"/>
                    <w:tr2bl w:val="nil"/>
                  </w:tcBorders>
                  <w:shd w:val="clear" w:color="auto" w:fill="FFFFFF"/>
                  <w:vAlign w:val="center"/>
                </w:tcPr>
                <w:p w14:paraId="78CF4B79">
                  <w:pPr>
                    <w:jc w:val="center"/>
                    <w:rPr>
                      <w:rFonts w:ascii="Times New Roman" w:hAnsi="Times New Roman" w:cs="Times New Roman"/>
                      <w:szCs w:val="21"/>
                    </w:rPr>
                  </w:pPr>
                  <w:r>
                    <w:rPr>
                      <w:rFonts w:hint="eastAsia" w:ascii="Times New Roman" w:hAnsi="Times New Roman" w:cs="Times New Roman"/>
                      <w:szCs w:val="21"/>
                    </w:rPr>
                    <w:t>11.2</w:t>
                  </w:r>
                </w:p>
              </w:tc>
              <w:tc>
                <w:tcPr>
                  <w:tcW w:w="1186" w:type="pct"/>
                  <w:tcBorders>
                    <w:tl2br w:val="nil"/>
                    <w:tr2bl w:val="nil"/>
                  </w:tcBorders>
                  <w:shd w:val="clear" w:color="auto" w:fill="FFFFFF"/>
                  <w:vAlign w:val="center"/>
                </w:tcPr>
                <w:p w14:paraId="438F4FA0">
                  <w:pPr>
                    <w:jc w:val="center"/>
                    <w:rPr>
                      <w:rFonts w:ascii="Times New Roman" w:hAnsi="Times New Roman" w:cs="Times New Roman"/>
                      <w:szCs w:val="21"/>
                    </w:rPr>
                  </w:pPr>
                  <w:r>
                    <w:rPr>
                      <w:rFonts w:hint="eastAsia" w:ascii="Times New Roman" w:hAnsi="Times New Roman" w:cs="Times New Roman"/>
                      <w:szCs w:val="21"/>
                    </w:rPr>
                    <w:t>采用移动式喷淋雾炮辅以洒水车针对作业面进行洒水降尘；治理效率取85%。</w:t>
                  </w:r>
                </w:p>
              </w:tc>
              <w:tc>
                <w:tcPr>
                  <w:tcW w:w="581" w:type="pct"/>
                  <w:tcBorders>
                    <w:tl2br w:val="nil"/>
                    <w:tr2bl w:val="nil"/>
                  </w:tcBorders>
                  <w:shd w:val="clear" w:color="auto" w:fill="FFFFFF"/>
                  <w:vAlign w:val="center"/>
                </w:tcPr>
                <w:p w14:paraId="6BEE91E7">
                  <w:pPr>
                    <w:jc w:val="center"/>
                    <w:rPr>
                      <w:rFonts w:ascii="Times New Roman" w:hAnsi="Times New Roman" w:cs="Times New Roman"/>
                      <w:szCs w:val="21"/>
                    </w:rPr>
                  </w:pPr>
                  <w:r>
                    <w:rPr>
                      <w:rFonts w:hint="eastAsia" w:ascii="Times New Roman" w:hAnsi="Times New Roman" w:cs="Times New Roman"/>
                      <w:szCs w:val="21"/>
                    </w:rPr>
                    <w:t>1.21</w:t>
                  </w:r>
                </w:p>
              </w:tc>
              <w:tc>
                <w:tcPr>
                  <w:tcW w:w="622" w:type="pct"/>
                  <w:tcBorders>
                    <w:tl2br w:val="nil"/>
                    <w:tr2bl w:val="nil"/>
                  </w:tcBorders>
                  <w:shd w:val="clear" w:color="auto" w:fill="FFFFFF"/>
                  <w:vAlign w:val="center"/>
                </w:tcPr>
                <w:p w14:paraId="3A603085">
                  <w:pPr>
                    <w:jc w:val="center"/>
                    <w:rPr>
                      <w:rFonts w:ascii="Times New Roman" w:hAnsi="Times New Roman" w:cs="Times New Roman"/>
                      <w:szCs w:val="21"/>
                    </w:rPr>
                  </w:pPr>
                  <w:r>
                    <w:rPr>
                      <w:rFonts w:hint="eastAsia" w:ascii="Times New Roman" w:hAnsi="Times New Roman" w:cs="Times New Roman"/>
                      <w:szCs w:val="21"/>
                    </w:rPr>
                    <w:t>1.68</w:t>
                  </w:r>
                </w:p>
              </w:tc>
            </w:tr>
            <w:tr w14:paraId="0078B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000" w:type="pct"/>
                  <w:gridSpan w:val="7"/>
                  <w:tcBorders>
                    <w:tl2br w:val="nil"/>
                    <w:tr2bl w:val="nil"/>
                  </w:tcBorders>
                  <w:shd w:val="clear" w:color="auto" w:fill="FFFFFF"/>
                  <w:vAlign w:val="center"/>
                </w:tcPr>
                <w:p w14:paraId="7E619406">
                  <w:pPr>
                    <w:rPr>
                      <w:rFonts w:ascii="Times New Roman" w:hAnsi="Times New Roman" w:cs="Times New Roman"/>
                      <w:szCs w:val="21"/>
                    </w:rPr>
                  </w:pPr>
                  <w:r>
                    <w:rPr>
                      <w:rFonts w:hint="eastAsia" w:ascii="Times New Roman" w:hAnsi="Times New Roman" w:cs="Times New Roman"/>
                      <w:szCs w:val="21"/>
                    </w:rPr>
                    <w:t>注：本项目全年运行180天，石料卸料按照720h/a计。</w:t>
                  </w:r>
                </w:p>
              </w:tc>
            </w:tr>
          </w:tbl>
          <w:p w14:paraId="31807417">
            <w:pPr>
              <w:pStyle w:val="4"/>
              <w:keepNext w:val="0"/>
              <w:keepLines w:val="0"/>
              <w:wordWrap w:val="0"/>
              <w:topLinePunct/>
              <w:ind w:firstLine="482"/>
              <w:rPr>
                <w:rFonts w:ascii="Times New Roman" w:hAnsi="Times New Roman" w:cs="Times New Roman"/>
                <w:bCs/>
                <w:spacing w:val="0"/>
                <w:w w:val="100"/>
                <w:szCs w:val="24"/>
              </w:rPr>
            </w:pPr>
            <w:r>
              <w:rPr>
                <w:rFonts w:hint="eastAsia" w:ascii="Times New Roman" w:hAnsi="Times New Roman" w:cs="Times New Roman"/>
                <w:bCs/>
                <w:spacing w:val="0"/>
                <w:w w:val="100"/>
                <w:szCs w:val="24"/>
              </w:rPr>
              <w:t>2.2.4冷料上料粉尘</w:t>
            </w:r>
          </w:p>
          <w:p w14:paraId="27F25CCB">
            <w:pPr>
              <w:pStyle w:val="4"/>
              <w:keepNext w:val="0"/>
              <w:keepLines w:val="0"/>
              <w:wordWrap w:val="0"/>
              <w:topLinePunct/>
              <w:ind w:firstLine="482"/>
              <w:rPr>
                <w:rFonts w:ascii="Times New Roman" w:hAnsi="Times New Roman" w:cs="Times New Roman"/>
                <w:bCs/>
                <w:spacing w:val="0"/>
                <w:w w:val="100"/>
                <w:szCs w:val="24"/>
              </w:rPr>
            </w:pPr>
            <w:r>
              <w:rPr>
                <w:rFonts w:hint="eastAsia" w:ascii="Times New Roman" w:hAnsi="Times New Roman" w:cs="Times New Roman"/>
                <w:bCs/>
                <w:spacing w:val="0"/>
                <w:w w:val="100"/>
                <w:szCs w:val="24"/>
              </w:rPr>
              <w:t>源强核算：</w:t>
            </w:r>
            <w:r>
              <w:rPr>
                <w:rFonts w:hint="eastAsia" w:ascii="Times New Roman" w:hAnsi="Times New Roman" w:cs="Times New Roman"/>
                <w:b w:val="0"/>
                <w:spacing w:val="0"/>
                <w:w w:val="100"/>
                <w:szCs w:val="24"/>
              </w:rPr>
              <w:t>本项目石料、凹凸棒石破碎成</w:t>
            </w:r>
            <w:r>
              <w:rPr>
                <w:rFonts w:hint="eastAsia" w:ascii="Times New Roman" w:hAnsi="Times New Roman" w:cs="Times New Roman"/>
                <w:b w:val="0"/>
                <w:color w:val="auto"/>
                <w:spacing w:val="0"/>
                <w:w w:val="100"/>
                <w:szCs w:val="24"/>
              </w:rPr>
              <w:t>品通过铲车/装载机上至</w:t>
            </w:r>
            <w:r>
              <w:rPr>
                <w:rFonts w:hint="eastAsia" w:ascii="Times New Roman" w:hAnsi="Times New Roman" w:cs="Times New Roman"/>
                <w:b w:val="0"/>
                <w:spacing w:val="0"/>
                <w:w w:val="100"/>
                <w:szCs w:val="24"/>
              </w:rPr>
              <w:t>冷料仓，再通过封闭皮带廊道输送至烘干滚筒，冷料上料过程中会产生一定量的粉尘。根据</w:t>
            </w:r>
            <w:r>
              <w:rPr>
                <w:rFonts w:ascii="Times New Roman" w:hAnsi="Times New Roman" w:cs="Times New Roman"/>
                <w:b w:val="0"/>
                <w:spacing w:val="0"/>
                <w:w w:val="100"/>
                <w:szCs w:val="24"/>
              </w:rPr>
              <w:t>《逸散性工业粉尘控制技术》</w:t>
            </w:r>
            <w:r>
              <w:rPr>
                <w:rFonts w:hint="eastAsia" w:ascii="Times New Roman" w:hAnsi="Times New Roman" w:cs="Times New Roman"/>
                <w:b w:val="0"/>
                <w:spacing w:val="0"/>
                <w:w w:val="100"/>
                <w:szCs w:val="24"/>
              </w:rPr>
              <w:t>“</w:t>
            </w:r>
            <w:r>
              <w:rPr>
                <w:rFonts w:ascii="Times New Roman" w:hAnsi="Times New Roman" w:cs="Times New Roman"/>
                <w:b w:val="0"/>
                <w:spacing w:val="0"/>
                <w:w w:val="100"/>
                <w:szCs w:val="24"/>
              </w:rPr>
              <w:t>第</w:t>
            </w:r>
            <w:r>
              <w:rPr>
                <w:rFonts w:hint="eastAsia" w:ascii="Times New Roman" w:hAnsi="Times New Roman" w:cs="Times New Roman"/>
                <w:b w:val="0"/>
                <w:spacing w:val="0"/>
                <w:w w:val="100"/>
                <w:szCs w:val="24"/>
              </w:rPr>
              <w:t>二十一章 沥青混凝土厂 表21-1，送料上堆逸散粉尘产生系数为0.02kg/t-上堆料”，本</w:t>
            </w:r>
            <w:r>
              <w:rPr>
                <w:rFonts w:ascii="Times New Roman" w:hAnsi="Times New Roman" w:cs="Times New Roman"/>
                <w:b w:val="0"/>
                <w:spacing w:val="0"/>
                <w:w w:val="100"/>
                <w:szCs w:val="24"/>
              </w:rPr>
              <w:t>项目</w:t>
            </w:r>
            <w:r>
              <w:rPr>
                <w:rFonts w:hint="eastAsia" w:ascii="Times New Roman" w:hAnsi="Times New Roman" w:cs="Times New Roman"/>
                <w:b w:val="0"/>
                <w:spacing w:val="0"/>
                <w:w w:val="100"/>
                <w:szCs w:val="24"/>
              </w:rPr>
              <w:t>冷料</w:t>
            </w:r>
            <w:r>
              <w:rPr>
                <w:rFonts w:ascii="Times New Roman" w:hAnsi="Times New Roman" w:cs="Times New Roman"/>
                <w:b w:val="0"/>
                <w:spacing w:val="0"/>
                <w:w w:val="100"/>
                <w:szCs w:val="24"/>
              </w:rPr>
              <w:t>（石料</w:t>
            </w:r>
            <w:r>
              <w:rPr>
                <w:rFonts w:hint="eastAsia" w:ascii="Times New Roman" w:hAnsi="Times New Roman" w:cs="Times New Roman"/>
                <w:b w:val="0"/>
                <w:spacing w:val="0"/>
                <w:w w:val="100"/>
                <w:szCs w:val="24"/>
              </w:rPr>
              <w:t>、</w:t>
            </w:r>
            <w:r>
              <w:rPr>
                <w:rFonts w:ascii="Times New Roman" w:hAnsi="Times New Roman" w:cs="Times New Roman"/>
                <w:b w:val="0"/>
                <w:spacing w:val="0"/>
                <w:w w:val="100"/>
                <w:szCs w:val="24"/>
              </w:rPr>
              <w:t>凹凸棒石破碎成品）</w:t>
            </w:r>
            <w:r>
              <w:rPr>
                <w:rFonts w:hint="eastAsia" w:ascii="Times New Roman" w:hAnsi="Times New Roman" w:cs="Times New Roman"/>
                <w:b w:val="0"/>
                <w:spacing w:val="0"/>
                <w:w w:val="100"/>
                <w:szCs w:val="24"/>
              </w:rPr>
              <w:t>上料总量为162760</w:t>
            </w:r>
            <w:r>
              <w:rPr>
                <w:rFonts w:ascii="Times New Roman" w:hAnsi="Times New Roman" w:cs="Times New Roman"/>
                <w:b w:val="0"/>
                <w:spacing w:val="0"/>
                <w:w w:val="100"/>
                <w:szCs w:val="24"/>
              </w:rPr>
              <w:t>t/a，</w:t>
            </w:r>
            <w:r>
              <w:rPr>
                <w:rFonts w:hint="eastAsia" w:ascii="Times New Roman" w:hAnsi="Times New Roman" w:cs="Times New Roman"/>
                <w:b w:val="0"/>
                <w:spacing w:val="0"/>
                <w:w w:val="100"/>
                <w:szCs w:val="24"/>
              </w:rPr>
              <w:t>则冷料上料粉尘</w:t>
            </w:r>
            <w:r>
              <w:rPr>
                <w:rFonts w:ascii="Times New Roman" w:hAnsi="Times New Roman" w:cs="Times New Roman"/>
                <w:b w:val="0"/>
                <w:spacing w:val="0"/>
                <w:w w:val="100"/>
                <w:szCs w:val="24"/>
              </w:rPr>
              <w:t>产生量为</w:t>
            </w:r>
            <w:r>
              <w:rPr>
                <w:rFonts w:hint="eastAsia" w:ascii="Times New Roman" w:hAnsi="Times New Roman" w:cs="Times New Roman"/>
                <w:b w:val="0"/>
                <w:spacing w:val="0"/>
                <w:w w:val="100"/>
                <w:szCs w:val="24"/>
              </w:rPr>
              <w:t>3.26</w:t>
            </w:r>
            <w:r>
              <w:rPr>
                <w:rFonts w:ascii="Times New Roman" w:hAnsi="Times New Roman" w:cs="Times New Roman"/>
                <w:b w:val="0"/>
                <w:spacing w:val="0"/>
                <w:w w:val="100"/>
                <w:szCs w:val="24"/>
              </w:rPr>
              <w:t>t/a</w:t>
            </w:r>
            <w:r>
              <w:rPr>
                <w:rFonts w:hint="eastAsia" w:ascii="Times New Roman" w:hAnsi="Times New Roman" w:cs="Times New Roman"/>
                <w:b w:val="0"/>
                <w:spacing w:val="0"/>
                <w:w w:val="100"/>
                <w:szCs w:val="24"/>
              </w:rPr>
              <w:t>。</w:t>
            </w:r>
          </w:p>
          <w:p w14:paraId="17DE8CD6">
            <w:pPr>
              <w:pStyle w:val="4"/>
              <w:keepNext w:val="0"/>
              <w:keepLines w:val="0"/>
              <w:wordWrap w:val="0"/>
              <w:topLinePunct/>
              <w:ind w:firstLine="482"/>
              <w:rPr>
                <w:rFonts w:ascii="Times New Roman" w:hAnsi="Times New Roman" w:cs="Times New Roman"/>
                <w:b w:val="0"/>
                <w:spacing w:val="0"/>
                <w:w w:val="100"/>
                <w:szCs w:val="24"/>
              </w:rPr>
            </w:pPr>
            <w:r>
              <w:rPr>
                <w:rFonts w:hint="eastAsia" w:ascii="Times New Roman" w:hAnsi="Times New Roman" w:cs="Times New Roman"/>
                <w:bCs/>
                <w:spacing w:val="0"/>
                <w:w w:val="100"/>
                <w:szCs w:val="24"/>
              </w:rPr>
              <w:t>拟采取治理措施：</w:t>
            </w:r>
            <w:r>
              <w:rPr>
                <w:rFonts w:hint="eastAsia" w:ascii="Times New Roman" w:hAnsi="Times New Roman" w:cs="Times New Roman"/>
                <w:b w:val="0"/>
                <w:spacing w:val="0"/>
                <w:w w:val="100"/>
                <w:szCs w:val="24"/>
              </w:rPr>
              <w:t>冷料仓设置半封闭围挡（三面围挡，仅冷料上料口一侧敞开），并在冷料仓（共6个）上方设置喷淋装置（1套）。</w:t>
            </w:r>
          </w:p>
          <w:p w14:paraId="4FCDA899">
            <w:pPr>
              <w:pStyle w:val="4"/>
              <w:keepNext w:val="0"/>
              <w:keepLines w:val="0"/>
              <w:wordWrap w:val="0"/>
              <w:topLinePunct/>
              <w:ind w:firstLine="480"/>
              <w:rPr>
                <w:rFonts w:ascii="Times New Roman" w:hAnsi="Times New Roman" w:cs="Times New Roman"/>
                <w:b w:val="0"/>
                <w:spacing w:val="0"/>
                <w:w w:val="100"/>
                <w:szCs w:val="24"/>
              </w:rPr>
            </w:pPr>
            <w:r>
              <w:rPr>
                <w:rFonts w:hint="eastAsia" w:ascii="Times New Roman" w:hAnsi="Times New Roman" w:cs="Times New Roman"/>
                <w:b w:val="0"/>
                <w:spacing w:val="0"/>
                <w:w w:val="100"/>
                <w:szCs w:val="24"/>
              </w:rPr>
              <w:t>根据“《排放源统计调查产排污核算方法和系数手册》（公告2021年第24号）-附表2 固体物料堆存颗粒物产排污核算系数手册-附录4：粉尘控制措施控制效率取1-[（1-74%）×（1-60%）]≈89.6%”。</w:t>
            </w:r>
          </w:p>
          <w:p w14:paraId="1FC9D647">
            <w:pPr>
              <w:pStyle w:val="4"/>
              <w:keepNext w:val="0"/>
              <w:keepLines w:val="0"/>
              <w:wordWrap w:val="0"/>
              <w:topLinePunct/>
              <w:ind w:firstLine="482"/>
              <w:rPr>
                <w:rFonts w:ascii="Times New Roman" w:hAnsi="Times New Roman" w:cs="Times New Roman"/>
                <w:b w:val="0"/>
                <w:spacing w:val="0"/>
                <w:w w:val="100"/>
                <w:szCs w:val="24"/>
              </w:rPr>
            </w:pPr>
            <w:r>
              <w:rPr>
                <w:rFonts w:ascii="Times New Roman" w:hAnsi="Times New Roman" w:cs="Times New Roman"/>
                <w:bCs/>
                <w:spacing w:val="0"/>
                <w:w w:val="100"/>
                <w:szCs w:val="24"/>
              </w:rPr>
              <w:t>排放情况：</w:t>
            </w:r>
            <w:r>
              <w:rPr>
                <w:rFonts w:ascii="Times New Roman" w:hAnsi="Times New Roman" w:cs="Times New Roman"/>
                <w:b w:val="0"/>
                <w:spacing w:val="0"/>
                <w:w w:val="100"/>
                <w:szCs w:val="24"/>
              </w:rPr>
              <w:t>本项目</w:t>
            </w:r>
            <w:r>
              <w:rPr>
                <w:rFonts w:hint="eastAsia" w:ascii="Times New Roman" w:hAnsi="Times New Roman" w:cs="Times New Roman"/>
                <w:b w:val="0"/>
                <w:spacing w:val="0"/>
                <w:w w:val="100"/>
                <w:szCs w:val="24"/>
              </w:rPr>
              <w:t>冷料上料粉尘</w:t>
            </w:r>
            <w:r>
              <w:rPr>
                <w:rFonts w:ascii="Times New Roman" w:hAnsi="Times New Roman" w:cs="Times New Roman"/>
                <w:b w:val="0"/>
                <w:spacing w:val="0"/>
                <w:w w:val="100"/>
                <w:szCs w:val="24"/>
              </w:rPr>
              <w:t>产生、治理及排放情况见下表。</w:t>
            </w:r>
          </w:p>
          <w:p w14:paraId="1D2E381D">
            <w:pPr>
              <w:pStyle w:val="4"/>
              <w:keepNext w:val="0"/>
              <w:keepLines w:val="0"/>
              <w:wordWrap w:val="0"/>
              <w:topLinePunct/>
              <w:ind w:firstLine="0" w:firstLineChars="0"/>
              <w:jc w:val="center"/>
              <w:rPr>
                <w:rFonts w:ascii="Times New Roman" w:hAnsi="Times New Roman" w:cs="Times New Roman"/>
                <w:bCs/>
                <w:spacing w:val="0"/>
                <w:w w:val="100"/>
                <w:szCs w:val="24"/>
              </w:rPr>
            </w:pPr>
            <w:r>
              <w:rPr>
                <w:rFonts w:ascii="Times New Roman" w:hAnsi="Times New Roman" w:cs="Times New Roman"/>
                <w:bCs/>
                <w:spacing w:val="0"/>
                <w:w w:val="100"/>
                <w:szCs w:val="24"/>
              </w:rPr>
              <w:t>表4</w:t>
            </w:r>
            <w:r>
              <w:rPr>
                <w:rFonts w:hint="eastAsia" w:ascii="Times New Roman" w:hAnsi="Times New Roman" w:cs="Times New Roman"/>
                <w:bCs/>
                <w:spacing w:val="0"/>
                <w:w w:val="100"/>
                <w:szCs w:val="24"/>
              </w:rPr>
              <w:t>-5  冷料上料粉尘</w:t>
            </w:r>
            <w:r>
              <w:rPr>
                <w:rFonts w:ascii="Times New Roman" w:hAnsi="Times New Roman" w:cs="Times New Roman"/>
                <w:bCs/>
                <w:spacing w:val="0"/>
                <w:w w:val="100"/>
                <w:szCs w:val="24"/>
              </w:rPr>
              <w:t>产排情况一览表</w:t>
            </w:r>
          </w:p>
          <w:tbl>
            <w:tblPr>
              <w:tblStyle w:val="76"/>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74"/>
              <w:gridCol w:w="1184"/>
              <w:gridCol w:w="1071"/>
              <w:gridCol w:w="1116"/>
              <w:gridCol w:w="1548"/>
              <w:gridCol w:w="1037"/>
              <w:gridCol w:w="1123"/>
            </w:tblGrid>
            <w:tr w14:paraId="10253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05" w:type="pct"/>
                  <w:vMerge w:val="restart"/>
                  <w:tcBorders>
                    <w:tl2br w:val="nil"/>
                    <w:tr2bl w:val="nil"/>
                  </w:tcBorders>
                  <w:shd w:val="clear" w:color="auto" w:fill="FFFFFF"/>
                  <w:vAlign w:val="center"/>
                </w:tcPr>
                <w:p w14:paraId="112B6D9B">
                  <w:pPr>
                    <w:jc w:val="center"/>
                    <w:rPr>
                      <w:rFonts w:ascii="Times New Roman" w:hAnsi="Times New Roman" w:cs="Times New Roman"/>
                      <w:b/>
                      <w:bCs/>
                      <w:szCs w:val="21"/>
                    </w:rPr>
                  </w:pPr>
                  <w:r>
                    <w:rPr>
                      <w:rFonts w:ascii="Times New Roman" w:hAnsi="Times New Roman" w:cs="Times New Roman"/>
                      <w:b/>
                      <w:bCs/>
                      <w:szCs w:val="21"/>
                    </w:rPr>
                    <w:t>产污环节</w:t>
                  </w:r>
                </w:p>
              </w:tc>
              <w:tc>
                <w:tcPr>
                  <w:tcW w:w="735" w:type="pct"/>
                  <w:vMerge w:val="restart"/>
                  <w:tcBorders>
                    <w:tl2br w:val="nil"/>
                    <w:tr2bl w:val="nil"/>
                  </w:tcBorders>
                  <w:shd w:val="clear" w:color="auto" w:fill="FFFFFF"/>
                  <w:vAlign w:val="center"/>
                </w:tcPr>
                <w:p w14:paraId="4A188835">
                  <w:pPr>
                    <w:jc w:val="center"/>
                    <w:rPr>
                      <w:rFonts w:ascii="Times New Roman" w:hAnsi="Times New Roman" w:cs="Times New Roman"/>
                      <w:b/>
                      <w:bCs/>
                      <w:szCs w:val="21"/>
                    </w:rPr>
                  </w:pPr>
                  <w:r>
                    <w:rPr>
                      <w:rFonts w:ascii="Times New Roman" w:hAnsi="Times New Roman" w:cs="Times New Roman"/>
                      <w:b/>
                      <w:bCs/>
                      <w:szCs w:val="21"/>
                    </w:rPr>
                    <w:t>产污位置</w:t>
                  </w:r>
                </w:p>
              </w:tc>
              <w:tc>
                <w:tcPr>
                  <w:tcW w:w="1358" w:type="pct"/>
                  <w:gridSpan w:val="2"/>
                  <w:tcBorders>
                    <w:tl2br w:val="nil"/>
                    <w:tr2bl w:val="nil"/>
                  </w:tcBorders>
                  <w:shd w:val="clear" w:color="auto" w:fill="FFFFFF"/>
                  <w:vAlign w:val="center"/>
                </w:tcPr>
                <w:p w14:paraId="2A2E3C3C">
                  <w:pPr>
                    <w:jc w:val="center"/>
                    <w:rPr>
                      <w:rFonts w:ascii="Times New Roman" w:hAnsi="Times New Roman" w:cs="Times New Roman"/>
                      <w:b/>
                      <w:bCs/>
                      <w:szCs w:val="21"/>
                    </w:rPr>
                  </w:pPr>
                  <w:r>
                    <w:rPr>
                      <w:rFonts w:ascii="Times New Roman" w:hAnsi="Times New Roman" w:cs="Times New Roman"/>
                      <w:b/>
                      <w:bCs/>
                      <w:szCs w:val="21"/>
                    </w:rPr>
                    <w:t>产生情况</w:t>
                  </w:r>
                </w:p>
              </w:tc>
              <w:tc>
                <w:tcPr>
                  <w:tcW w:w="961" w:type="pct"/>
                  <w:vMerge w:val="restart"/>
                  <w:tcBorders>
                    <w:tl2br w:val="nil"/>
                    <w:tr2bl w:val="nil"/>
                  </w:tcBorders>
                  <w:shd w:val="clear" w:color="auto" w:fill="FFFFFF"/>
                  <w:vAlign w:val="center"/>
                </w:tcPr>
                <w:p w14:paraId="4AC9A19D">
                  <w:pPr>
                    <w:jc w:val="center"/>
                    <w:rPr>
                      <w:rFonts w:ascii="Times New Roman" w:hAnsi="Times New Roman" w:cs="Times New Roman"/>
                      <w:b/>
                      <w:bCs/>
                      <w:szCs w:val="21"/>
                    </w:rPr>
                  </w:pPr>
                  <w:r>
                    <w:rPr>
                      <w:rFonts w:ascii="Times New Roman" w:hAnsi="Times New Roman" w:cs="Times New Roman"/>
                      <w:b/>
                      <w:bCs/>
                      <w:szCs w:val="21"/>
                    </w:rPr>
                    <w:t>治理措施及效率</w:t>
                  </w:r>
                </w:p>
              </w:tc>
              <w:tc>
                <w:tcPr>
                  <w:tcW w:w="1339" w:type="pct"/>
                  <w:gridSpan w:val="2"/>
                  <w:tcBorders>
                    <w:tl2br w:val="nil"/>
                    <w:tr2bl w:val="nil"/>
                  </w:tcBorders>
                  <w:shd w:val="clear" w:color="auto" w:fill="FFFFFF"/>
                  <w:vAlign w:val="center"/>
                </w:tcPr>
                <w:p w14:paraId="3449D961">
                  <w:pPr>
                    <w:jc w:val="center"/>
                    <w:rPr>
                      <w:rFonts w:ascii="Times New Roman" w:hAnsi="Times New Roman" w:cs="Times New Roman"/>
                      <w:b/>
                      <w:bCs/>
                      <w:szCs w:val="21"/>
                    </w:rPr>
                  </w:pPr>
                  <w:r>
                    <w:rPr>
                      <w:rFonts w:ascii="Times New Roman" w:hAnsi="Times New Roman" w:cs="Times New Roman"/>
                      <w:b/>
                      <w:bCs/>
                      <w:szCs w:val="21"/>
                    </w:rPr>
                    <w:t>排放情况</w:t>
                  </w:r>
                </w:p>
              </w:tc>
            </w:tr>
            <w:tr w14:paraId="7B08B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05" w:type="pct"/>
                  <w:vMerge w:val="continue"/>
                  <w:tcBorders>
                    <w:tl2br w:val="nil"/>
                    <w:tr2bl w:val="nil"/>
                  </w:tcBorders>
                  <w:shd w:val="clear" w:color="auto" w:fill="FFFFFF"/>
                  <w:vAlign w:val="center"/>
                </w:tcPr>
                <w:p w14:paraId="7E41504E">
                  <w:pPr>
                    <w:jc w:val="center"/>
                    <w:rPr>
                      <w:rFonts w:ascii="Times New Roman" w:hAnsi="Times New Roman" w:cs="Times New Roman"/>
                      <w:b/>
                      <w:bCs/>
                      <w:szCs w:val="21"/>
                    </w:rPr>
                  </w:pPr>
                </w:p>
              </w:tc>
              <w:tc>
                <w:tcPr>
                  <w:tcW w:w="735" w:type="pct"/>
                  <w:vMerge w:val="continue"/>
                  <w:tcBorders>
                    <w:tl2br w:val="nil"/>
                    <w:tr2bl w:val="nil"/>
                  </w:tcBorders>
                  <w:shd w:val="clear" w:color="auto" w:fill="FFFFFF"/>
                  <w:vAlign w:val="center"/>
                </w:tcPr>
                <w:p w14:paraId="2AB2C4D0">
                  <w:pPr>
                    <w:jc w:val="center"/>
                    <w:rPr>
                      <w:rFonts w:ascii="Times New Roman" w:hAnsi="Times New Roman" w:cs="Times New Roman"/>
                      <w:b/>
                      <w:bCs/>
                      <w:szCs w:val="21"/>
                    </w:rPr>
                  </w:pPr>
                </w:p>
              </w:tc>
              <w:tc>
                <w:tcPr>
                  <w:tcW w:w="665" w:type="pct"/>
                  <w:tcBorders>
                    <w:tl2br w:val="nil"/>
                    <w:tr2bl w:val="nil"/>
                  </w:tcBorders>
                  <w:shd w:val="clear" w:color="auto" w:fill="FFFFFF"/>
                  <w:vAlign w:val="center"/>
                </w:tcPr>
                <w:p w14:paraId="2735186F">
                  <w:pPr>
                    <w:jc w:val="center"/>
                    <w:rPr>
                      <w:rFonts w:ascii="Times New Roman" w:hAnsi="Times New Roman" w:cs="Times New Roman"/>
                      <w:b/>
                      <w:bCs/>
                      <w:szCs w:val="21"/>
                    </w:rPr>
                  </w:pPr>
                  <w:r>
                    <w:rPr>
                      <w:rFonts w:ascii="Times New Roman" w:hAnsi="Times New Roman" w:cs="Times New Roman"/>
                      <w:b/>
                      <w:bCs/>
                      <w:szCs w:val="21"/>
                    </w:rPr>
                    <w:t>产生量（t/a）</w:t>
                  </w:r>
                </w:p>
              </w:tc>
              <w:tc>
                <w:tcPr>
                  <w:tcW w:w="692" w:type="pct"/>
                  <w:tcBorders>
                    <w:tl2br w:val="nil"/>
                    <w:tr2bl w:val="nil"/>
                  </w:tcBorders>
                  <w:shd w:val="clear" w:color="auto" w:fill="FFFFFF"/>
                  <w:vAlign w:val="center"/>
                </w:tcPr>
                <w:p w14:paraId="3AF72EFE">
                  <w:pPr>
                    <w:jc w:val="center"/>
                    <w:rPr>
                      <w:rFonts w:ascii="Times New Roman" w:hAnsi="Times New Roman" w:cs="Times New Roman"/>
                      <w:b/>
                      <w:bCs/>
                      <w:szCs w:val="21"/>
                    </w:rPr>
                  </w:pPr>
                  <w:r>
                    <w:rPr>
                      <w:rFonts w:ascii="Times New Roman" w:hAnsi="Times New Roman" w:cs="Times New Roman"/>
                      <w:b/>
                      <w:bCs/>
                      <w:szCs w:val="21"/>
                    </w:rPr>
                    <w:t>产生速率（kg/h）</w:t>
                  </w:r>
                </w:p>
              </w:tc>
              <w:tc>
                <w:tcPr>
                  <w:tcW w:w="961" w:type="pct"/>
                  <w:vMerge w:val="continue"/>
                  <w:tcBorders>
                    <w:tl2br w:val="nil"/>
                    <w:tr2bl w:val="nil"/>
                  </w:tcBorders>
                  <w:shd w:val="clear" w:color="auto" w:fill="FFFFFF"/>
                  <w:vAlign w:val="center"/>
                </w:tcPr>
                <w:p w14:paraId="37D2A9DB">
                  <w:pPr>
                    <w:jc w:val="center"/>
                    <w:rPr>
                      <w:rFonts w:ascii="Times New Roman" w:hAnsi="Times New Roman" w:cs="Times New Roman"/>
                      <w:b/>
                      <w:bCs/>
                      <w:szCs w:val="21"/>
                    </w:rPr>
                  </w:pPr>
                </w:p>
              </w:tc>
              <w:tc>
                <w:tcPr>
                  <w:tcW w:w="644" w:type="pct"/>
                  <w:tcBorders>
                    <w:tl2br w:val="nil"/>
                    <w:tr2bl w:val="nil"/>
                  </w:tcBorders>
                  <w:shd w:val="clear" w:color="auto" w:fill="FFFFFF"/>
                  <w:vAlign w:val="center"/>
                </w:tcPr>
                <w:p w14:paraId="27CAF965">
                  <w:pPr>
                    <w:jc w:val="center"/>
                    <w:rPr>
                      <w:rFonts w:ascii="Times New Roman" w:hAnsi="Times New Roman" w:cs="Times New Roman"/>
                      <w:b/>
                      <w:bCs/>
                      <w:szCs w:val="21"/>
                    </w:rPr>
                  </w:pPr>
                  <w:r>
                    <w:rPr>
                      <w:rFonts w:ascii="Times New Roman" w:hAnsi="Times New Roman" w:cs="Times New Roman"/>
                      <w:b/>
                      <w:bCs/>
                      <w:szCs w:val="21"/>
                    </w:rPr>
                    <w:t>排放量（t/a）</w:t>
                  </w:r>
                </w:p>
              </w:tc>
              <w:tc>
                <w:tcPr>
                  <w:tcW w:w="694" w:type="pct"/>
                  <w:tcBorders>
                    <w:tl2br w:val="nil"/>
                    <w:tr2bl w:val="nil"/>
                  </w:tcBorders>
                  <w:shd w:val="clear" w:color="auto" w:fill="FFFFFF"/>
                  <w:vAlign w:val="center"/>
                </w:tcPr>
                <w:p w14:paraId="30CE726E">
                  <w:pPr>
                    <w:jc w:val="center"/>
                    <w:rPr>
                      <w:rFonts w:ascii="Times New Roman" w:hAnsi="Times New Roman" w:cs="Times New Roman"/>
                      <w:b/>
                      <w:bCs/>
                      <w:szCs w:val="21"/>
                    </w:rPr>
                  </w:pPr>
                  <w:r>
                    <w:rPr>
                      <w:rFonts w:ascii="Times New Roman" w:hAnsi="Times New Roman" w:cs="Times New Roman"/>
                      <w:b/>
                      <w:bCs/>
                      <w:szCs w:val="21"/>
                    </w:rPr>
                    <w:t>排放速率（kg/h）</w:t>
                  </w:r>
                </w:p>
              </w:tc>
            </w:tr>
            <w:tr w14:paraId="0E8ED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05" w:type="pct"/>
                  <w:tcBorders>
                    <w:tl2br w:val="nil"/>
                    <w:tr2bl w:val="nil"/>
                  </w:tcBorders>
                  <w:shd w:val="clear" w:color="auto" w:fill="FFFFFF"/>
                  <w:vAlign w:val="center"/>
                </w:tcPr>
                <w:p w14:paraId="19820F59">
                  <w:pPr>
                    <w:jc w:val="center"/>
                    <w:rPr>
                      <w:rFonts w:ascii="Times New Roman" w:hAnsi="Times New Roman" w:cs="Times New Roman"/>
                      <w:szCs w:val="21"/>
                    </w:rPr>
                  </w:pPr>
                  <w:r>
                    <w:rPr>
                      <w:rFonts w:hint="eastAsia" w:ascii="Times New Roman" w:hAnsi="Times New Roman" w:cs="Times New Roman"/>
                      <w:szCs w:val="21"/>
                    </w:rPr>
                    <w:t>冷料上料工序</w:t>
                  </w:r>
                </w:p>
              </w:tc>
              <w:tc>
                <w:tcPr>
                  <w:tcW w:w="735" w:type="pct"/>
                  <w:tcBorders>
                    <w:tl2br w:val="nil"/>
                    <w:tr2bl w:val="nil"/>
                  </w:tcBorders>
                  <w:shd w:val="clear" w:color="auto" w:fill="FFFFFF"/>
                  <w:vAlign w:val="center"/>
                </w:tcPr>
                <w:p w14:paraId="2D9375C4">
                  <w:pPr>
                    <w:jc w:val="center"/>
                    <w:rPr>
                      <w:rFonts w:ascii="Times New Roman" w:hAnsi="Times New Roman" w:cs="Times New Roman"/>
                      <w:szCs w:val="21"/>
                    </w:rPr>
                  </w:pPr>
                  <w:r>
                    <w:rPr>
                      <w:rFonts w:hint="eastAsia" w:ascii="Times New Roman" w:hAnsi="Times New Roman" w:cs="Times New Roman"/>
                      <w:szCs w:val="21"/>
                    </w:rPr>
                    <w:t>冷料仓</w:t>
                  </w:r>
                </w:p>
              </w:tc>
              <w:tc>
                <w:tcPr>
                  <w:tcW w:w="665" w:type="pct"/>
                  <w:tcBorders>
                    <w:tl2br w:val="nil"/>
                    <w:tr2bl w:val="nil"/>
                  </w:tcBorders>
                  <w:shd w:val="clear" w:color="auto" w:fill="FFFFFF"/>
                  <w:vAlign w:val="center"/>
                </w:tcPr>
                <w:p w14:paraId="0D19AF08">
                  <w:pPr>
                    <w:jc w:val="center"/>
                    <w:rPr>
                      <w:rFonts w:ascii="Times New Roman" w:hAnsi="Times New Roman" w:cs="Times New Roman"/>
                      <w:szCs w:val="21"/>
                    </w:rPr>
                  </w:pPr>
                  <w:r>
                    <w:rPr>
                      <w:rFonts w:hint="eastAsia" w:ascii="Times New Roman" w:hAnsi="Times New Roman" w:cs="Times New Roman"/>
                      <w:szCs w:val="21"/>
                    </w:rPr>
                    <w:t>3.26</w:t>
                  </w:r>
                </w:p>
              </w:tc>
              <w:tc>
                <w:tcPr>
                  <w:tcW w:w="692" w:type="pct"/>
                  <w:tcBorders>
                    <w:tl2br w:val="nil"/>
                    <w:tr2bl w:val="nil"/>
                  </w:tcBorders>
                  <w:shd w:val="clear" w:color="auto" w:fill="FFFFFF"/>
                  <w:vAlign w:val="center"/>
                </w:tcPr>
                <w:p w14:paraId="2D5C7CAE">
                  <w:pPr>
                    <w:jc w:val="center"/>
                    <w:rPr>
                      <w:rFonts w:ascii="Times New Roman" w:hAnsi="Times New Roman" w:cs="Times New Roman"/>
                      <w:szCs w:val="21"/>
                    </w:rPr>
                  </w:pPr>
                  <w:r>
                    <w:rPr>
                      <w:rFonts w:hint="eastAsia" w:ascii="Times New Roman" w:hAnsi="Times New Roman" w:cs="Times New Roman"/>
                      <w:szCs w:val="21"/>
                    </w:rPr>
                    <w:t>3.62</w:t>
                  </w:r>
                </w:p>
              </w:tc>
              <w:tc>
                <w:tcPr>
                  <w:tcW w:w="961" w:type="pct"/>
                  <w:tcBorders>
                    <w:tl2br w:val="nil"/>
                    <w:tr2bl w:val="nil"/>
                  </w:tcBorders>
                  <w:shd w:val="clear" w:color="auto" w:fill="FFFFFF"/>
                  <w:vAlign w:val="center"/>
                </w:tcPr>
                <w:p w14:paraId="5027F095">
                  <w:pPr>
                    <w:jc w:val="center"/>
                    <w:rPr>
                      <w:rFonts w:ascii="Times New Roman" w:hAnsi="Times New Roman" w:cs="Times New Roman"/>
                      <w:szCs w:val="21"/>
                    </w:rPr>
                  </w:pPr>
                  <w:r>
                    <w:rPr>
                      <w:rFonts w:hint="eastAsia" w:ascii="Times New Roman" w:hAnsi="Times New Roman" w:cs="Times New Roman"/>
                      <w:szCs w:val="21"/>
                    </w:rPr>
                    <w:t>冷料仓设置半封闭围挡；设置喷淋装置喷淋降尘；综合治理效率取89.6%。</w:t>
                  </w:r>
                </w:p>
              </w:tc>
              <w:tc>
                <w:tcPr>
                  <w:tcW w:w="644" w:type="pct"/>
                  <w:tcBorders>
                    <w:tl2br w:val="nil"/>
                    <w:tr2bl w:val="nil"/>
                  </w:tcBorders>
                  <w:shd w:val="clear" w:color="auto" w:fill="FFFFFF"/>
                  <w:vAlign w:val="center"/>
                </w:tcPr>
                <w:p w14:paraId="27456803">
                  <w:pPr>
                    <w:jc w:val="center"/>
                    <w:rPr>
                      <w:rFonts w:ascii="Times New Roman" w:hAnsi="Times New Roman" w:cs="Times New Roman"/>
                      <w:szCs w:val="21"/>
                    </w:rPr>
                  </w:pPr>
                  <w:r>
                    <w:rPr>
                      <w:rFonts w:hint="eastAsia" w:ascii="Times New Roman" w:hAnsi="Times New Roman" w:cs="Times New Roman"/>
                      <w:szCs w:val="21"/>
                    </w:rPr>
                    <w:t>0.34</w:t>
                  </w:r>
                </w:p>
              </w:tc>
              <w:tc>
                <w:tcPr>
                  <w:tcW w:w="694" w:type="pct"/>
                  <w:tcBorders>
                    <w:tl2br w:val="nil"/>
                    <w:tr2bl w:val="nil"/>
                  </w:tcBorders>
                  <w:shd w:val="clear" w:color="auto" w:fill="FFFFFF"/>
                  <w:vAlign w:val="center"/>
                </w:tcPr>
                <w:p w14:paraId="2CB3F370">
                  <w:pPr>
                    <w:jc w:val="center"/>
                    <w:rPr>
                      <w:rFonts w:ascii="Times New Roman" w:hAnsi="Times New Roman" w:cs="Times New Roman"/>
                      <w:szCs w:val="21"/>
                    </w:rPr>
                  </w:pPr>
                  <w:r>
                    <w:rPr>
                      <w:rFonts w:hint="eastAsia" w:ascii="Times New Roman" w:hAnsi="Times New Roman" w:cs="Times New Roman"/>
                      <w:szCs w:val="21"/>
                    </w:rPr>
                    <w:t>0.38</w:t>
                  </w:r>
                </w:p>
              </w:tc>
            </w:tr>
            <w:tr w14:paraId="0BF58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000" w:type="pct"/>
                  <w:gridSpan w:val="7"/>
                  <w:tcBorders>
                    <w:tl2br w:val="nil"/>
                    <w:tr2bl w:val="nil"/>
                  </w:tcBorders>
                  <w:shd w:val="clear" w:color="auto" w:fill="FFFFFF"/>
                  <w:vAlign w:val="center"/>
                </w:tcPr>
                <w:p w14:paraId="194BCC9E">
                  <w:r>
                    <w:rPr>
                      <w:rFonts w:hint="eastAsia" w:ascii="Times New Roman" w:hAnsi="Times New Roman" w:cs="Times New Roman"/>
                      <w:szCs w:val="21"/>
                    </w:rPr>
                    <w:t>注：本项目全年运行180天，冷料上料工序按照900h/a计。</w:t>
                  </w:r>
                </w:p>
              </w:tc>
            </w:tr>
          </w:tbl>
          <w:p w14:paraId="65AD190F">
            <w:pPr>
              <w:pStyle w:val="4"/>
              <w:keepNext w:val="0"/>
              <w:wordWrap w:val="0"/>
              <w:topLinePunct/>
              <w:ind w:firstLine="480"/>
              <w:rPr>
                <w:rFonts w:ascii="Times New Roman" w:hAnsi="Times New Roman" w:cs="Times New Roman"/>
                <w:b w:val="0"/>
                <w:spacing w:val="0"/>
                <w:w w:val="100"/>
                <w:szCs w:val="24"/>
              </w:rPr>
            </w:pPr>
            <w:r>
              <w:rPr>
                <w:rFonts w:hint="eastAsia" w:ascii="Times New Roman" w:hAnsi="Times New Roman" w:cs="Times New Roman"/>
                <w:b w:val="0"/>
                <w:spacing w:val="0"/>
                <w:w w:val="100"/>
                <w:szCs w:val="24"/>
              </w:rPr>
              <w:t>冷料通过封闭皮带廊道输送至烘干滚筒的过程中，因皮带输送廊道已采用彩钢板进行封闭，且经喷淋降尘后的冷料表面湿润，输送过程起尘量较少，本次评价仅作定性分析，不进行定量核算。</w:t>
            </w:r>
          </w:p>
          <w:p w14:paraId="3CA74A29">
            <w:pPr>
              <w:pStyle w:val="4"/>
              <w:keepNext w:val="0"/>
              <w:keepLines w:val="0"/>
              <w:wordWrap w:val="0"/>
              <w:topLinePunct/>
              <w:ind w:firstLine="482"/>
              <w:rPr>
                <w:rFonts w:ascii="Times New Roman" w:hAnsi="Times New Roman" w:cs="Times New Roman"/>
                <w:bCs/>
                <w:color w:val="auto"/>
                <w:spacing w:val="0"/>
                <w:w w:val="100"/>
                <w:szCs w:val="24"/>
              </w:rPr>
            </w:pPr>
            <w:r>
              <w:rPr>
                <w:rFonts w:hint="eastAsia" w:ascii="Times New Roman" w:hAnsi="Times New Roman" w:cs="Times New Roman"/>
                <w:bCs/>
                <w:color w:val="auto"/>
                <w:spacing w:val="0"/>
                <w:w w:val="100"/>
                <w:szCs w:val="24"/>
              </w:rPr>
              <w:t>2.2.5矿粉立仓粉尘</w:t>
            </w:r>
          </w:p>
          <w:p w14:paraId="78D4EE71">
            <w:pPr>
              <w:pStyle w:val="4"/>
              <w:keepNext w:val="0"/>
              <w:keepLines w:val="0"/>
              <w:wordWrap w:val="0"/>
              <w:topLinePunct/>
              <w:ind w:firstLine="480"/>
              <w:rPr>
                <w:rFonts w:ascii="Times New Roman" w:hAnsi="Times New Roman" w:cs="Times New Roman"/>
                <w:b w:val="0"/>
                <w:color w:val="auto"/>
                <w:spacing w:val="0"/>
                <w:w w:val="100"/>
                <w:szCs w:val="24"/>
              </w:rPr>
            </w:pPr>
            <w:r>
              <w:rPr>
                <w:rFonts w:hint="eastAsia" w:ascii="Times New Roman" w:hAnsi="Times New Roman" w:cs="Times New Roman"/>
                <w:b w:val="0"/>
                <w:color w:val="auto"/>
                <w:spacing w:val="0"/>
                <w:w w:val="100"/>
                <w:szCs w:val="24"/>
              </w:rPr>
              <w:t>本项目共设置2个矿粉罐。1#为单体双层罐，2#为单体罐。</w:t>
            </w:r>
          </w:p>
          <w:p w14:paraId="1BCC664E">
            <w:pPr>
              <w:pStyle w:val="4"/>
              <w:keepNext w:val="0"/>
              <w:keepLines w:val="0"/>
              <w:wordWrap w:val="0"/>
              <w:topLinePunct/>
              <w:ind w:firstLine="480"/>
              <w:rPr>
                <w:rFonts w:ascii="Times New Roman" w:hAnsi="Times New Roman" w:cs="Times New Roman"/>
                <w:b w:val="0"/>
                <w:color w:val="auto"/>
                <w:spacing w:val="0"/>
                <w:w w:val="100"/>
                <w:szCs w:val="24"/>
              </w:rPr>
            </w:pPr>
            <w:r>
              <w:rPr>
                <w:rFonts w:hint="eastAsia" w:ascii="Times New Roman" w:hAnsi="Times New Roman" w:cs="Times New Roman"/>
                <w:b w:val="0"/>
                <w:color w:val="auto"/>
                <w:spacing w:val="0"/>
                <w:w w:val="100"/>
                <w:szCs w:val="24"/>
              </w:rPr>
              <w:t>1#单体双层罐：上仓为70m</w:t>
            </w:r>
            <w:r>
              <w:rPr>
                <w:rFonts w:hint="eastAsia" w:ascii="Times New Roman" w:hAnsi="Times New Roman" w:cs="Times New Roman"/>
                <w:b w:val="0"/>
                <w:color w:val="auto"/>
                <w:spacing w:val="0"/>
                <w:w w:val="100"/>
                <w:szCs w:val="24"/>
                <w:vertAlign w:val="superscript"/>
              </w:rPr>
              <w:t>3</w:t>
            </w:r>
            <w:r>
              <w:rPr>
                <w:rFonts w:hint="eastAsia" w:ascii="Times New Roman" w:hAnsi="Times New Roman" w:cs="Times New Roman"/>
                <w:b w:val="0"/>
                <w:color w:val="auto"/>
                <w:spacing w:val="0"/>
                <w:w w:val="100"/>
                <w:szCs w:val="24"/>
              </w:rPr>
              <w:t>矿粉仓，下仓为30m</w:t>
            </w:r>
            <w:r>
              <w:rPr>
                <w:rFonts w:hint="eastAsia" w:ascii="Times New Roman" w:hAnsi="Times New Roman" w:cs="Times New Roman"/>
                <w:b w:val="0"/>
                <w:color w:val="auto"/>
                <w:spacing w:val="0"/>
                <w:w w:val="100"/>
                <w:szCs w:val="24"/>
                <w:vertAlign w:val="superscript"/>
              </w:rPr>
              <w:t>3</w:t>
            </w:r>
            <w:r>
              <w:rPr>
                <w:rFonts w:hint="eastAsia" w:ascii="Times New Roman" w:hAnsi="Times New Roman" w:cs="Times New Roman"/>
                <w:b w:val="0"/>
                <w:color w:val="auto"/>
                <w:spacing w:val="0"/>
                <w:w w:val="100"/>
                <w:szCs w:val="24"/>
              </w:rPr>
              <w:t>回收粉仓。矿粉由罐车通过气力输送打入矿粉仓，粉料受重力沉降落入仓内，输送气流携带大量细微粉尘颗粒上升至仓顶气相空间，从仓顶呼吸口排出，形成含尘废气；回收粉由厂区除尘系统收集后，送入回收粉仓，同样因气流扰动在仓顶产生含尘废气。两仓并联共用1套振动式仓顶收尘机。2#单体罐产尘机理同理，仓顶设置振动式仓顶收尘机。</w:t>
            </w:r>
          </w:p>
          <w:p w14:paraId="0B7D7E8E">
            <w:pPr>
              <w:pStyle w:val="4"/>
              <w:keepNext w:val="0"/>
              <w:keepLines w:val="0"/>
              <w:wordWrap w:val="0"/>
              <w:topLinePunct/>
              <w:ind w:firstLine="482"/>
              <w:rPr>
                <w:rFonts w:ascii="Times New Roman" w:hAnsi="Times New Roman" w:cs="Times New Roman"/>
                <w:b w:val="0"/>
                <w:color w:val="auto"/>
                <w:spacing w:val="0"/>
                <w:w w:val="100"/>
                <w:szCs w:val="24"/>
              </w:rPr>
            </w:pPr>
            <w:r>
              <w:rPr>
                <w:rFonts w:hint="eastAsia" w:ascii="Times New Roman" w:hAnsi="Times New Roman" w:cs="Times New Roman"/>
                <w:bCs/>
                <w:color w:val="auto"/>
                <w:spacing w:val="0"/>
                <w:w w:val="100"/>
                <w:szCs w:val="24"/>
              </w:rPr>
              <w:t>源强核算（矿粉仓）：</w:t>
            </w:r>
            <w:r>
              <w:rPr>
                <w:rFonts w:ascii="Times New Roman" w:hAnsi="Times New Roman" w:cs="Times New Roman"/>
                <w:b w:val="0"/>
                <w:color w:val="auto"/>
                <w:spacing w:val="0"/>
                <w:w w:val="100"/>
                <w:szCs w:val="24"/>
              </w:rPr>
              <w:t>参照《逸散性工业粉尘控制技术》中</w:t>
            </w:r>
            <w:r>
              <w:rPr>
                <w:rFonts w:hint="eastAsia" w:ascii="Times New Roman" w:hAnsi="Times New Roman" w:cs="Times New Roman"/>
                <w:b w:val="0"/>
                <w:color w:val="auto"/>
                <w:spacing w:val="0"/>
                <w:w w:val="100"/>
                <w:szCs w:val="24"/>
              </w:rPr>
              <w:t>“</w:t>
            </w:r>
            <w:r>
              <w:rPr>
                <w:rFonts w:ascii="Times New Roman" w:hAnsi="Times New Roman" w:cs="Times New Roman"/>
                <w:b w:val="0"/>
                <w:color w:val="auto"/>
                <w:spacing w:val="0"/>
                <w:w w:val="100"/>
                <w:szCs w:val="24"/>
              </w:rPr>
              <w:t>第二十二章 混凝土分批搅拌厂 表22-1，</w:t>
            </w:r>
            <w:r>
              <w:rPr>
                <w:rFonts w:hint="eastAsia" w:ascii="Times New Roman" w:hAnsi="Times New Roman" w:cs="Times New Roman"/>
                <w:b w:val="0"/>
                <w:color w:val="auto"/>
                <w:spacing w:val="0"/>
                <w:w w:val="100"/>
                <w:szCs w:val="24"/>
              </w:rPr>
              <w:t>卸水泥至高架贮仓</w:t>
            </w:r>
            <w:r>
              <w:rPr>
                <w:rFonts w:ascii="Times New Roman" w:hAnsi="Times New Roman" w:cs="Times New Roman"/>
                <w:b w:val="0"/>
                <w:color w:val="auto"/>
                <w:spacing w:val="0"/>
                <w:w w:val="100"/>
                <w:szCs w:val="24"/>
              </w:rPr>
              <w:t>粉尘产生系数为0.</w:t>
            </w:r>
            <w:r>
              <w:rPr>
                <w:rFonts w:hint="eastAsia" w:ascii="Times New Roman" w:hAnsi="Times New Roman" w:cs="Times New Roman"/>
                <w:b w:val="0"/>
                <w:color w:val="auto"/>
                <w:spacing w:val="0"/>
                <w:w w:val="100"/>
                <w:szCs w:val="24"/>
              </w:rPr>
              <w:t>1</w:t>
            </w:r>
            <w:r>
              <w:rPr>
                <w:rFonts w:ascii="Times New Roman" w:hAnsi="Times New Roman" w:cs="Times New Roman"/>
                <w:b w:val="0"/>
                <w:color w:val="auto"/>
                <w:spacing w:val="0"/>
                <w:w w:val="100"/>
                <w:szCs w:val="24"/>
              </w:rPr>
              <w:t>2kg/t-</w:t>
            </w:r>
            <w:r>
              <w:rPr>
                <w:rFonts w:hint="eastAsia" w:ascii="Times New Roman" w:hAnsi="Times New Roman" w:cs="Times New Roman"/>
                <w:b w:val="0"/>
                <w:color w:val="auto"/>
                <w:spacing w:val="0"/>
                <w:w w:val="100"/>
                <w:szCs w:val="24"/>
              </w:rPr>
              <w:t>卸料”</w:t>
            </w:r>
            <w:r>
              <w:rPr>
                <w:rFonts w:ascii="Times New Roman" w:hAnsi="Times New Roman" w:cs="Times New Roman"/>
                <w:b w:val="0"/>
                <w:color w:val="auto"/>
                <w:spacing w:val="0"/>
                <w:w w:val="100"/>
                <w:szCs w:val="24"/>
              </w:rPr>
              <w:t>，本项目矿粉消耗</w:t>
            </w:r>
            <w:r>
              <w:rPr>
                <w:rFonts w:hint="eastAsia" w:ascii="Times New Roman" w:hAnsi="Times New Roman" w:cs="Times New Roman"/>
                <w:b w:val="0"/>
                <w:color w:val="auto"/>
                <w:spacing w:val="0"/>
                <w:w w:val="100"/>
                <w:szCs w:val="24"/>
              </w:rPr>
              <w:t>总</w:t>
            </w:r>
            <w:r>
              <w:rPr>
                <w:rFonts w:ascii="Times New Roman" w:hAnsi="Times New Roman" w:cs="Times New Roman"/>
                <w:b w:val="0"/>
                <w:color w:val="auto"/>
                <w:spacing w:val="0"/>
                <w:w w:val="100"/>
                <w:szCs w:val="24"/>
              </w:rPr>
              <w:t>量为</w:t>
            </w:r>
            <w:r>
              <w:rPr>
                <w:rFonts w:hint="eastAsia" w:ascii="Times New Roman" w:hAnsi="Times New Roman" w:cs="Times New Roman"/>
                <w:b w:val="0"/>
                <w:color w:val="auto"/>
                <w:spacing w:val="0"/>
                <w:w w:val="100"/>
                <w:szCs w:val="24"/>
              </w:rPr>
              <w:t>4500</w:t>
            </w:r>
            <w:r>
              <w:rPr>
                <w:rFonts w:ascii="Times New Roman" w:hAnsi="Times New Roman" w:cs="Times New Roman"/>
                <w:b w:val="0"/>
                <w:color w:val="auto"/>
                <w:spacing w:val="0"/>
                <w:w w:val="100"/>
                <w:szCs w:val="24"/>
              </w:rPr>
              <w:t>t/a(1#</w:t>
            </w:r>
            <w:r>
              <w:rPr>
                <w:rFonts w:hint="eastAsia" w:ascii="Times New Roman" w:hAnsi="Times New Roman" w:cs="Times New Roman"/>
                <w:b w:val="0"/>
                <w:color w:val="auto"/>
                <w:spacing w:val="0"/>
                <w:w w:val="100"/>
                <w:szCs w:val="24"/>
              </w:rPr>
              <w:t>、2#罐共计</w:t>
            </w:r>
            <w:r>
              <w:rPr>
                <w:rFonts w:ascii="Times New Roman" w:hAnsi="Times New Roman" w:cs="Times New Roman"/>
                <w:b w:val="0"/>
                <w:color w:val="auto"/>
                <w:spacing w:val="0"/>
                <w:w w:val="100"/>
                <w:szCs w:val="24"/>
              </w:rPr>
              <w:t>)，</w:t>
            </w:r>
            <w:r>
              <w:rPr>
                <w:rFonts w:hint="eastAsia" w:ascii="Times New Roman" w:hAnsi="Times New Roman" w:cs="Times New Roman"/>
                <w:b w:val="0"/>
                <w:color w:val="auto"/>
                <w:spacing w:val="0"/>
                <w:w w:val="100"/>
                <w:szCs w:val="24"/>
              </w:rPr>
              <w:t>则</w:t>
            </w:r>
            <w:r>
              <w:rPr>
                <w:rFonts w:ascii="Times New Roman" w:hAnsi="Times New Roman" w:cs="Times New Roman"/>
                <w:b w:val="0"/>
                <w:color w:val="auto"/>
                <w:spacing w:val="0"/>
                <w:w w:val="100"/>
                <w:szCs w:val="24"/>
              </w:rPr>
              <w:t>矿粉仓颗粒物产生量为</w:t>
            </w:r>
            <w:r>
              <w:rPr>
                <w:rFonts w:hint="eastAsia" w:ascii="Times New Roman" w:hAnsi="Times New Roman" w:cs="Times New Roman"/>
                <w:b w:val="0"/>
                <w:color w:val="auto"/>
                <w:spacing w:val="0"/>
                <w:w w:val="100"/>
                <w:szCs w:val="24"/>
              </w:rPr>
              <w:t>0.54</w:t>
            </w:r>
            <w:r>
              <w:rPr>
                <w:rFonts w:ascii="Times New Roman" w:hAnsi="Times New Roman" w:cs="Times New Roman"/>
                <w:b w:val="0"/>
                <w:color w:val="auto"/>
                <w:spacing w:val="0"/>
                <w:w w:val="100"/>
                <w:szCs w:val="24"/>
              </w:rPr>
              <w:t>t/a</w:t>
            </w:r>
            <w:r>
              <w:rPr>
                <w:rFonts w:hint="eastAsia" w:ascii="Times New Roman" w:hAnsi="Times New Roman" w:cs="Times New Roman"/>
                <w:b w:val="0"/>
                <w:color w:val="auto"/>
                <w:spacing w:val="0"/>
                <w:w w:val="100"/>
                <w:szCs w:val="24"/>
              </w:rPr>
              <w:t>。</w:t>
            </w:r>
          </w:p>
          <w:p w14:paraId="686CB43F">
            <w:pPr>
              <w:pStyle w:val="4"/>
              <w:keepNext w:val="0"/>
              <w:keepLines w:val="0"/>
              <w:wordWrap w:val="0"/>
              <w:topLinePunct/>
              <w:ind w:firstLine="482"/>
              <w:rPr>
                <w:rFonts w:ascii="Times New Roman" w:hAnsi="Times New Roman" w:cs="Times New Roman"/>
                <w:b w:val="0"/>
                <w:color w:val="auto"/>
                <w:spacing w:val="0"/>
                <w:w w:val="100"/>
                <w:szCs w:val="24"/>
              </w:rPr>
            </w:pPr>
            <w:r>
              <w:rPr>
                <w:rFonts w:hint="eastAsia" w:ascii="Times New Roman" w:hAnsi="Times New Roman" w:cs="Times New Roman"/>
                <w:bCs/>
                <w:color w:val="auto"/>
                <w:spacing w:val="0"/>
                <w:w w:val="100"/>
                <w:szCs w:val="24"/>
              </w:rPr>
              <w:t>源强核算（回收粉仓）：</w:t>
            </w:r>
            <w:r>
              <w:rPr>
                <w:rFonts w:hint="eastAsia" w:ascii="Times New Roman" w:hAnsi="Times New Roman" w:cs="Times New Roman"/>
                <w:b w:val="0"/>
                <w:color w:val="auto"/>
                <w:spacing w:val="0"/>
                <w:w w:val="100"/>
                <w:szCs w:val="24"/>
              </w:rPr>
              <w:t>根据下文2.2.7计算，进入蜗壳+布袋除尘器的粉尘量为40.689t/</w:t>
            </w:r>
            <w:r>
              <w:rPr>
                <w:rFonts w:ascii="Times New Roman" w:hAnsi="Times New Roman" w:cs="Times New Roman"/>
                <w:b w:val="0"/>
                <w:color w:val="auto"/>
                <w:spacing w:val="0"/>
                <w:w w:val="100"/>
                <w:szCs w:val="24"/>
              </w:rPr>
              <w:t>a</w:t>
            </w:r>
            <w:r>
              <w:rPr>
                <w:rFonts w:hint="eastAsia" w:ascii="Times New Roman" w:hAnsi="Times New Roman" w:cs="Times New Roman"/>
                <w:b w:val="0"/>
                <w:color w:val="auto"/>
                <w:spacing w:val="0"/>
                <w:w w:val="100"/>
                <w:szCs w:val="24"/>
              </w:rPr>
              <w:t>，</w:t>
            </w:r>
            <w:r>
              <w:rPr>
                <w:rFonts w:ascii="Times New Roman" w:hAnsi="Times New Roman" w:cs="Times New Roman"/>
                <w:b w:val="0"/>
                <w:color w:val="auto"/>
                <w:spacing w:val="0"/>
                <w:w w:val="100"/>
                <w:szCs w:val="24"/>
              </w:rPr>
              <w:t>参照《逸散性工业粉尘控制技术》中</w:t>
            </w:r>
            <w:r>
              <w:rPr>
                <w:rFonts w:hint="eastAsia" w:ascii="Times New Roman" w:hAnsi="Times New Roman" w:cs="Times New Roman"/>
                <w:b w:val="0"/>
                <w:color w:val="auto"/>
                <w:spacing w:val="0"/>
                <w:w w:val="100"/>
                <w:szCs w:val="24"/>
              </w:rPr>
              <w:t>“</w:t>
            </w:r>
            <w:r>
              <w:rPr>
                <w:rFonts w:ascii="Times New Roman" w:hAnsi="Times New Roman" w:cs="Times New Roman"/>
                <w:b w:val="0"/>
                <w:color w:val="auto"/>
                <w:spacing w:val="0"/>
                <w:w w:val="100"/>
                <w:szCs w:val="24"/>
              </w:rPr>
              <w:t>第二十二章 混凝土分批搅拌厂 表22-1，</w:t>
            </w:r>
            <w:r>
              <w:rPr>
                <w:rFonts w:hint="eastAsia" w:ascii="Times New Roman" w:hAnsi="Times New Roman" w:cs="Times New Roman"/>
                <w:b w:val="0"/>
                <w:color w:val="auto"/>
                <w:spacing w:val="0"/>
                <w:w w:val="100"/>
                <w:szCs w:val="24"/>
              </w:rPr>
              <w:t>卸水泥至高架贮仓</w:t>
            </w:r>
            <w:r>
              <w:rPr>
                <w:rFonts w:ascii="Times New Roman" w:hAnsi="Times New Roman" w:cs="Times New Roman"/>
                <w:b w:val="0"/>
                <w:color w:val="auto"/>
                <w:spacing w:val="0"/>
                <w:w w:val="100"/>
                <w:szCs w:val="24"/>
              </w:rPr>
              <w:t>粉尘产生系数为0.</w:t>
            </w:r>
            <w:r>
              <w:rPr>
                <w:rFonts w:hint="eastAsia" w:ascii="Times New Roman" w:hAnsi="Times New Roman" w:cs="Times New Roman"/>
                <w:b w:val="0"/>
                <w:color w:val="auto"/>
                <w:spacing w:val="0"/>
                <w:w w:val="100"/>
                <w:szCs w:val="24"/>
              </w:rPr>
              <w:t>1</w:t>
            </w:r>
            <w:r>
              <w:rPr>
                <w:rFonts w:ascii="Times New Roman" w:hAnsi="Times New Roman" w:cs="Times New Roman"/>
                <w:b w:val="0"/>
                <w:color w:val="auto"/>
                <w:spacing w:val="0"/>
                <w:w w:val="100"/>
                <w:szCs w:val="24"/>
              </w:rPr>
              <w:t>2kg/t-</w:t>
            </w:r>
            <w:r>
              <w:rPr>
                <w:rFonts w:hint="eastAsia" w:ascii="Times New Roman" w:hAnsi="Times New Roman" w:cs="Times New Roman"/>
                <w:b w:val="0"/>
                <w:color w:val="auto"/>
                <w:spacing w:val="0"/>
                <w:w w:val="100"/>
                <w:szCs w:val="24"/>
              </w:rPr>
              <w:t>卸料</w:t>
            </w:r>
            <w:r>
              <w:rPr>
                <w:rFonts w:ascii="Times New Roman" w:hAnsi="Times New Roman" w:cs="Times New Roman"/>
                <w:b w:val="0"/>
                <w:color w:val="auto"/>
                <w:spacing w:val="0"/>
                <w:w w:val="100"/>
                <w:szCs w:val="24"/>
              </w:rPr>
              <w:t>”，</w:t>
            </w:r>
            <w:r>
              <w:rPr>
                <w:rFonts w:hint="eastAsia" w:ascii="Times New Roman" w:hAnsi="Times New Roman" w:cs="Times New Roman"/>
                <w:b w:val="0"/>
                <w:color w:val="auto"/>
                <w:spacing w:val="0"/>
                <w:w w:val="100"/>
                <w:szCs w:val="24"/>
              </w:rPr>
              <w:t>则回收粉仓</w:t>
            </w:r>
            <w:r>
              <w:rPr>
                <w:rFonts w:ascii="Times New Roman" w:hAnsi="Times New Roman" w:cs="Times New Roman"/>
                <w:b w:val="0"/>
                <w:color w:val="auto"/>
                <w:spacing w:val="0"/>
                <w:w w:val="100"/>
                <w:szCs w:val="24"/>
              </w:rPr>
              <w:t>颗粒物产生量为0.005t/a</w:t>
            </w:r>
            <w:r>
              <w:rPr>
                <w:rFonts w:hint="eastAsia" w:ascii="Times New Roman" w:hAnsi="Times New Roman" w:cs="Times New Roman"/>
                <w:b w:val="0"/>
                <w:color w:val="auto"/>
                <w:spacing w:val="0"/>
                <w:w w:val="100"/>
                <w:szCs w:val="24"/>
              </w:rPr>
              <w:t>。</w:t>
            </w:r>
          </w:p>
          <w:p w14:paraId="2D4BCA9A">
            <w:pPr>
              <w:pStyle w:val="4"/>
              <w:keepNext w:val="0"/>
              <w:keepLines w:val="0"/>
              <w:wordWrap w:val="0"/>
              <w:topLinePunct/>
              <w:ind w:firstLine="482"/>
              <w:rPr>
                <w:rFonts w:ascii="Times New Roman" w:hAnsi="Times New Roman" w:cs="Times New Roman"/>
                <w:b w:val="0"/>
                <w:color w:val="auto"/>
                <w:spacing w:val="0"/>
                <w:w w:val="100"/>
                <w:szCs w:val="24"/>
              </w:rPr>
            </w:pPr>
            <w:r>
              <w:rPr>
                <w:rFonts w:hint="eastAsia" w:ascii="Times New Roman" w:hAnsi="Times New Roman" w:cs="Times New Roman"/>
                <w:bCs/>
                <w:color w:val="auto"/>
                <w:spacing w:val="0"/>
                <w:w w:val="100"/>
                <w:szCs w:val="24"/>
              </w:rPr>
              <w:t>拟采取治理措施：</w:t>
            </w:r>
            <w:r>
              <w:rPr>
                <w:rFonts w:hint="eastAsia" w:ascii="Times New Roman" w:hAnsi="Times New Roman" w:cs="Times New Roman"/>
                <w:b w:val="0"/>
                <w:color w:val="auto"/>
                <w:spacing w:val="0"/>
                <w:w w:val="100"/>
                <w:szCs w:val="24"/>
              </w:rPr>
              <w:t>1#两仓并联共用1套振动式仓顶收尘机，2#仓顶设置振动式仓顶收尘机。含尘气体进入除尘器后，穿过滤芯时粉尘因惯性碰撞、筛滤等作用被阻留在滤芯外表面，净化后的空气排出；运行一段时间后，振动电机启动使滤芯产生高频振动，将附着在滤芯表面的粉尘抖落，直接落回矿粉仓回收，从而恢复滤芯过滤性能。</w:t>
            </w:r>
          </w:p>
          <w:p w14:paraId="4FA83722">
            <w:pPr>
              <w:pStyle w:val="4"/>
              <w:keepNext w:val="0"/>
              <w:keepLines w:val="0"/>
              <w:wordWrap w:val="0"/>
              <w:topLinePunct/>
              <w:ind w:firstLine="482"/>
              <w:rPr>
                <w:rFonts w:ascii="Times New Roman" w:hAnsi="Times New Roman" w:cs="Times New Roman"/>
                <w:b w:val="0"/>
                <w:color w:val="auto"/>
                <w:spacing w:val="0"/>
                <w:w w:val="100"/>
                <w:szCs w:val="24"/>
              </w:rPr>
            </w:pPr>
            <w:r>
              <w:rPr>
                <w:rFonts w:ascii="Times New Roman" w:hAnsi="Times New Roman" w:cs="Times New Roman"/>
                <w:bCs/>
                <w:color w:val="auto"/>
                <w:spacing w:val="0"/>
                <w:w w:val="100"/>
                <w:szCs w:val="24"/>
              </w:rPr>
              <w:t>排放情况：</w:t>
            </w:r>
            <w:r>
              <w:rPr>
                <w:rFonts w:ascii="Times New Roman" w:hAnsi="Times New Roman" w:cs="Times New Roman"/>
                <w:b w:val="0"/>
                <w:color w:val="auto"/>
                <w:spacing w:val="0"/>
                <w:w w:val="100"/>
                <w:szCs w:val="24"/>
              </w:rPr>
              <w:t>本项目</w:t>
            </w:r>
            <w:r>
              <w:rPr>
                <w:rFonts w:hint="eastAsia" w:ascii="Times New Roman" w:hAnsi="Times New Roman" w:cs="Times New Roman"/>
                <w:b w:val="0"/>
                <w:color w:val="auto"/>
                <w:spacing w:val="0"/>
                <w:w w:val="100"/>
                <w:szCs w:val="24"/>
              </w:rPr>
              <w:t>矿粉立仓粉尘</w:t>
            </w:r>
            <w:r>
              <w:rPr>
                <w:rFonts w:ascii="Times New Roman" w:hAnsi="Times New Roman" w:cs="Times New Roman"/>
                <w:b w:val="0"/>
                <w:color w:val="auto"/>
                <w:spacing w:val="0"/>
                <w:w w:val="100"/>
                <w:szCs w:val="24"/>
              </w:rPr>
              <w:t>产生、治理及排放情况见下表。</w:t>
            </w:r>
          </w:p>
          <w:p w14:paraId="0357EE3E">
            <w:pPr>
              <w:pStyle w:val="4"/>
              <w:keepNext w:val="0"/>
              <w:keepLines w:val="0"/>
              <w:wordWrap w:val="0"/>
              <w:topLinePunct/>
              <w:ind w:firstLine="0" w:firstLineChars="0"/>
              <w:jc w:val="center"/>
              <w:rPr>
                <w:rFonts w:ascii="Times New Roman" w:hAnsi="Times New Roman" w:cs="Times New Roman"/>
                <w:bCs/>
                <w:color w:val="auto"/>
                <w:spacing w:val="0"/>
                <w:w w:val="100"/>
                <w:szCs w:val="24"/>
              </w:rPr>
            </w:pPr>
            <w:r>
              <w:rPr>
                <w:rFonts w:hint="eastAsia" w:ascii="Times New Roman" w:hAnsi="Times New Roman" w:cs="Times New Roman"/>
                <w:bCs/>
                <w:color w:val="auto"/>
                <w:spacing w:val="0"/>
                <w:w w:val="100"/>
                <w:szCs w:val="24"/>
              </w:rPr>
              <w:t xml:space="preserve"> </w:t>
            </w:r>
            <w:r>
              <w:rPr>
                <w:rFonts w:ascii="Times New Roman" w:hAnsi="Times New Roman" w:cs="Times New Roman"/>
                <w:bCs/>
                <w:color w:val="auto"/>
                <w:spacing w:val="0"/>
                <w:w w:val="100"/>
                <w:szCs w:val="24"/>
              </w:rPr>
              <w:t>表4</w:t>
            </w:r>
            <w:r>
              <w:rPr>
                <w:rFonts w:hint="eastAsia" w:ascii="Times New Roman" w:hAnsi="Times New Roman" w:cs="Times New Roman"/>
                <w:bCs/>
                <w:color w:val="auto"/>
                <w:spacing w:val="0"/>
                <w:w w:val="100"/>
                <w:szCs w:val="24"/>
              </w:rPr>
              <w:t>-6  矿粉立仓粉尘</w:t>
            </w:r>
            <w:r>
              <w:rPr>
                <w:rFonts w:ascii="Times New Roman" w:hAnsi="Times New Roman" w:cs="Times New Roman"/>
                <w:bCs/>
                <w:color w:val="auto"/>
                <w:spacing w:val="0"/>
                <w:w w:val="100"/>
                <w:szCs w:val="24"/>
              </w:rPr>
              <w:t>产排情况一览表</w:t>
            </w:r>
          </w:p>
          <w:tbl>
            <w:tblPr>
              <w:tblStyle w:val="76"/>
              <w:tblW w:w="80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2"/>
              <w:gridCol w:w="935"/>
              <w:gridCol w:w="846"/>
              <w:gridCol w:w="884"/>
              <w:gridCol w:w="1224"/>
              <w:gridCol w:w="1058"/>
              <w:gridCol w:w="1158"/>
              <w:gridCol w:w="1200"/>
            </w:tblGrid>
            <w:tr w14:paraId="7295D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jc w:val="center"/>
              </w:trPr>
              <w:tc>
                <w:tcPr>
                  <w:tcW w:w="477" w:type="pct"/>
                  <w:vMerge w:val="restart"/>
                  <w:tcBorders>
                    <w:tl2br w:val="nil"/>
                    <w:tr2bl w:val="nil"/>
                  </w:tcBorders>
                  <w:shd w:val="clear" w:color="auto" w:fill="FFFFFF"/>
                  <w:vAlign w:val="center"/>
                </w:tcPr>
                <w:p w14:paraId="5F5B80A9">
                  <w:pPr>
                    <w:jc w:val="center"/>
                    <w:rPr>
                      <w:rFonts w:ascii="Times New Roman" w:hAnsi="Times New Roman" w:cs="Times New Roman"/>
                      <w:b/>
                      <w:bCs/>
                      <w:szCs w:val="21"/>
                    </w:rPr>
                  </w:pPr>
                  <w:r>
                    <w:rPr>
                      <w:rFonts w:ascii="Times New Roman" w:hAnsi="Times New Roman" w:cs="Times New Roman"/>
                      <w:b/>
                      <w:bCs/>
                      <w:szCs w:val="21"/>
                    </w:rPr>
                    <w:t>产污</w:t>
                  </w:r>
                </w:p>
                <w:p w14:paraId="5463BFD1">
                  <w:pPr>
                    <w:jc w:val="center"/>
                    <w:rPr>
                      <w:rFonts w:ascii="Times New Roman" w:hAnsi="Times New Roman" w:cs="Times New Roman"/>
                      <w:b/>
                      <w:bCs/>
                      <w:szCs w:val="21"/>
                    </w:rPr>
                  </w:pPr>
                  <w:r>
                    <w:rPr>
                      <w:rFonts w:ascii="Times New Roman" w:hAnsi="Times New Roman" w:cs="Times New Roman"/>
                      <w:b/>
                      <w:bCs/>
                      <w:szCs w:val="21"/>
                    </w:rPr>
                    <w:t>环节</w:t>
                  </w:r>
                </w:p>
              </w:tc>
              <w:tc>
                <w:tcPr>
                  <w:tcW w:w="579" w:type="pct"/>
                  <w:vMerge w:val="restart"/>
                  <w:tcBorders>
                    <w:tl2br w:val="nil"/>
                    <w:tr2bl w:val="nil"/>
                  </w:tcBorders>
                  <w:shd w:val="clear" w:color="auto" w:fill="FFFFFF"/>
                  <w:vAlign w:val="center"/>
                </w:tcPr>
                <w:p w14:paraId="11C28866">
                  <w:pPr>
                    <w:jc w:val="center"/>
                    <w:rPr>
                      <w:rFonts w:ascii="Times New Roman" w:hAnsi="Times New Roman" w:cs="Times New Roman"/>
                      <w:b/>
                      <w:bCs/>
                      <w:szCs w:val="21"/>
                    </w:rPr>
                  </w:pPr>
                  <w:r>
                    <w:rPr>
                      <w:rFonts w:ascii="Times New Roman" w:hAnsi="Times New Roman" w:cs="Times New Roman"/>
                      <w:b/>
                      <w:bCs/>
                      <w:szCs w:val="21"/>
                    </w:rPr>
                    <w:t>产污</w:t>
                  </w:r>
                </w:p>
                <w:p w14:paraId="6EF771DD">
                  <w:pPr>
                    <w:jc w:val="center"/>
                    <w:rPr>
                      <w:rFonts w:ascii="Times New Roman" w:hAnsi="Times New Roman" w:cs="Times New Roman"/>
                      <w:b/>
                      <w:bCs/>
                      <w:szCs w:val="21"/>
                    </w:rPr>
                  </w:pPr>
                  <w:r>
                    <w:rPr>
                      <w:rFonts w:ascii="Times New Roman" w:hAnsi="Times New Roman" w:cs="Times New Roman"/>
                      <w:b/>
                      <w:bCs/>
                      <w:szCs w:val="21"/>
                    </w:rPr>
                    <w:t>位置</w:t>
                  </w:r>
                </w:p>
              </w:tc>
              <w:tc>
                <w:tcPr>
                  <w:tcW w:w="1071" w:type="pct"/>
                  <w:gridSpan w:val="2"/>
                  <w:tcBorders>
                    <w:tl2br w:val="nil"/>
                    <w:tr2bl w:val="nil"/>
                  </w:tcBorders>
                  <w:shd w:val="clear" w:color="auto" w:fill="FFFFFF"/>
                  <w:vAlign w:val="center"/>
                </w:tcPr>
                <w:p w14:paraId="25D8300F">
                  <w:pPr>
                    <w:jc w:val="center"/>
                    <w:rPr>
                      <w:rFonts w:ascii="Times New Roman" w:hAnsi="Times New Roman" w:cs="Times New Roman"/>
                      <w:b/>
                      <w:bCs/>
                      <w:szCs w:val="21"/>
                    </w:rPr>
                  </w:pPr>
                  <w:r>
                    <w:rPr>
                      <w:rFonts w:ascii="Times New Roman" w:hAnsi="Times New Roman" w:cs="Times New Roman"/>
                      <w:b/>
                      <w:bCs/>
                      <w:szCs w:val="21"/>
                    </w:rPr>
                    <w:t>产生情况</w:t>
                  </w:r>
                </w:p>
              </w:tc>
              <w:tc>
                <w:tcPr>
                  <w:tcW w:w="758" w:type="pct"/>
                  <w:vMerge w:val="restart"/>
                  <w:tcBorders>
                    <w:tl2br w:val="nil"/>
                    <w:tr2bl w:val="nil"/>
                  </w:tcBorders>
                  <w:shd w:val="clear" w:color="auto" w:fill="FFFFFF"/>
                  <w:vAlign w:val="center"/>
                </w:tcPr>
                <w:p w14:paraId="71B88431">
                  <w:pPr>
                    <w:jc w:val="center"/>
                    <w:rPr>
                      <w:rFonts w:ascii="Times New Roman" w:hAnsi="Times New Roman" w:cs="Times New Roman"/>
                      <w:b/>
                      <w:bCs/>
                      <w:szCs w:val="21"/>
                    </w:rPr>
                  </w:pPr>
                  <w:r>
                    <w:rPr>
                      <w:rFonts w:ascii="Times New Roman" w:hAnsi="Times New Roman" w:cs="Times New Roman"/>
                      <w:b/>
                      <w:bCs/>
                      <w:szCs w:val="21"/>
                    </w:rPr>
                    <w:t>治理措施及效率</w:t>
                  </w:r>
                </w:p>
              </w:tc>
              <w:tc>
                <w:tcPr>
                  <w:tcW w:w="2113" w:type="pct"/>
                  <w:gridSpan w:val="3"/>
                  <w:tcBorders>
                    <w:tl2br w:val="nil"/>
                    <w:tr2bl w:val="nil"/>
                  </w:tcBorders>
                  <w:shd w:val="clear" w:color="auto" w:fill="FFFFFF"/>
                  <w:vAlign w:val="center"/>
                </w:tcPr>
                <w:p w14:paraId="4EB43659">
                  <w:pPr>
                    <w:jc w:val="center"/>
                    <w:rPr>
                      <w:rFonts w:ascii="Times New Roman" w:hAnsi="Times New Roman" w:cs="Times New Roman"/>
                      <w:b/>
                      <w:bCs/>
                      <w:szCs w:val="21"/>
                    </w:rPr>
                  </w:pPr>
                  <w:r>
                    <w:rPr>
                      <w:rFonts w:ascii="Times New Roman" w:hAnsi="Times New Roman" w:cs="Times New Roman"/>
                      <w:b/>
                      <w:bCs/>
                      <w:szCs w:val="21"/>
                    </w:rPr>
                    <w:t>排放情况</w:t>
                  </w:r>
                </w:p>
              </w:tc>
            </w:tr>
            <w:tr w14:paraId="2F2EF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atLeast"/>
                <w:jc w:val="center"/>
              </w:trPr>
              <w:tc>
                <w:tcPr>
                  <w:tcW w:w="477" w:type="pct"/>
                  <w:vMerge w:val="continue"/>
                  <w:tcBorders>
                    <w:tl2br w:val="nil"/>
                    <w:tr2bl w:val="nil"/>
                  </w:tcBorders>
                  <w:shd w:val="clear" w:color="auto" w:fill="FFFFFF"/>
                  <w:vAlign w:val="center"/>
                </w:tcPr>
                <w:p w14:paraId="79C82BFF">
                  <w:pPr>
                    <w:jc w:val="center"/>
                    <w:rPr>
                      <w:rFonts w:ascii="Times New Roman" w:hAnsi="Times New Roman" w:cs="Times New Roman"/>
                      <w:b/>
                      <w:bCs/>
                      <w:szCs w:val="21"/>
                    </w:rPr>
                  </w:pPr>
                </w:p>
              </w:tc>
              <w:tc>
                <w:tcPr>
                  <w:tcW w:w="579" w:type="pct"/>
                  <w:vMerge w:val="continue"/>
                  <w:tcBorders>
                    <w:tl2br w:val="nil"/>
                    <w:tr2bl w:val="nil"/>
                  </w:tcBorders>
                  <w:shd w:val="clear" w:color="auto" w:fill="FFFFFF"/>
                  <w:vAlign w:val="center"/>
                </w:tcPr>
                <w:p w14:paraId="0F4CC8F4">
                  <w:pPr>
                    <w:jc w:val="center"/>
                    <w:rPr>
                      <w:rFonts w:ascii="Times New Roman" w:hAnsi="Times New Roman" w:cs="Times New Roman"/>
                      <w:b/>
                      <w:bCs/>
                      <w:szCs w:val="21"/>
                    </w:rPr>
                  </w:pPr>
                </w:p>
              </w:tc>
              <w:tc>
                <w:tcPr>
                  <w:tcW w:w="524" w:type="pct"/>
                  <w:tcBorders>
                    <w:tl2br w:val="nil"/>
                    <w:tr2bl w:val="nil"/>
                  </w:tcBorders>
                  <w:shd w:val="clear" w:color="auto" w:fill="FFFFFF"/>
                  <w:vAlign w:val="center"/>
                </w:tcPr>
                <w:p w14:paraId="0FC60119">
                  <w:pPr>
                    <w:jc w:val="center"/>
                    <w:rPr>
                      <w:rFonts w:ascii="Times New Roman" w:hAnsi="Times New Roman" w:cs="Times New Roman"/>
                      <w:b/>
                      <w:bCs/>
                      <w:szCs w:val="21"/>
                    </w:rPr>
                  </w:pPr>
                  <w:r>
                    <w:rPr>
                      <w:rFonts w:ascii="Times New Roman" w:hAnsi="Times New Roman" w:cs="Times New Roman"/>
                      <w:b/>
                      <w:bCs/>
                      <w:szCs w:val="21"/>
                    </w:rPr>
                    <w:t>产生量（t/a）</w:t>
                  </w:r>
                </w:p>
              </w:tc>
              <w:tc>
                <w:tcPr>
                  <w:tcW w:w="546" w:type="pct"/>
                  <w:tcBorders>
                    <w:tl2br w:val="nil"/>
                    <w:tr2bl w:val="nil"/>
                  </w:tcBorders>
                  <w:shd w:val="clear" w:color="auto" w:fill="FFFFFF"/>
                  <w:vAlign w:val="center"/>
                </w:tcPr>
                <w:p w14:paraId="3A24E85C">
                  <w:pPr>
                    <w:jc w:val="center"/>
                    <w:rPr>
                      <w:rFonts w:ascii="Times New Roman" w:hAnsi="Times New Roman" w:cs="Times New Roman"/>
                      <w:b/>
                      <w:bCs/>
                      <w:szCs w:val="21"/>
                    </w:rPr>
                  </w:pPr>
                  <w:r>
                    <w:rPr>
                      <w:rFonts w:ascii="Times New Roman" w:hAnsi="Times New Roman" w:cs="Times New Roman"/>
                      <w:b/>
                      <w:bCs/>
                      <w:szCs w:val="21"/>
                    </w:rPr>
                    <w:t>产生速率（kg/h）</w:t>
                  </w:r>
                </w:p>
              </w:tc>
              <w:tc>
                <w:tcPr>
                  <w:tcW w:w="758" w:type="pct"/>
                  <w:vMerge w:val="continue"/>
                  <w:tcBorders>
                    <w:tl2br w:val="nil"/>
                    <w:tr2bl w:val="nil"/>
                  </w:tcBorders>
                  <w:shd w:val="clear" w:color="auto" w:fill="FFFFFF"/>
                  <w:vAlign w:val="center"/>
                </w:tcPr>
                <w:p w14:paraId="34F2E7D1">
                  <w:pPr>
                    <w:jc w:val="center"/>
                    <w:rPr>
                      <w:rFonts w:ascii="Times New Roman" w:hAnsi="Times New Roman" w:cs="Times New Roman"/>
                      <w:b/>
                      <w:bCs/>
                      <w:szCs w:val="21"/>
                    </w:rPr>
                  </w:pPr>
                </w:p>
              </w:tc>
              <w:tc>
                <w:tcPr>
                  <w:tcW w:w="655" w:type="pct"/>
                  <w:tcBorders>
                    <w:tl2br w:val="nil"/>
                    <w:tr2bl w:val="nil"/>
                  </w:tcBorders>
                  <w:shd w:val="clear" w:color="auto" w:fill="FFFFFF"/>
                  <w:vAlign w:val="center"/>
                </w:tcPr>
                <w:p w14:paraId="65B400F5">
                  <w:pPr>
                    <w:jc w:val="center"/>
                    <w:rPr>
                      <w:rFonts w:ascii="Times New Roman" w:hAnsi="Times New Roman" w:cs="Times New Roman"/>
                      <w:b/>
                      <w:bCs/>
                      <w:szCs w:val="21"/>
                    </w:rPr>
                  </w:pPr>
                  <w:r>
                    <w:rPr>
                      <w:rFonts w:ascii="Times New Roman" w:hAnsi="Times New Roman" w:cs="Times New Roman"/>
                      <w:b/>
                      <w:bCs/>
                      <w:szCs w:val="21"/>
                    </w:rPr>
                    <w:t>排放量（t/a）</w:t>
                  </w:r>
                </w:p>
              </w:tc>
              <w:tc>
                <w:tcPr>
                  <w:tcW w:w="717" w:type="pct"/>
                  <w:tcBorders>
                    <w:tl2br w:val="nil"/>
                    <w:tr2bl w:val="nil"/>
                  </w:tcBorders>
                  <w:shd w:val="clear" w:color="auto" w:fill="FFFFFF"/>
                  <w:vAlign w:val="center"/>
                </w:tcPr>
                <w:p w14:paraId="4595B482">
                  <w:pPr>
                    <w:jc w:val="center"/>
                    <w:rPr>
                      <w:rFonts w:ascii="Times New Roman" w:hAnsi="Times New Roman" w:cs="Times New Roman"/>
                      <w:b/>
                      <w:bCs/>
                      <w:szCs w:val="21"/>
                    </w:rPr>
                  </w:pPr>
                  <w:r>
                    <w:rPr>
                      <w:rFonts w:ascii="Times New Roman" w:hAnsi="Times New Roman" w:cs="Times New Roman"/>
                      <w:b/>
                      <w:bCs/>
                      <w:szCs w:val="21"/>
                    </w:rPr>
                    <w:t>排放速率（kg/h）</w:t>
                  </w:r>
                </w:p>
              </w:tc>
              <w:tc>
                <w:tcPr>
                  <w:tcW w:w="740" w:type="pct"/>
                  <w:tcBorders>
                    <w:tl2br w:val="nil"/>
                    <w:tr2bl w:val="nil"/>
                  </w:tcBorders>
                  <w:shd w:val="clear" w:color="auto" w:fill="FFFFFF"/>
                  <w:vAlign w:val="center"/>
                </w:tcPr>
                <w:p w14:paraId="1B3AC296">
                  <w:pPr>
                    <w:jc w:val="center"/>
                    <w:rPr>
                      <w:rFonts w:ascii="Times New Roman" w:hAnsi="Times New Roman" w:cs="Times New Roman"/>
                      <w:b/>
                      <w:bCs/>
                      <w:szCs w:val="21"/>
                    </w:rPr>
                  </w:pPr>
                  <w:r>
                    <w:rPr>
                      <w:rFonts w:hint="eastAsia" w:ascii="Times New Roman" w:hAnsi="Times New Roman" w:cs="Times New Roman"/>
                      <w:b/>
                      <w:bCs/>
                      <w:szCs w:val="21"/>
                    </w:rPr>
                    <w:t>排放浓度</w:t>
                  </w:r>
                </w:p>
                <w:p w14:paraId="3847A26D">
                  <w:pPr>
                    <w:jc w:val="center"/>
                    <w:rPr>
                      <w:rFonts w:ascii="Times New Roman" w:hAnsi="Times New Roman" w:cs="Times New Roman"/>
                      <w:b/>
                      <w:bCs/>
                      <w:szCs w:val="21"/>
                    </w:rPr>
                  </w:pPr>
                  <w:r>
                    <w:rPr>
                      <w:rFonts w:hint="eastAsia" w:ascii="Times New Roman" w:hAnsi="Times New Roman" w:cs="Times New Roman"/>
                      <w:b/>
                      <w:bCs/>
                      <w:szCs w:val="21"/>
                    </w:rPr>
                    <w:t>（mg/</w:t>
                  </w:r>
                  <w:r>
                    <w:rPr>
                      <w:rFonts w:ascii="Times New Roman" w:hAnsi="Times New Roman" w:cs="Times New Roman"/>
                      <w:b/>
                      <w:bCs/>
                      <w:szCs w:val="21"/>
                    </w:rPr>
                    <w:t>m</w:t>
                  </w:r>
                  <w:r>
                    <w:rPr>
                      <w:rFonts w:ascii="Times New Roman" w:hAnsi="Times New Roman" w:cs="Times New Roman"/>
                      <w:b/>
                      <w:bCs/>
                      <w:szCs w:val="21"/>
                      <w:vertAlign w:val="superscript"/>
                    </w:rPr>
                    <w:t>3</w:t>
                  </w:r>
                  <w:r>
                    <w:rPr>
                      <w:rFonts w:hint="eastAsia" w:ascii="Times New Roman" w:hAnsi="Times New Roman" w:cs="Times New Roman"/>
                      <w:b/>
                      <w:bCs/>
                      <w:szCs w:val="21"/>
                    </w:rPr>
                    <w:t>）</w:t>
                  </w:r>
                </w:p>
              </w:tc>
            </w:tr>
            <w:tr w14:paraId="3B320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77" w:type="pct"/>
                  <w:tcBorders>
                    <w:tl2br w:val="nil"/>
                    <w:tr2bl w:val="nil"/>
                  </w:tcBorders>
                  <w:shd w:val="clear" w:color="auto" w:fill="FFFFFF"/>
                  <w:vAlign w:val="center"/>
                </w:tcPr>
                <w:p w14:paraId="36C6EAAF">
                  <w:pPr>
                    <w:jc w:val="center"/>
                    <w:rPr>
                      <w:rFonts w:ascii="Times New Roman" w:hAnsi="Times New Roman" w:cs="Times New Roman"/>
                      <w:szCs w:val="21"/>
                    </w:rPr>
                  </w:pPr>
                  <w:r>
                    <w:rPr>
                      <w:rFonts w:hint="eastAsia" w:ascii="Times New Roman" w:hAnsi="Times New Roman" w:cs="Times New Roman"/>
                      <w:szCs w:val="21"/>
                    </w:rPr>
                    <w:t>矿粉</w:t>
                  </w:r>
                </w:p>
                <w:p w14:paraId="08261471">
                  <w:pPr>
                    <w:jc w:val="center"/>
                    <w:rPr>
                      <w:rFonts w:ascii="Times New Roman" w:hAnsi="Times New Roman" w:cs="Times New Roman"/>
                      <w:szCs w:val="21"/>
                    </w:rPr>
                  </w:pPr>
                  <w:r>
                    <w:rPr>
                      <w:rFonts w:hint="eastAsia" w:ascii="Times New Roman" w:hAnsi="Times New Roman" w:cs="Times New Roman"/>
                      <w:szCs w:val="21"/>
                    </w:rPr>
                    <w:t>储存</w:t>
                  </w:r>
                </w:p>
              </w:tc>
              <w:tc>
                <w:tcPr>
                  <w:tcW w:w="579" w:type="pct"/>
                  <w:tcBorders>
                    <w:tl2br w:val="nil"/>
                    <w:tr2bl w:val="nil"/>
                  </w:tcBorders>
                  <w:shd w:val="clear" w:color="auto" w:fill="FFFFFF"/>
                  <w:vAlign w:val="center"/>
                </w:tcPr>
                <w:p w14:paraId="37EAF6DD">
                  <w:pPr>
                    <w:jc w:val="center"/>
                    <w:rPr>
                      <w:rFonts w:ascii="Times New Roman" w:hAnsi="Times New Roman" w:cs="Times New Roman"/>
                      <w:szCs w:val="21"/>
                    </w:rPr>
                  </w:pPr>
                  <w:r>
                    <w:rPr>
                      <w:rFonts w:hint="eastAsia" w:ascii="Times New Roman" w:hAnsi="Times New Roman" w:cs="Times New Roman"/>
                      <w:szCs w:val="21"/>
                    </w:rPr>
                    <w:t>矿粉仓+回收粉仓</w:t>
                  </w:r>
                </w:p>
              </w:tc>
              <w:tc>
                <w:tcPr>
                  <w:tcW w:w="524" w:type="pct"/>
                  <w:tcBorders>
                    <w:tl2br w:val="nil"/>
                    <w:tr2bl w:val="nil"/>
                  </w:tcBorders>
                  <w:shd w:val="clear" w:color="auto" w:fill="FFFFFF"/>
                  <w:vAlign w:val="center"/>
                </w:tcPr>
                <w:p w14:paraId="4C0D3E85">
                  <w:pPr>
                    <w:jc w:val="center"/>
                    <w:rPr>
                      <w:rFonts w:ascii="Times New Roman" w:hAnsi="Times New Roman" w:cs="Times New Roman"/>
                      <w:szCs w:val="21"/>
                    </w:rPr>
                  </w:pPr>
                  <w:r>
                    <w:rPr>
                      <w:rFonts w:hint="eastAsia" w:ascii="Times New Roman" w:hAnsi="Times New Roman" w:cs="Times New Roman"/>
                      <w:szCs w:val="21"/>
                    </w:rPr>
                    <w:t>0.545</w:t>
                  </w:r>
                </w:p>
              </w:tc>
              <w:tc>
                <w:tcPr>
                  <w:tcW w:w="546" w:type="pct"/>
                  <w:tcBorders>
                    <w:tl2br w:val="nil"/>
                    <w:tr2bl w:val="nil"/>
                  </w:tcBorders>
                  <w:shd w:val="clear" w:color="auto" w:fill="FFFFFF"/>
                  <w:vAlign w:val="center"/>
                </w:tcPr>
                <w:p w14:paraId="33246409">
                  <w:pPr>
                    <w:jc w:val="center"/>
                    <w:rPr>
                      <w:rFonts w:ascii="Times New Roman" w:hAnsi="Times New Roman" w:cs="Times New Roman"/>
                      <w:szCs w:val="21"/>
                    </w:rPr>
                  </w:pPr>
                  <w:r>
                    <w:rPr>
                      <w:rFonts w:hint="eastAsia" w:ascii="Times New Roman" w:hAnsi="Times New Roman" w:cs="Times New Roman"/>
                      <w:szCs w:val="21"/>
                    </w:rPr>
                    <w:t>0.606</w:t>
                  </w:r>
                </w:p>
              </w:tc>
              <w:tc>
                <w:tcPr>
                  <w:tcW w:w="758" w:type="pct"/>
                  <w:tcBorders>
                    <w:tl2br w:val="nil"/>
                    <w:tr2bl w:val="nil"/>
                  </w:tcBorders>
                  <w:shd w:val="clear" w:color="auto" w:fill="FFFFFF"/>
                  <w:vAlign w:val="center"/>
                </w:tcPr>
                <w:p w14:paraId="161E8071">
                  <w:pPr>
                    <w:jc w:val="center"/>
                  </w:pPr>
                  <w:r>
                    <w:rPr>
                      <w:rFonts w:hint="eastAsia" w:ascii="Times New Roman" w:hAnsi="Times New Roman" w:cs="Times New Roman"/>
                      <w:szCs w:val="21"/>
                    </w:rPr>
                    <w:t>振动式仓顶收尘机；治理效率取99%，风机风量</w:t>
                  </w:r>
                  <w:r>
                    <w:rPr>
                      <w:rFonts w:hint="eastAsia" w:ascii="Times New Roman" w:hAnsi="Times New Roman" w:cs="Times New Roman"/>
                      <w:color w:val="FF0000"/>
                      <w:szCs w:val="21"/>
                    </w:rPr>
                    <w:t>2000m</w:t>
                  </w:r>
                  <w:r>
                    <w:rPr>
                      <w:rFonts w:hint="eastAsia" w:ascii="Times New Roman" w:hAnsi="Times New Roman" w:cs="Times New Roman"/>
                      <w:color w:val="FF0000"/>
                      <w:szCs w:val="21"/>
                      <w:vertAlign w:val="superscript"/>
                    </w:rPr>
                    <w:t>3/</w:t>
                  </w:r>
                  <w:r>
                    <w:rPr>
                      <w:rFonts w:hint="eastAsia" w:ascii="Times New Roman" w:hAnsi="Times New Roman" w:cs="Times New Roman"/>
                      <w:color w:val="FF0000"/>
                      <w:szCs w:val="21"/>
                    </w:rPr>
                    <w:t>h</w:t>
                  </w:r>
                </w:p>
              </w:tc>
              <w:tc>
                <w:tcPr>
                  <w:tcW w:w="655" w:type="pct"/>
                  <w:tcBorders>
                    <w:tl2br w:val="nil"/>
                    <w:tr2bl w:val="nil"/>
                  </w:tcBorders>
                  <w:shd w:val="clear" w:color="auto" w:fill="FFFFFF"/>
                  <w:vAlign w:val="center"/>
                </w:tcPr>
                <w:p w14:paraId="2B323A5B">
                  <w:pPr>
                    <w:jc w:val="center"/>
                    <w:rPr>
                      <w:rFonts w:ascii="Times New Roman" w:hAnsi="Times New Roman" w:cs="Times New Roman"/>
                      <w:szCs w:val="21"/>
                    </w:rPr>
                  </w:pPr>
                  <w:r>
                    <w:rPr>
                      <w:rFonts w:hint="eastAsia" w:ascii="Times New Roman" w:hAnsi="Times New Roman" w:cs="Times New Roman"/>
                      <w:szCs w:val="21"/>
                    </w:rPr>
                    <w:t>0.00545</w:t>
                  </w:r>
                </w:p>
              </w:tc>
              <w:tc>
                <w:tcPr>
                  <w:tcW w:w="717" w:type="pct"/>
                  <w:tcBorders>
                    <w:tl2br w:val="nil"/>
                    <w:tr2bl w:val="nil"/>
                  </w:tcBorders>
                  <w:shd w:val="clear" w:color="auto" w:fill="FFFFFF"/>
                  <w:vAlign w:val="center"/>
                </w:tcPr>
                <w:p w14:paraId="40F57D97">
                  <w:pPr>
                    <w:jc w:val="center"/>
                    <w:rPr>
                      <w:rFonts w:ascii="Times New Roman" w:hAnsi="Times New Roman" w:cs="Times New Roman"/>
                      <w:color w:val="FF0000"/>
                      <w:szCs w:val="21"/>
                    </w:rPr>
                  </w:pPr>
                  <w:r>
                    <w:rPr>
                      <w:rFonts w:ascii="Times New Roman" w:hAnsi="Times New Roman" w:cs="Times New Roman"/>
                      <w:color w:val="FF0000"/>
                      <w:szCs w:val="21"/>
                    </w:rPr>
                    <w:t>0.</w:t>
                  </w:r>
                  <w:r>
                    <w:rPr>
                      <w:rFonts w:hint="eastAsia" w:ascii="Times New Roman" w:hAnsi="Times New Roman" w:cs="Times New Roman"/>
                      <w:color w:val="FF0000"/>
                      <w:szCs w:val="21"/>
                    </w:rPr>
                    <w:t>0</w:t>
                  </w:r>
                  <w:r>
                    <w:rPr>
                      <w:rFonts w:ascii="Times New Roman" w:hAnsi="Times New Roman" w:cs="Times New Roman"/>
                      <w:color w:val="FF0000"/>
                      <w:szCs w:val="21"/>
                    </w:rPr>
                    <w:t>06</w:t>
                  </w:r>
                </w:p>
              </w:tc>
              <w:tc>
                <w:tcPr>
                  <w:tcW w:w="740" w:type="pct"/>
                  <w:tcBorders>
                    <w:tl2br w:val="nil"/>
                    <w:tr2bl w:val="nil"/>
                  </w:tcBorders>
                  <w:shd w:val="clear" w:color="auto" w:fill="FFFFFF"/>
                  <w:vAlign w:val="center"/>
                </w:tcPr>
                <w:p w14:paraId="24DFDD1A">
                  <w:pPr>
                    <w:jc w:val="center"/>
                    <w:rPr>
                      <w:rFonts w:ascii="Times New Roman" w:hAnsi="Times New Roman" w:cs="Times New Roman"/>
                      <w:color w:val="FF0000"/>
                      <w:szCs w:val="21"/>
                    </w:rPr>
                  </w:pPr>
                  <w:r>
                    <w:rPr>
                      <w:rFonts w:hint="eastAsia" w:ascii="Times New Roman" w:hAnsi="Times New Roman" w:cs="Times New Roman"/>
                      <w:color w:val="FF0000"/>
                      <w:szCs w:val="21"/>
                    </w:rPr>
                    <w:t>3</w:t>
                  </w:r>
                </w:p>
              </w:tc>
            </w:tr>
            <w:tr w14:paraId="59EA2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jc w:val="center"/>
              </w:trPr>
              <w:tc>
                <w:tcPr>
                  <w:tcW w:w="5000" w:type="pct"/>
                  <w:gridSpan w:val="8"/>
                  <w:tcBorders>
                    <w:tl2br w:val="nil"/>
                    <w:tr2bl w:val="nil"/>
                  </w:tcBorders>
                  <w:shd w:val="clear" w:color="auto" w:fill="FFFFFF"/>
                  <w:vAlign w:val="center"/>
                </w:tcPr>
                <w:p w14:paraId="08525742">
                  <w:pPr>
                    <w:rPr>
                      <w:rFonts w:ascii="Times New Roman" w:hAnsi="Times New Roman" w:cs="Times New Roman"/>
                      <w:color w:val="FF0000"/>
                      <w:szCs w:val="21"/>
                    </w:rPr>
                  </w:pPr>
                  <w:r>
                    <w:rPr>
                      <w:rFonts w:hint="eastAsia" w:ascii="Times New Roman" w:hAnsi="Times New Roman" w:cs="Times New Roman"/>
                      <w:szCs w:val="21"/>
                    </w:rPr>
                    <w:t>注：本项目全年运行180天，按照900h/a计。</w:t>
                  </w:r>
                </w:p>
              </w:tc>
            </w:tr>
          </w:tbl>
          <w:p w14:paraId="07AFC88D">
            <w:pPr>
              <w:pStyle w:val="4"/>
              <w:keepNext w:val="0"/>
              <w:keepLines w:val="0"/>
              <w:wordWrap w:val="0"/>
              <w:topLinePunct/>
              <w:ind w:firstLine="482"/>
              <w:rPr>
                <w:rFonts w:ascii="Times New Roman" w:hAnsi="Times New Roman" w:cs="Times New Roman"/>
                <w:bCs/>
                <w:spacing w:val="0"/>
                <w:w w:val="100"/>
                <w:szCs w:val="24"/>
              </w:rPr>
            </w:pPr>
            <w:r>
              <w:rPr>
                <w:rFonts w:hint="eastAsia" w:ascii="Times New Roman" w:hAnsi="Times New Roman" w:cs="Times New Roman"/>
                <w:bCs/>
                <w:spacing w:val="0"/>
                <w:w w:val="100"/>
                <w:szCs w:val="24"/>
              </w:rPr>
              <w:t>2.2.6</w:t>
            </w:r>
            <w:r>
              <w:rPr>
                <w:rFonts w:ascii="Times New Roman" w:hAnsi="Times New Roman" w:cs="Times New Roman"/>
                <w:bCs/>
                <w:spacing w:val="0"/>
                <w:w w:val="100"/>
                <w:szCs w:val="24"/>
              </w:rPr>
              <w:t>柴油储罐呼吸</w:t>
            </w:r>
            <w:r>
              <w:rPr>
                <w:rFonts w:hint="eastAsia" w:ascii="Times New Roman" w:hAnsi="Times New Roman" w:cs="Times New Roman"/>
                <w:bCs/>
                <w:spacing w:val="0"/>
                <w:w w:val="100"/>
                <w:szCs w:val="24"/>
              </w:rPr>
              <w:t>及动静密封点废气</w:t>
            </w:r>
          </w:p>
          <w:p w14:paraId="7DAD7906">
            <w:pPr>
              <w:pStyle w:val="4"/>
              <w:keepNext w:val="0"/>
              <w:keepLines w:val="0"/>
              <w:wordWrap w:val="0"/>
              <w:topLinePunct/>
              <w:ind w:firstLine="480"/>
              <w:rPr>
                <w:rFonts w:ascii="Times New Roman" w:hAnsi="Times New Roman" w:cs="Times New Roman"/>
                <w:b w:val="0"/>
                <w:spacing w:val="0"/>
                <w:w w:val="100"/>
                <w:szCs w:val="24"/>
              </w:rPr>
            </w:pPr>
            <w:r>
              <w:rPr>
                <w:rFonts w:hint="eastAsia" w:ascii="Times New Roman" w:hAnsi="Times New Roman" w:cs="Times New Roman"/>
                <w:b w:val="0"/>
                <w:spacing w:val="0"/>
                <w:w w:val="100"/>
                <w:szCs w:val="24"/>
              </w:rPr>
              <w:t>（1）柴油储罐呼吸废气</w:t>
            </w:r>
          </w:p>
          <w:p w14:paraId="0308D70A">
            <w:pPr>
              <w:pStyle w:val="4"/>
              <w:keepNext w:val="0"/>
              <w:keepLines w:val="0"/>
              <w:wordWrap w:val="0"/>
              <w:topLinePunct/>
              <w:ind w:firstLine="480"/>
              <w:rPr>
                <w:rFonts w:ascii="Times New Roman" w:hAnsi="Times New Roman" w:cs="Times New Roman"/>
                <w:b w:val="0"/>
                <w:spacing w:val="0"/>
                <w:w w:val="100"/>
                <w:szCs w:val="24"/>
              </w:rPr>
            </w:pPr>
            <w:r>
              <w:rPr>
                <w:rFonts w:hint="eastAsia" w:ascii="Times New Roman" w:hAnsi="Times New Roman" w:cs="Times New Roman"/>
                <w:b w:val="0"/>
                <w:spacing w:val="0"/>
                <w:w w:val="100"/>
                <w:szCs w:val="24"/>
              </w:rPr>
              <w:t>本项目共设置两个柴油储罐（1个50m</w:t>
            </w:r>
            <w:r>
              <w:rPr>
                <w:rFonts w:hint="eastAsia" w:ascii="Times New Roman" w:hAnsi="Times New Roman" w:cs="Times New Roman"/>
                <w:b w:val="0"/>
                <w:spacing w:val="0"/>
                <w:w w:val="100"/>
                <w:szCs w:val="24"/>
                <w:vertAlign w:val="superscript"/>
              </w:rPr>
              <w:t>3</w:t>
            </w:r>
            <w:r>
              <w:rPr>
                <w:rFonts w:hint="eastAsia" w:ascii="Times New Roman" w:hAnsi="Times New Roman" w:cs="Times New Roman"/>
                <w:b w:val="0"/>
                <w:spacing w:val="0"/>
                <w:w w:val="100"/>
                <w:szCs w:val="24"/>
              </w:rPr>
              <w:t>，1个30m</w:t>
            </w:r>
            <w:r>
              <w:rPr>
                <w:rFonts w:hint="eastAsia" w:ascii="Times New Roman" w:hAnsi="Times New Roman" w:cs="Times New Roman"/>
                <w:b w:val="0"/>
                <w:spacing w:val="0"/>
                <w:w w:val="100"/>
                <w:szCs w:val="24"/>
                <w:vertAlign w:val="superscript"/>
              </w:rPr>
              <w:t>3</w:t>
            </w:r>
            <w:r>
              <w:rPr>
                <w:rFonts w:hint="eastAsia" w:ascii="Times New Roman" w:hAnsi="Times New Roman" w:cs="Times New Roman"/>
                <w:b w:val="0"/>
                <w:spacing w:val="0"/>
                <w:w w:val="100"/>
                <w:szCs w:val="24"/>
              </w:rPr>
              <w:t>），柴油储罐呼吸废气主要包括两种形式：收发作业时的大呼吸损耗和静置储存时的小呼吸损耗。</w:t>
            </w:r>
          </w:p>
          <w:p w14:paraId="052E57DA">
            <w:pPr>
              <w:pStyle w:val="4"/>
              <w:keepNext w:val="0"/>
              <w:keepLines w:val="0"/>
              <w:wordWrap w:val="0"/>
              <w:topLinePunct/>
              <w:ind w:firstLine="480"/>
              <w:rPr>
                <w:rFonts w:ascii="Times New Roman" w:hAnsi="Times New Roman" w:cs="Times New Roman"/>
                <w:b w:val="0"/>
                <w:spacing w:val="0"/>
                <w:w w:val="100"/>
                <w:szCs w:val="24"/>
              </w:rPr>
            </w:pPr>
            <w:r>
              <w:rPr>
                <w:rFonts w:hint="eastAsia" w:ascii="Times New Roman" w:hAnsi="Times New Roman" w:cs="Times New Roman"/>
                <w:b w:val="0"/>
                <w:spacing w:val="0"/>
                <w:w w:val="100"/>
                <w:szCs w:val="24"/>
              </w:rPr>
              <w:t>本项目柴油储罐采用</w:t>
            </w:r>
            <w:r>
              <w:rPr>
                <w:rFonts w:hint="eastAsia" w:ascii="Times New Roman" w:hAnsi="Times New Roman" w:cs="Times New Roman"/>
                <w:b w:val="0"/>
                <w:color w:val="FF0000"/>
                <w:spacing w:val="0"/>
                <w:w w:val="100"/>
                <w:szCs w:val="24"/>
                <w:highlight w:val="yellow"/>
              </w:rPr>
              <w:t>卧式精钢储罐</w:t>
            </w:r>
            <w:r>
              <w:rPr>
                <w:rFonts w:hint="eastAsia" w:ascii="Times New Roman" w:hAnsi="Times New Roman" w:cs="Times New Roman"/>
                <w:b w:val="0"/>
                <w:spacing w:val="0"/>
                <w:w w:val="100"/>
                <w:szCs w:val="24"/>
              </w:rPr>
              <w:t xml:space="preserve">，卸车作业时，柴油由槽车经密闭管道泵入储罐，罐内气相空间被压缩，槽车卸料口与储罐进料口之间设有气相平衡管，卸料过程中储罐内被置换出的油气通过平衡管回流至槽车罐体，实现系统内气相压力的平衡；因此，在收发作业期间，储罐大呼吸废气产生量较少，本次评价不对大呼吸损耗进行定量核算。 </w:t>
            </w:r>
          </w:p>
          <w:p w14:paraId="5DED0908">
            <w:pPr>
              <w:pStyle w:val="4"/>
              <w:keepNext w:val="0"/>
              <w:keepLines w:val="0"/>
              <w:wordWrap w:val="0"/>
              <w:topLinePunct/>
              <w:ind w:firstLine="480"/>
              <w:rPr>
                <w:rFonts w:ascii="Times New Roman" w:hAnsi="Times New Roman" w:cs="Times New Roman"/>
                <w:b w:val="0"/>
                <w:spacing w:val="0"/>
                <w:w w:val="100"/>
                <w:szCs w:val="24"/>
              </w:rPr>
            </w:pPr>
            <w:r>
              <w:rPr>
                <w:rFonts w:hint="eastAsia" w:ascii="Times New Roman" w:hAnsi="Times New Roman" w:cs="Times New Roman"/>
                <w:b w:val="0"/>
                <w:spacing w:val="0"/>
                <w:w w:val="100"/>
                <w:szCs w:val="24"/>
              </w:rPr>
              <w:t>储罐静置期间，受昼夜温差及大气压力变化影响，罐内油气因温度升高而膨胀挥发，产生小呼吸废气。小呼吸废气排放量与储罐容积、物料蒸气压、温度变化幅度及储罐涂料等因素有关，本次评价</w:t>
            </w:r>
            <w:r>
              <w:rPr>
                <w:rFonts w:ascii="Times New Roman" w:hAnsi="Times New Roman" w:cs="Times New Roman"/>
                <w:b w:val="0"/>
                <w:spacing w:val="0"/>
                <w:w w:val="100"/>
                <w:szCs w:val="24"/>
              </w:rPr>
              <w:t>小呼吸损耗计算根据</w:t>
            </w:r>
            <w:r>
              <w:rPr>
                <w:rFonts w:hint="eastAsia" w:ascii="Times New Roman" w:hAnsi="Times New Roman" w:cs="Times New Roman"/>
                <w:b w:val="0"/>
                <w:spacing w:val="0"/>
                <w:w w:val="100"/>
                <w:szCs w:val="24"/>
              </w:rPr>
              <w:t>：“</w:t>
            </w:r>
            <w:r>
              <w:rPr>
                <w:rFonts w:ascii="Times New Roman" w:hAnsi="Times New Roman" w:cs="Times New Roman"/>
                <w:b w:val="0"/>
                <w:spacing w:val="0"/>
                <w:w w:val="100"/>
                <w:szCs w:val="24"/>
              </w:rPr>
              <w:t>美国EPA</w:t>
            </w:r>
            <w:r>
              <w:rPr>
                <w:rFonts w:hint="eastAsia" w:ascii="Times New Roman" w:hAnsi="Times New Roman" w:cs="Times New Roman"/>
                <w:b w:val="0"/>
                <w:spacing w:val="0"/>
                <w:w w:val="100"/>
                <w:szCs w:val="24"/>
              </w:rPr>
              <w:t>的</w:t>
            </w:r>
            <w:r>
              <w:rPr>
                <w:rFonts w:ascii="Times New Roman" w:hAnsi="Times New Roman" w:cs="Times New Roman"/>
                <w:b w:val="0"/>
                <w:spacing w:val="0"/>
                <w:w w:val="100"/>
                <w:szCs w:val="24"/>
              </w:rPr>
              <w:t>AP-42《</w:t>
            </w:r>
            <w:r>
              <w:rPr>
                <w:rFonts w:hint="eastAsia" w:ascii="Times New Roman" w:hAnsi="Times New Roman" w:cs="Times New Roman"/>
                <w:b w:val="0"/>
                <w:spacing w:val="0"/>
                <w:w w:val="100"/>
                <w:szCs w:val="24"/>
              </w:rPr>
              <w:t>空气污染物排放因子汇编</w:t>
            </w:r>
            <w:r>
              <w:rPr>
                <w:rFonts w:ascii="Times New Roman" w:hAnsi="Times New Roman" w:cs="Times New Roman"/>
                <w:b w:val="0"/>
                <w:spacing w:val="0"/>
                <w:w w:val="100"/>
                <w:szCs w:val="24"/>
              </w:rPr>
              <w:t>》</w:t>
            </w:r>
            <w:r>
              <w:rPr>
                <w:rFonts w:hint="eastAsia" w:ascii="Times New Roman" w:hAnsi="Times New Roman" w:cs="Times New Roman"/>
                <w:b w:val="0"/>
                <w:spacing w:val="0"/>
                <w:w w:val="100"/>
                <w:szCs w:val="24"/>
              </w:rPr>
              <w:t>第七章（7.1节）有机液体储罐”中推荐的经典经验公式进行估算</w:t>
            </w:r>
            <w:r>
              <w:rPr>
                <w:rFonts w:ascii="Times New Roman" w:hAnsi="Times New Roman" w:cs="Times New Roman"/>
                <w:b w:val="0"/>
                <w:spacing w:val="0"/>
                <w:w w:val="100"/>
                <w:szCs w:val="24"/>
              </w:rPr>
              <w:t>，其计算公式如下：</w:t>
            </w:r>
          </w:p>
          <w:p w14:paraId="698069A3">
            <w:pPr>
              <w:spacing w:line="360" w:lineRule="auto"/>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 xml:space="preserve"> </w:t>
            </w:r>
            <w:r>
              <w:rPr>
                <w:rFonts w:ascii="Times New Roman" w:hAnsi="Times New Roman" w:eastAsia="仿宋" w:cs="Times New Roman"/>
                <w:kern w:val="0"/>
                <w:sz w:val="24"/>
              </w:rPr>
              <w:t>L</w:t>
            </w:r>
            <w:r>
              <w:rPr>
                <w:rFonts w:ascii="Times New Roman" w:hAnsi="Times New Roman" w:eastAsia="仿宋" w:cs="Times New Roman"/>
                <w:kern w:val="0"/>
                <w:sz w:val="24"/>
                <w:vertAlign w:val="subscript"/>
              </w:rPr>
              <w:t>B</w:t>
            </w:r>
            <w:r>
              <w:rPr>
                <w:rFonts w:ascii="Times New Roman" w:hAnsi="Times New Roman" w:eastAsia="仿宋" w:cs="Times New Roman"/>
                <w:kern w:val="0"/>
                <w:sz w:val="24"/>
              </w:rPr>
              <w:t>=0.191×M（P/（100910-P））</w:t>
            </w:r>
            <w:r>
              <w:rPr>
                <w:rFonts w:ascii="Times New Roman" w:hAnsi="Times New Roman" w:eastAsia="仿宋" w:cs="Times New Roman"/>
                <w:kern w:val="0"/>
                <w:sz w:val="24"/>
                <w:vertAlign w:val="superscript"/>
              </w:rPr>
              <w:t>0.68</w:t>
            </w:r>
            <w:r>
              <w:rPr>
                <w:rFonts w:ascii="Times New Roman" w:hAnsi="Times New Roman" w:eastAsia="仿宋" w:cs="Times New Roman"/>
                <w:kern w:val="0"/>
                <w:sz w:val="24"/>
              </w:rPr>
              <w:t>×D</w:t>
            </w:r>
            <w:r>
              <w:rPr>
                <w:rFonts w:ascii="Times New Roman" w:hAnsi="Times New Roman" w:eastAsia="仿宋" w:cs="Times New Roman"/>
                <w:kern w:val="0"/>
                <w:sz w:val="24"/>
                <w:vertAlign w:val="superscript"/>
              </w:rPr>
              <w:t>1.73</w:t>
            </w:r>
            <w:r>
              <w:rPr>
                <w:rFonts w:ascii="Times New Roman" w:hAnsi="Times New Roman" w:eastAsia="仿宋" w:cs="Times New Roman"/>
                <w:kern w:val="0"/>
                <w:sz w:val="24"/>
              </w:rPr>
              <w:t>×H</w:t>
            </w:r>
            <w:r>
              <w:rPr>
                <w:rFonts w:ascii="Times New Roman" w:hAnsi="Times New Roman" w:eastAsia="仿宋" w:cs="Times New Roman"/>
                <w:kern w:val="0"/>
                <w:sz w:val="24"/>
                <w:vertAlign w:val="superscript"/>
              </w:rPr>
              <w:t>0.51</w:t>
            </w:r>
            <w:r>
              <w:rPr>
                <w:rFonts w:ascii="Times New Roman" w:hAnsi="Times New Roman" w:eastAsia="仿宋" w:cs="Times New Roman"/>
                <w:kern w:val="0"/>
                <w:sz w:val="24"/>
              </w:rPr>
              <w:t>×△T</w:t>
            </w:r>
            <w:r>
              <w:rPr>
                <w:rFonts w:ascii="Times New Roman" w:hAnsi="Times New Roman" w:eastAsia="仿宋" w:cs="Times New Roman"/>
                <w:kern w:val="0"/>
                <w:sz w:val="24"/>
                <w:vertAlign w:val="superscript"/>
              </w:rPr>
              <w:t>0.45</w:t>
            </w:r>
            <w:r>
              <w:rPr>
                <w:rFonts w:ascii="Times New Roman" w:hAnsi="Times New Roman" w:eastAsia="仿宋" w:cs="Times New Roman"/>
                <w:kern w:val="0"/>
                <w:sz w:val="24"/>
              </w:rPr>
              <w:t>×F</w:t>
            </w:r>
            <w:r>
              <w:rPr>
                <w:rFonts w:ascii="Times New Roman" w:hAnsi="Times New Roman" w:eastAsia="仿宋" w:cs="Times New Roman"/>
                <w:kern w:val="0"/>
                <w:sz w:val="24"/>
                <w:vertAlign w:val="subscript"/>
              </w:rPr>
              <w:t>P</w:t>
            </w:r>
            <w:r>
              <w:rPr>
                <w:rFonts w:ascii="Times New Roman" w:hAnsi="Times New Roman" w:eastAsia="仿宋" w:cs="Times New Roman"/>
                <w:kern w:val="0"/>
                <w:sz w:val="24"/>
              </w:rPr>
              <w:t>×C×K</w:t>
            </w:r>
            <w:r>
              <w:rPr>
                <w:rFonts w:ascii="Times New Roman" w:hAnsi="Times New Roman" w:eastAsia="仿宋" w:cs="Times New Roman"/>
                <w:kern w:val="0"/>
                <w:sz w:val="24"/>
                <w:vertAlign w:val="subscript"/>
              </w:rPr>
              <w:t>C</w:t>
            </w:r>
          </w:p>
          <w:p w14:paraId="7E6178CA">
            <w:pPr>
              <w:widowControl/>
              <w:shd w:val="clear" w:color="auto" w:fill="FFFFFF"/>
              <w:spacing w:line="360" w:lineRule="auto"/>
              <w:ind w:firstLine="480" w:firstLineChars="200"/>
              <w:jc w:val="left"/>
              <w:rPr>
                <w:rFonts w:ascii="Times New Roman" w:hAnsi="Times New Roman" w:eastAsia="仿宋" w:cs="Times New Roman"/>
                <w:kern w:val="0"/>
                <w:sz w:val="24"/>
              </w:rPr>
            </w:pPr>
            <w:r>
              <w:rPr>
                <w:rFonts w:ascii="Times New Roman" w:hAnsi="Times New Roman" w:eastAsia="仿宋" w:cs="Times New Roman"/>
                <w:kern w:val="0"/>
                <w:sz w:val="24"/>
              </w:rPr>
              <w:t>式中：L</w:t>
            </w:r>
            <w:r>
              <w:rPr>
                <w:rFonts w:ascii="Times New Roman" w:hAnsi="Times New Roman" w:eastAsia="仿宋" w:cs="Times New Roman"/>
                <w:kern w:val="0"/>
                <w:sz w:val="24"/>
                <w:vertAlign w:val="subscript"/>
              </w:rPr>
              <w:t>B</w:t>
            </w:r>
            <w:r>
              <w:rPr>
                <w:rFonts w:ascii="Times New Roman" w:hAnsi="Times New Roman" w:eastAsia="仿宋" w:cs="Times New Roman"/>
                <w:kern w:val="0"/>
                <w:sz w:val="24"/>
              </w:rPr>
              <w:t>—固定顶罐的呼吸排放量（kg/a）；</w:t>
            </w:r>
          </w:p>
          <w:p w14:paraId="7C63D0C5">
            <w:pPr>
              <w:widowControl/>
              <w:shd w:val="clear" w:color="auto" w:fill="FFFFFF"/>
              <w:spacing w:line="360" w:lineRule="auto"/>
              <w:ind w:firstLine="1200" w:firstLineChars="500"/>
              <w:jc w:val="left"/>
              <w:rPr>
                <w:rFonts w:ascii="Times New Roman" w:hAnsi="Times New Roman" w:eastAsia="仿宋" w:cs="Times New Roman"/>
                <w:color w:val="FF0000"/>
                <w:kern w:val="0"/>
                <w:sz w:val="24"/>
              </w:rPr>
            </w:pPr>
            <w:r>
              <w:rPr>
                <w:rFonts w:ascii="Times New Roman" w:hAnsi="Times New Roman" w:eastAsia="仿宋" w:cs="Times New Roman"/>
                <w:kern w:val="0"/>
                <w:sz w:val="24"/>
              </w:rPr>
              <w:t>M—储罐内蒸气的分子量（g/mol），本次取值</w:t>
            </w:r>
            <w:r>
              <w:rPr>
                <w:rFonts w:hint="eastAsia" w:ascii="Times New Roman" w:hAnsi="Times New Roman" w:eastAsia="仿宋" w:cs="Times New Roman"/>
                <w:kern w:val="0"/>
                <w:sz w:val="24"/>
              </w:rPr>
              <w:t>170</w:t>
            </w:r>
            <w:r>
              <w:rPr>
                <w:rFonts w:ascii="Times New Roman" w:hAnsi="Times New Roman" w:eastAsia="仿宋" w:cs="Times New Roman"/>
                <w:kern w:val="0"/>
                <w:sz w:val="24"/>
              </w:rPr>
              <w:t>；</w:t>
            </w:r>
          </w:p>
          <w:p w14:paraId="1C4D0B48">
            <w:pPr>
              <w:widowControl/>
              <w:shd w:val="clear" w:color="auto" w:fill="FFFFFF"/>
              <w:spacing w:line="360" w:lineRule="auto"/>
              <w:ind w:firstLine="1200" w:firstLineChars="500"/>
              <w:jc w:val="left"/>
              <w:rPr>
                <w:rFonts w:ascii="Times New Roman" w:hAnsi="Times New Roman" w:eastAsia="仿宋" w:cs="Times New Roman"/>
                <w:kern w:val="0"/>
                <w:sz w:val="24"/>
              </w:rPr>
            </w:pPr>
            <w:r>
              <w:rPr>
                <w:rFonts w:ascii="Times New Roman" w:hAnsi="Times New Roman" w:eastAsia="仿宋" w:cs="Times New Roman"/>
                <w:kern w:val="0"/>
                <w:sz w:val="24"/>
              </w:rPr>
              <w:t>P—在大量液体状态下，真实的蒸气压力（Pa），</w:t>
            </w:r>
            <w:r>
              <w:rPr>
                <w:rFonts w:ascii="Times New Roman" w:hAnsi="Times New Roman" w:eastAsia="仿宋" w:cs="Times New Roman"/>
                <w:color w:val="FF0000"/>
                <w:kern w:val="0"/>
                <w:sz w:val="24"/>
              </w:rPr>
              <w:t>本次取值</w:t>
            </w:r>
            <w:r>
              <w:rPr>
                <w:rFonts w:hint="eastAsia" w:ascii="Times New Roman" w:hAnsi="Times New Roman" w:eastAsia="仿宋" w:cs="Times New Roman"/>
                <w:color w:val="FF0000"/>
                <w:kern w:val="0"/>
                <w:sz w:val="24"/>
                <w:highlight w:val="yellow"/>
              </w:rPr>
              <w:t>26.6</w:t>
            </w:r>
            <w:r>
              <w:rPr>
                <w:rFonts w:ascii="Times New Roman" w:hAnsi="Times New Roman" w:eastAsia="仿宋" w:cs="Times New Roman"/>
                <w:color w:val="FF0000"/>
                <w:kern w:val="0"/>
                <w:sz w:val="24"/>
              </w:rPr>
              <w:t>；</w:t>
            </w:r>
          </w:p>
          <w:p w14:paraId="52B68A6B">
            <w:pPr>
              <w:pStyle w:val="4"/>
              <w:keepNext w:val="0"/>
              <w:keepLines w:val="0"/>
              <w:widowControl/>
              <w:shd w:val="clear" w:color="auto" w:fill="FFFFFF"/>
              <w:ind w:firstLine="1200" w:firstLineChars="500"/>
              <w:rPr>
                <w:rFonts w:ascii="仿宋" w:hAnsi="仿宋" w:eastAsia="仿宋" w:cs="仿宋"/>
                <w:b w:val="0"/>
                <w:bCs/>
                <w:color w:val="auto"/>
                <w:kern w:val="0"/>
                <w:szCs w:val="24"/>
                <w:highlight w:val="yellow"/>
              </w:rPr>
            </w:pPr>
            <w:r>
              <w:rPr>
                <w:rFonts w:hint="eastAsia" w:ascii="仿宋" w:hAnsi="仿宋" w:eastAsia="仿宋" w:cs="仿宋"/>
                <w:b w:val="0"/>
                <w:color w:val="FF0000"/>
                <w:spacing w:val="0"/>
                <w:w w:val="100"/>
                <w:kern w:val="0"/>
                <w:szCs w:val="24"/>
                <w:highlight w:val="yellow"/>
              </w:rPr>
              <w:t>D—罐的直径（m）</w:t>
            </w:r>
            <w:r>
              <w:rPr>
                <w:rFonts w:hint="eastAsia" w:ascii="仿宋" w:hAnsi="仿宋" w:eastAsia="仿宋" w:cs="仿宋"/>
                <w:b w:val="0"/>
                <w:bCs/>
                <w:color w:val="FF0000"/>
                <w:kern w:val="0"/>
                <w:szCs w:val="24"/>
                <w:highlight w:val="yellow"/>
              </w:rPr>
              <w:t>，</w:t>
            </w:r>
            <w:r>
              <w:rPr>
                <w:rFonts w:hint="eastAsia" w:ascii="Times New Roman" w:hAnsi="Times New Roman" w:eastAsia="仿宋" w:cs="Times New Roman"/>
                <w:b w:val="0"/>
                <w:color w:val="FF0000"/>
                <w:spacing w:val="0"/>
                <w:w w:val="100"/>
                <w:kern w:val="0"/>
                <w:szCs w:val="24"/>
                <w:highlight w:val="yellow"/>
              </w:rPr>
              <w:t>50m</w:t>
            </w:r>
            <w:r>
              <w:rPr>
                <w:rFonts w:hint="eastAsia" w:ascii="Times New Roman" w:hAnsi="Times New Roman" w:eastAsia="仿宋" w:cs="Times New Roman"/>
                <w:b w:val="0"/>
                <w:color w:val="FF0000"/>
                <w:spacing w:val="0"/>
                <w:w w:val="100"/>
                <w:kern w:val="0"/>
                <w:szCs w:val="24"/>
                <w:highlight w:val="yellow"/>
                <w:vertAlign w:val="superscript"/>
              </w:rPr>
              <w:t>3</w:t>
            </w:r>
            <w:r>
              <w:rPr>
                <w:rFonts w:hint="eastAsia" w:ascii="仿宋" w:hAnsi="仿宋" w:eastAsia="仿宋" w:cs="仿宋"/>
                <w:b w:val="0"/>
                <w:bCs/>
                <w:color w:val="FF0000"/>
                <w:kern w:val="0"/>
                <w:szCs w:val="24"/>
                <w:highlight w:val="yellow"/>
              </w:rPr>
              <w:t>储罐折算后，</w:t>
            </w:r>
            <w:r>
              <w:rPr>
                <w:rFonts w:hint="eastAsia" w:ascii="仿宋" w:hAnsi="仿宋" w:eastAsia="仿宋" w:cs="仿宋"/>
                <w:b w:val="0"/>
                <w:bCs/>
                <w:i/>
                <w:iCs/>
                <w:color w:val="FF0000"/>
                <w:spacing w:val="0"/>
                <w:szCs w:val="24"/>
                <w:highlight w:val="yellow"/>
                <w:shd w:val="clear" w:color="auto" w:fill="FFFFFF"/>
              </w:rPr>
              <w:t>Deff</w:t>
            </w:r>
            <w:r>
              <w:rPr>
                <w:rFonts w:hint="eastAsia" w:ascii="仿宋" w:hAnsi="仿宋" w:eastAsia="仿宋" w:cs="仿宋"/>
                <w:b w:val="0"/>
                <w:bCs/>
                <w:color w:val="FF0000"/>
                <w:spacing w:val="0"/>
                <w:szCs w:val="24"/>
                <w:highlight w:val="yellow"/>
              </w:rPr>
              <w:t>取值</w:t>
            </w:r>
            <w:r>
              <w:rPr>
                <w:rFonts w:hint="eastAsia" w:ascii="Times New Roman" w:hAnsi="Times New Roman" w:eastAsia="仿宋" w:cs="Times New Roman"/>
                <w:b w:val="0"/>
                <w:color w:val="FF0000"/>
                <w:spacing w:val="0"/>
                <w:w w:val="100"/>
                <w:kern w:val="0"/>
                <w:szCs w:val="24"/>
                <w:highlight w:val="yellow"/>
              </w:rPr>
              <w:t>5.7；30m</w:t>
            </w:r>
            <w:r>
              <w:rPr>
                <w:rFonts w:hint="eastAsia" w:ascii="Times New Roman" w:hAnsi="Times New Roman" w:eastAsia="仿宋" w:cs="Times New Roman"/>
                <w:b w:val="0"/>
                <w:color w:val="FF0000"/>
                <w:spacing w:val="0"/>
                <w:w w:val="100"/>
                <w:kern w:val="0"/>
                <w:szCs w:val="24"/>
                <w:highlight w:val="yellow"/>
                <w:vertAlign w:val="superscript"/>
              </w:rPr>
              <w:t>3</w:t>
            </w:r>
            <w:r>
              <w:rPr>
                <w:rFonts w:hint="eastAsia" w:ascii="仿宋" w:hAnsi="仿宋" w:eastAsia="仿宋" w:cs="仿宋"/>
                <w:b w:val="0"/>
                <w:bCs/>
                <w:color w:val="FF0000"/>
                <w:kern w:val="0"/>
                <w:szCs w:val="24"/>
                <w:highlight w:val="yellow"/>
              </w:rPr>
              <w:t>储罐折算后，</w:t>
            </w:r>
            <w:r>
              <w:rPr>
                <w:rFonts w:hint="eastAsia" w:ascii="仿宋" w:hAnsi="仿宋" w:eastAsia="仿宋" w:cs="仿宋"/>
                <w:b w:val="0"/>
                <w:bCs/>
                <w:i/>
                <w:iCs/>
                <w:color w:val="FF0000"/>
                <w:spacing w:val="0"/>
                <w:szCs w:val="24"/>
                <w:highlight w:val="yellow"/>
                <w:shd w:val="clear" w:color="auto" w:fill="FFFFFF"/>
              </w:rPr>
              <w:t>Deff</w:t>
            </w:r>
            <w:r>
              <w:rPr>
                <w:rFonts w:hint="eastAsia" w:ascii="仿宋" w:hAnsi="仿宋" w:eastAsia="仿宋" w:cs="仿宋"/>
                <w:b w:val="0"/>
                <w:bCs/>
                <w:color w:val="FF0000"/>
                <w:spacing w:val="0"/>
                <w:szCs w:val="24"/>
                <w:highlight w:val="yellow"/>
              </w:rPr>
              <w:t>取值</w:t>
            </w:r>
            <w:r>
              <w:rPr>
                <w:rFonts w:hint="eastAsia" w:ascii="Times New Roman" w:hAnsi="Times New Roman" w:eastAsia="仿宋" w:cs="Times New Roman"/>
                <w:b w:val="0"/>
                <w:color w:val="FF0000"/>
                <w:spacing w:val="0"/>
                <w:w w:val="100"/>
                <w:kern w:val="0"/>
                <w:szCs w:val="24"/>
                <w:highlight w:val="yellow"/>
              </w:rPr>
              <w:t>4.69；</w:t>
            </w:r>
          </w:p>
          <w:p w14:paraId="3FE90CBA">
            <w:pPr>
              <w:widowControl/>
              <w:shd w:val="clear" w:color="auto" w:fill="FFFFFF"/>
              <w:spacing w:line="360" w:lineRule="auto"/>
              <w:ind w:firstLine="1200" w:firstLineChars="500"/>
              <w:jc w:val="left"/>
              <w:rPr>
                <w:rFonts w:ascii="仿宋" w:hAnsi="仿宋" w:eastAsia="仿宋" w:cs="仿宋"/>
                <w:color w:val="FF0000"/>
                <w:kern w:val="0"/>
                <w:sz w:val="24"/>
                <w:highlight w:val="yellow"/>
              </w:rPr>
            </w:pPr>
            <w:r>
              <w:rPr>
                <w:rFonts w:hint="eastAsia" w:ascii="仿宋" w:hAnsi="仿宋" w:eastAsia="仿宋" w:cs="仿宋"/>
                <w:color w:val="FF0000"/>
                <w:kern w:val="0"/>
                <w:sz w:val="24"/>
                <w:highlight w:val="yellow"/>
              </w:rPr>
              <w:t>H—平均蒸气空间高度（m），</w:t>
            </w:r>
            <w:r>
              <w:rPr>
                <w:rFonts w:hint="eastAsia" w:ascii="Times New Roman" w:hAnsi="Times New Roman" w:eastAsia="仿宋" w:cs="Times New Roman"/>
                <w:color w:val="FF0000"/>
                <w:kern w:val="0"/>
                <w:sz w:val="24"/>
                <w:highlight w:val="yellow"/>
              </w:rPr>
              <w:t>50m</w:t>
            </w:r>
            <w:r>
              <w:rPr>
                <w:rFonts w:hint="eastAsia" w:ascii="Times New Roman" w:hAnsi="Times New Roman" w:eastAsia="仿宋" w:cs="Times New Roman"/>
                <w:color w:val="FF0000"/>
                <w:kern w:val="0"/>
                <w:sz w:val="24"/>
                <w:highlight w:val="yellow"/>
                <w:vertAlign w:val="superscript"/>
              </w:rPr>
              <w:t>3</w:t>
            </w:r>
            <w:r>
              <w:rPr>
                <w:rFonts w:hint="eastAsia" w:ascii="仿宋" w:hAnsi="仿宋" w:eastAsia="仿宋" w:cs="仿宋"/>
                <w:color w:val="FF0000"/>
                <w:kern w:val="0"/>
                <w:sz w:val="24"/>
                <w:highlight w:val="yellow"/>
              </w:rPr>
              <w:t>储罐取值</w:t>
            </w:r>
            <w:r>
              <w:rPr>
                <w:rFonts w:hint="eastAsia" w:ascii="Times New Roman" w:hAnsi="Times New Roman" w:eastAsia="仿宋" w:cs="Times New Roman"/>
                <w:color w:val="FF0000"/>
                <w:kern w:val="0"/>
                <w:sz w:val="24"/>
                <w:highlight w:val="yellow"/>
              </w:rPr>
              <w:t>0.471，30m</w:t>
            </w:r>
            <w:r>
              <w:rPr>
                <w:rFonts w:hint="eastAsia" w:ascii="Times New Roman" w:hAnsi="Times New Roman" w:eastAsia="仿宋" w:cs="Times New Roman"/>
                <w:color w:val="FF0000"/>
                <w:kern w:val="0"/>
                <w:sz w:val="24"/>
                <w:highlight w:val="yellow"/>
                <w:vertAlign w:val="superscript"/>
              </w:rPr>
              <w:t>3</w:t>
            </w:r>
            <w:r>
              <w:rPr>
                <w:rFonts w:hint="eastAsia" w:ascii="仿宋" w:hAnsi="仿宋" w:eastAsia="仿宋" w:cs="仿宋"/>
                <w:color w:val="FF0000"/>
                <w:kern w:val="0"/>
                <w:sz w:val="24"/>
                <w:highlight w:val="yellow"/>
              </w:rPr>
              <w:t>储罐取值</w:t>
            </w:r>
            <w:r>
              <w:rPr>
                <w:rFonts w:hint="eastAsia" w:ascii="Times New Roman" w:hAnsi="Times New Roman" w:eastAsia="仿宋" w:cs="Times New Roman"/>
                <w:color w:val="FF0000"/>
                <w:kern w:val="0"/>
                <w:sz w:val="24"/>
                <w:highlight w:val="yellow"/>
              </w:rPr>
              <w:t>0.377；</w:t>
            </w:r>
          </w:p>
          <w:p w14:paraId="6A9A1DF3">
            <w:pPr>
              <w:widowControl/>
              <w:shd w:val="clear" w:color="auto" w:fill="FFFFFF"/>
              <w:spacing w:line="360" w:lineRule="auto"/>
              <w:ind w:firstLine="1200" w:firstLineChars="500"/>
              <w:jc w:val="left"/>
              <w:rPr>
                <w:rFonts w:ascii="Times New Roman" w:hAnsi="Times New Roman" w:eastAsia="仿宋" w:cs="Times New Roman"/>
                <w:kern w:val="0"/>
                <w:sz w:val="24"/>
              </w:rPr>
            </w:pPr>
            <w:r>
              <w:rPr>
                <w:rFonts w:ascii="Times New Roman" w:hAnsi="Times New Roman" w:eastAsia="仿宋" w:cs="Times New Roman"/>
                <w:kern w:val="0"/>
                <w:sz w:val="24"/>
              </w:rPr>
              <w:t>△T—一天之内的平均温度差（℃），本次取值</w:t>
            </w:r>
            <w:r>
              <w:rPr>
                <w:rFonts w:hint="eastAsia" w:ascii="Times New Roman" w:hAnsi="Times New Roman" w:eastAsia="仿宋" w:cs="Times New Roman"/>
                <w:kern w:val="0"/>
                <w:sz w:val="24"/>
              </w:rPr>
              <w:t>15</w:t>
            </w:r>
            <w:r>
              <w:rPr>
                <w:rFonts w:ascii="Times New Roman" w:hAnsi="Times New Roman" w:eastAsia="仿宋" w:cs="Times New Roman"/>
                <w:kern w:val="0"/>
                <w:sz w:val="24"/>
              </w:rPr>
              <w:t>；</w:t>
            </w:r>
          </w:p>
          <w:p w14:paraId="357BE013">
            <w:pPr>
              <w:widowControl/>
              <w:shd w:val="clear" w:color="auto" w:fill="FFFFFF"/>
              <w:spacing w:line="360" w:lineRule="auto"/>
              <w:ind w:firstLine="1200" w:firstLineChars="500"/>
              <w:jc w:val="left"/>
              <w:rPr>
                <w:rFonts w:ascii="Times New Roman" w:hAnsi="Times New Roman" w:eastAsia="仿宋" w:cs="Times New Roman"/>
                <w:kern w:val="0"/>
                <w:sz w:val="24"/>
              </w:rPr>
            </w:pPr>
            <w:r>
              <w:rPr>
                <w:rFonts w:ascii="Times New Roman" w:hAnsi="Times New Roman" w:eastAsia="仿宋" w:cs="Times New Roman"/>
                <w:kern w:val="0"/>
                <w:sz w:val="24"/>
              </w:rPr>
              <w:t>F</w:t>
            </w:r>
            <w:r>
              <w:rPr>
                <w:rFonts w:ascii="Times New Roman" w:hAnsi="Times New Roman" w:eastAsia="仿宋" w:cs="Times New Roman"/>
                <w:kern w:val="0"/>
                <w:sz w:val="24"/>
                <w:vertAlign w:val="subscript"/>
              </w:rPr>
              <w:t>P</w:t>
            </w:r>
            <w:r>
              <w:rPr>
                <w:rFonts w:ascii="Times New Roman" w:hAnsi="Times New Roman" w:eastAsia="仿宋" w:cs="Times New Roman"/>
                <w:kern w:val="0"/>
                <w:sz w:val="24"/>
              </w:rPr>
              <w:t>—涂层因子（无量纲），根据油气状况取值在1~1.5之间，本次取值1.</w:t>
            </w:r>
            <w:r>
              <w:rPr>
                <w:rFonts w:hint="eastAsia" w:ascii="Times New Roman" w:hAnsi="Times New Roman" w:eastAsia="仿宋" w:cs="Times New Roman"/>
                <w:kern w:val="0"/>
                <w:sz w:val="24"/>
              </w:rPr>
              <w:t>3</w:t>
            </w:r>
            <w:r>
              <w:rPr>
                <w:rFonts w:ascii="Times New Roman" w:hAnsi="Times New Roman" w:eastAsia="仿宋" w:cs="Times New Roman"/>
                <w:kern w:val="0"/>
                <w:sz w:val="24"/>
              </w:rPr>
              <w:t>；</w:t>
            </w:r>
          </w:p>
          <w:p w14:paraId="6C5008D9">
            <w:pPr>
              <w:widowControl/>
              <w:shd w:val="clear" w:color="auto" w:fill="FFFFFF"/>
              <w:spacing w:line="360" w:lineRule="auto"/>
              <w:ind w:firstLine="1200" w:firstLineChars="500"/>
              <w:jc w:val="left"/>
              <w:rPr>
                <w:rFonts w:ascii="Times New Roman" w:hAnsi="Times New Roman" w:eastAsia="仿宋" w:cs="Times New Roman"/>
                <w:color w:val="FF0000"/>
                <w:kern w:val="0"/>
                <w:sz w:val="24"/>
              </w:rPr>
            </w:pPr>
            <w:r>
              <w:rPr>
                <w:rFonts w:ascii="Times New Roman" w:hAnsi="Times New Roman" w:eastAsia="仿宋" w:cs="Times New Roman"/>
                <w:kern w:val="0"/>
                <w:sz w:val="24"/>
              </w:rPr>
              <w:t>C—用于小直径罐的调节因子（无量纲）；直径在0~9m之间的罐体，C=1-0.0123（D-9）</w:t>
            </w:r>
            <w:r>
              <w:rPr>
                <w:rFonts w:ascii="Times New Roman" w:hAnsi="Times New Roman" w:eastAsia="仿宋" w:cs="Times New Roman"/>
                <w:kern w:val="0"/>
                <w:sz w:val="24"/>
                <w:vertAlign w:val="superscript"/>
              </w:rPr>
              <w:t>2</w:t>
            </w:r>
            <w:r>
              <w:rPr>
                <w:rFonts w:ascii="Times New Roman" w:hAnsi="Times New Roman" w:eastAsia="仿宋" w:cs="Times New Roman"/>
                <w:kern w:val="0"/>
                <w:sz w:val="24"/>
              </w:rPr>
              <w:t>；罐径大于9m的C=1，本次</w:t>
            </w:r>
            <w:r>
              <w:rPr>
                <w:rFonts w:hint="eastAsia" w:ascii="Times New Roman" w:hAnsi="Times New Roman" w:eastAsia="仿宋" w:cs="Times New Roman"/>
                <w:kern w:val="0"/>
                <w:sz w:val="24"/>
              </w:rPr>
              <w:t>50m</w:t>
            </w:r>
            <w:r>
              <w:rPr>
                <w:rFonts w:hint="eastAsia" w:ascii="Times New Roman" w:hAnsi="Times New Roman" w:eastAsia="仿宋" w:cs="Times New Roman"/>
                <w:kern w:val="0"/>
                <w:sz w:val="24"/>
                <w:vertAlign w:val="superscript"/>
              </w:rPr>
              <w:t>3</w:t>
            </w:r>
            <w:r>
              <w:rPr>
                <w:rFonts w:hint="eastAsia" w:ascii="Times New Roman" w:hAnsi="Times New Roman" w:eastAsia="仿宋" w:cs="Times New Roman"/>
                <w:kern w:val="0"/>
                <w:sz w:val="24"/>
              </w:rPr>
              <w:t>储罐</w:t>
            </w:r>
            <w:r>
              <w:rPr>
                <w:rFonts w:ascii="Times New Roman" w:hAnsi="Times New Roman" w:eastAsia="仿宋" w:cs="Times New Roman"/>
                <w:kern w:val="0"/>
                <w:sz w:val="24"/>
              </w:rPr>
              <w:t>C取值</w:t>
            </w:r>
            <w:r>
              <w:rPr>
                <w:rFonts w:hint="eastAsia" w:ascii="Times New Roman" w:hAnsi="Times New Roman" w:eastAsia="仿宋" w:cs="Times New Roman"/>
                <w:kern w:val="0"/>
                <w:sz w:val="24"/>
              </w:rPr>
              <w:t>0.866，30m</w:t>
            </w:r>
            <w:r>
              <w:rPr>
                <w:rFonts w:hint="eastAsia" w:ascii="Times New Roman" w:hAnsi="Times New Roman" w:eastAsia="仿宋" w:cs="Times New Roman"/>
                <w:kern w:val="0"/>
                <w:sz w:val="24"/>
                <w:vertAlign w:val="superscript"/>
              </w:rPr>
              <w:t>3</w:t>
            </w:r>
            <w:r>
              <w:rPr>
                <w:rFonts w:hint="eastAsia" w:ascii="Times New Roman" w:hAnsi="Times New Roman" w:eastAsia="仿宋" w:cs="Times New Roman"/>
                <w:kern w:val="0"/>
                <w:sz w:val="24"/>
              </w:rPr>
              <w:t>储罐</w:t>
            </w:r>
            <w:r>
              <w:rPr>
                <w:rFonts w:ascii="Times New Roman" w:hAnsi="Times New Roman" w:eastAsia="仿宋" w:cs="Times New Roman"/>
                <w:kern w:val="0"/>
                <w:sz w:val="24"/>
              </w:rPr>
              <w:t>C</w:t>
            </w:r>
            <w:r>
              <w:rPr>
                <w:rFonts w:hint="eastAsia" w:ascii="Times New Roman" w:hAnsi="Times New Roman" w:eastAsia="仿宋" w:cs="Times New Roman"/>
                <w:kern w:val="0"/>
                <w:sz w:val="24"/>
              </w:rPr>
              <w:t>取值0.772；</w:t>
            </w:r>
          </w:p>
          <w:p w14:paraId="557065C4">
            <w:pPr>
              <w:widowControl/>
              <w:shd w:val="clear" w:color="auto" w:fill="FFFFFF"/>
              <w:spacing w:line="360" w:lineRule="auto"/>
              <w:ind w:firstLine="1200" w:firstLineChars="500"/>
              <w:jc w:val="left"/>
              <w:rPr>
                <w:rFonts w:ascii="Times New Roman" w:hAnsi="Times New Roman" w:eastAsia="仿宋" w:cs="Times New Roman"/>
                <w:kern w:val="0"/>
                <w:sz w:val="24"/>
              </w:rPr>
            </w:pPr>
            <w:r>
              <w:rPr>
                <w:rFonts w:ascii="Times New Roman" w:hAnsi="Times New Roman" w:eastAsia="仿宋" w:cs="Times New Roman"/>
                <w:kern w:val="0"/>
                <w:sz w:val="24"/>
              </w:rPr>
              <w:t>K</w:t>
            </w:r>
            <w:r>
              <w:rPr>
                <w:rFonts w:ascii="Times New Roman" w:hAnsi="Times New Roman" w:eastAsia="仿宋" w:cs="Times New Roman"/>
                <w:kern w:val="0"/>
                <w:sz w:val="24"/>
                <w:vertAlign w:val="subscript"/>
              </w:rPr>
              <w:t>C</w:t>
            </w:r>
            <w:r>
              <w:rPr>
                <w:rFonts w:ascii="Times New Roman" w:hAnsi="Times New Roman" w:eastAsia="仿宋" w:cs="Times New Roman"/>
                <w:kern w:val="0"/>
                <w:sz w:val="24"/>
              </w:rPr>
              <w:t>—产品因子（石油原油KC取0.65，其他的液体取1.0），本次取值1.0。</w:t>
            </w:r>
          </w:p>
          <w:p w14:paraId="53FCF0A3">
            <w:pPr>
              <w:pStyle w:val="4"/>
              <w:keepNext w:val="0"/>
              <w:keepLines w:val="0"/>
              <w:wordWrap w:val="0"/>
              <w:topLinePunct/>
              <w:ind w:firstLine="480"/>
              <w:rPr>
                <w:rFonts w:ascii="Times New Roman" w:hAnsi="Times New Roman" w:cs="Times New Roman"/>
                <w:b w:val="0"/>
                <w:spacing w:val="0"/>
                <w:w w:val="100"/>
                <w:szCs w:val="24"/>
              </w:rPr>
            </w:pPr>
            <w:r>
              <w:rPr>
                <w:rFonts w:ascii="Times New Roman" w:hAnsi="Times New Roman" w:cs="Times New Roman"/>
                <w:b w:val="0"/>
                <w:spacing w:val="0"/>
                <w:w w:val="100"/>
                <w:szCs w:val="24"/>
              </w:rPr>
              <w:t>经计算可得，柴油储罐小呼吸废气</w:t>
            </w:r>
            <w:r>
              <w:rPr>
                <w:rFonts w:hint="eastAsia" w:ascii="Times New Roman" w:hAnsi="Times New Roman" w:cs="Times New Roman"/>
                <w:b w:val="0"/>
                <w:spacing w:val="0"/>
                <w:w w:val="100"/>
                <w:szCs w:val="24"/>
              </w:rPr>
              <w:t>，以非甲烷总烃表征，非甲烷总烃</w:t>
            </w:r>
            <w:r>
              <w:rPr>
                <w:rFonts w:ascii="Times New Roman" w:hAnsi="Times New Roman" w:cs="Times New Roman"/>
                <w:b w:val="0"/>
                <w:spacing w:val="0"/>
                <w:w w:val="100"/>
                <w:szCs w:val="24"/>
              </w:rPr>
              <w:t>排放量为</w:t>
            </w:r>
            <w:r>
              <w:rPr>
                <w:rFonts w:hint="eastAsia" w:ascii="Times New Roman" w:hAnsi="Times New Roman" w:cs="Times New Roman"/>
                <w:b w:val="0"/>
                <w:spacing w:val="0"/>
                <w:w w:val="100"/>
                <w:szCs w:val="24"/>
              </w:rPr>
              <w:t>0.0049</w:t>
            </w:r>
            <w:r>
              <w:rPr>
                <w:rFonts w:ascii="Times New Roman" w:hAnsi="Times New Roman" w:cs="Times New Roman"/>
                <w:b w:val="0"/>
                <w:spacing w:val="0"/>
                <w:w w:val="100"/>
                <w:szCs w:val="24"/>
              </w:rPr>
              <w:t>t/a</w:t>
            </w:r>
            <w:r>
              <w:rPr>
                <w:rFonts w:hint="eastAsia" w:ascii="Times New Roman" w:hAnsi="Times New Roman" w:cs="Times New Roman"/>
                <w:b w:val="0"/>
                <w:spacing w:val="0"/>
                <w:w w:val="100"/>
                <w:szCs w:val="24"/>
              </w:rPr>
              <w:t>（按照180d为全年实际储存期计）</w:t>
            </w:r>
            <w:r>
              <w:rPr>
                <w:rFonts w:ascii="Times New Roman" w:hAnsi="Times New Roman" w:cs="Times New Roman"/>
                <w:b w:val="0"/>
                <w:spacing w:val="0"/>
                <w:w w:val="100"/>
                <w:szCs w:val="24"/>
              </w:rPr>
              <w:t>，按储存时间为1</w:t>
            </w:r>
            <w:r>
              <w:rPr>
                <w:rFonts w:hint="eastAsia" w:ascii="Times New Roman" w:hAnsi="Times New Roman" w:cs="Times New Roman"/>
                <w:b w:val="0"/>
                <w:spacing w:val="0"/>
                <w:w w:val="100"/>
                <w:szCs w:val="24"/>
              </w:rPr>
              <w:t>8</w:t>
            </w:r>
            <w:r>
              <w:rPr>
                <w:rFonts w:ascii="Times New Roman" w:hAnsi="Times New Roman" w:cs="Times New Roman"/>
                <w:b w:val="0"/>
                <w:spacing w:val="0"/>
                <w:w w:val="100"/>
                <w:szCs w:val="24"/>
              </w:rPr>
              <w:t>0</w:t>
            </w:r>
            <w:r>
              <w:rPr>
                <w:rFonts w:hint="eastAsia" w:ascii="Times New Roman" w:hAnsi="Times New Roman" w:cs="Times New Roman"/>
                <w:b w:val="0"/>
                <w:spacing w:val="0"/>
                <w:w w:val="100"/>
                <w:szCs w:val="24"/>
              </w:rPr>
              <w:t>d</w:t>
            </w:r>
            <w:r>
              <w:rPr>
                <w:rFonts w:ascii="Times New Roman" w:hAnsi="Times New Roman" w:cs="Times New Roman"/>
                <w:b w:val="0"/>
                <w:spacing w:val="0"/>
                <w:w w:val="100"/>
                <w:szCs w:val="24"/>
              </w:rPr>
              <w:t>共</w:t>
            </w:r>
            <w:r>
              <w:rPr>
                <w:rFonts w:hint="eastAsia" w:ascii="Times New Roman" w:hAnsi="Times New Roman" w:cs="Times New Roman"/>
                <w:b w:val="0"/>
                <w:spacing w:val="0"/>
                <w:w w:val="100"/>
                <w:szCs w:val="24"/>
              </w:rPr>
              <w:t>4320h</w:t>
            </w:r>
            <w:r>
              <w:rPr>
                <w:rFonts w:ascii="Times New Roman" w:hAnsi="Times New Roman" w:cs="Times New Roman"/>
                <w:b w:val="0"/>
                <w:spacing w:val="0"/>
                <w:w w:val="100"/>
                <w:szCs w:val="24"/>
              </w:rPr>
              <w:t>计算，</w:t>
            </w:r>
            <w:r>
              <w:rPr>
                <w:rFonts w:hint="eastAsia" w:ascii="Times New Roman" w:hAnsi="Times New Roman" w:cs="Times New Roman"/>
                <w:b w:val="0"/>
                <w:spacing w:val="0"/>
                <w:w w:val="100"/>
                <w:szCs w:val="24"/>
              </w:rPr>
              <w:t>非甲烷总烃</w:t>
            </w:r>
            <w:r>
              <w:rPr>
                <w:rFonts w:ascii="Times New Roman" w:hAnsi="Times New Roman" w:cs="Times New Roman"/>
                <w:b w:val="0"/>
                <w:spacing w:val="0"/>
                <w:w w:val="100"/>
                <w:szCs w:val="24"/>
              </w:rPr>
              <w:t>排放速率为</w:t>
            </w:r>
            <w:r>
              <w:rPr>
                <w:rFonts w:hint="eastAsia" w:ascii="Times New Roman" w:hAnsi="Times New Roman" w:cs="Times New Roman"/>
                <w:b w:val="0"/>
                <w:spacing w:val="0"/>
                <w:w w:val="100"/>
                <w:szCs w:val="24"/>
              </w:rPr>
              <w:t>0.001</w:t>
            </w:r>
            <w:r>
              <w:rPr>
                <w:rFonts w:ascii="Times New Roman" w:hAnsi="Times New Roman" w:cs="Times New Roman"/>
                <w:b w:val="0"/>
                <w:spacing w:val="0"/>
                <w:w w:val="100"/>
                <w:szCs w:val="24"/>
              </w:rPr>
              <w:t>kg/h，</w:t>
            </w:r>
            <w:r>
              <w:rPr>
                <w:rFonts w:hint="eastAsia" w:ascii="Times New Roman" w:hAnsi="Times New Roman" w:cs="Times New Roman"/>
                <w:b w:val="0"/>
                <w:spacing w:val="0"/>
                <w:w w:val="100"/>
                <w:szCs w:val="24"/>
              </w:rPr>
              <w:t>自然逸散，</w:t>
            </w:r>
            <w:r>
              <w:rPr>
                <w:rFonts w:ascii="Times New Roman" w:hAnsi="Times New Roman" w:cs="Times New Roman"/>
                <w:b w:val="0"/>
                <w:spacing w:val="0"/>
                <w:w w:val="100"/>
                <w:szCs w:val="24"/>
              </w:rPr>
              <w:t>呈无组织排放。</w:t>
            </w:r>
          </w:p>
          <w:p w14:paraId="29A86E4A">
            <w:pPr>
              <w:pStyle w:val="4"/>
              <w:keepNext w:val="0"/>
              <w:keepLines w:val="0"/>
              <w:wordWrap w:val="0"/>
              <w:topLinePunct/>
              <w:ind w:firstLine="480"/>
              <w:rPr>
                <w:rFonts w:ascii="Times New Roman" w:hAnsi="Times New Roman" w:cs="Times New Roman"/>
                <w:b w:val="0"/>
                <w:spacing w:val="0"/>
                <w:w w:val="100"/>
                <w:szCs w:val="24"/>
              </w:rPr>
            </w:pPr>
            <w:r>
              <w:rPr>
                <w:rFonts w:hint="eastAsia" w:ascii="Times New Roman" w:hAnsi="Times New Roman" w:cs="Times New Roman"/>
                <w:b w:val="0"/>
                <w:spacing w:val="0"/>
                <w:w w:val="100"/>
                <w:szCs w:val="24"/>
              </w:rPr>
              <w:t>（2）动静密封点废气</w:t>
            </w:r>
          </w:p>
          <w:p w14:paraId="3D9BD4E4">
            <w:pPr>
              <w:pStyle w:val="4"/>
              <w:keepNext w:val="0"/>
              <w:keepLines w:val="0"/>
              <w:wordWrap w:val="0"/>
              <w:topLinePunct/>
              <w:ind w:firstLine="480"/>
              <w:rPr>
                <w:rFonts w:ascii="Times New Roman" w:hAnsi="Times New Roman" w:cs="Times New Roman"/>
                <w:b w:val="0"/>
                <w:spacing w:val="0"/>
                <w:w w:val="100"/>
                <w:szCs w:val="24"/>
              </w:rPr>
            </w:pPr>
            <w:r>
              <w:rPr>
                <w:rFonts w:hint="eastAsia" w:ascii="Times New Roman" w:hAnsi="Times New Roman" w:cs="Times New Roman"/>
                <w:b w:val="0"/>
                <w:spacing w:val="0"/>
                <w:w w:val="100"/>
                <w:szCs w:val="24"/>
              </w:rPr>
              <w:t>本项目柴油储罐配套的柴油泵、阀门、法兰等动静密封点，在长期使用过程中会因密封件老化等因素产生少量物料泄漏，以VOCs（以非甲烷总烃计）表征。</w:t>
            </w:r>
          </w:p>
          <w:p w14:paraId="1E42F7A9">
            <w:pPr>
              <w:pStyle w:val="4"/>
              <w:keepNext w:val="0"/>
              <w:keepLines w:val="0"/>
              <w:wordWrap w:val="0"/>
              <w:topLinePunct/>
              <w:ind w:firstLine="480"/>
              <w:rPr>
                <w:rFonts w:ascii="Times New Roman" w:hAnsi="Times New Roman" w:cs="Times New Roman"/>
                <w:b w:val="0"/>
                <w:spacing w:val="0"/>
                <w:w w:val="100"/>
                <w:szCs w:val="24"/>
              </w:rPr>
            </w:pPr>
            <w:r>
              <w:rPr>
                <w:rFonts w:hint="eastAsia" w:ascii="Times New Roman" w:hAnsi="Times New Roman" w:cs="Times New Roman"/>
                <w:b w:val="0"/>
                <w:spacing w:val="0"/>
                <w:w w:val="100"/>
                <w:szCs w:val="24"/>
              </w:rPr>
              <w:t>本项目参照《排污许可证申请与核发技术规范 石化工业》（HJ 853-2017）中“5.2.3.1.2 设备与管线组件密封点泄漏挥发性有机物年许可排放量”计算方法进行估算。计算公式如下：</w:t>
            </w:r>
          </w:p>
          <w:p w14:paraId="0A23D727">
            <w:pPr>
              <w:pStyle w:val="121"/>
              <w:widowControl/>
              <w:ind w:firstLine="0"/>
              <w:jc w:val="center"/>
              <w:rPr>
                <w:rFonts w:ascii="Times New Roman" w:hAnsi="Times New Roman" w:eastAsia="仿宋" w:cs="Times New Roman"/>
                <w:color w:val="FF0000"/>
                <w:sz w:val="24"/>
                <w:szCs w:val="24"/>
              </w:rPr>
            </w:pPr>
            <w:r>
              <w:drawing>
                <wp:inline distT="0" distB="0" distL="114300" distR="114300">
                  <wp:extent cx="5121275" cy="2037715"/>
                  <wp:effectExtent l="0" t="0" r="9525" b="1968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4"/>
                          <a:stretch>
                            <a:fillRect/>
                          </a:stretch>
                        </pic:blipFill>
                        <pic:spPr>
                          <a:xfrm>
                            <a:off x="0" y="0"/>
                            <a:ext cx="5121275" cy="2037715"/>
                          </a:xfrm>
                          <a:prstGeom prst="rect">
                            <a:avLst/>
                          </a:prstGeom>
                          <a:noFill/>
                          <a:ln>
                            <a:noFill/>
                          </a:ln>
                        </pic:spPr>
                      </pic:pic>
                    </a:graphicData>
                  </a:graphic>
                </wp:inline>
              </w:drawing>
            </w:r>
          </w:p>
          <w:p w14:paraId="1C01B4F5">
            <w:pPr>
              <w:pStyle w:val="4"/>
              <w:keepNext w:val="0"/>
              <w:keepLines w:val="0"/>
              <w:wordWrap w:val="0"/>
              <w:topLinePunct/>
              <w:ind w:firstLine="480"/>
              <w:rPr>
                <w:rFonts w:ascii="Times New Roman" w:hAnsi="Times New Roman" w:cs="Times New Roman"/>
                <w:b w:val="0"/>
                <w:spacing w:val="0"/>
                <w:w w:val="100"/>
                <w:szCs w:val="24"/>
              </w:rPr>
            </w:pPr>
            <w:r>
              <w:rPr>
                <w:rFonts w:ascii="Times New Roman" w:hAnsi="Times New Roman" w:cs="Times New Roman"/>
                <w:b w:val="0"/>
                <w:spacing w:val="0"/>
                <w:w w:val="100"/>
                <w:szCs w:val="24"/>
              </w:rPr>
              <w:t>各动静密封点个数及泄漏的有机废气量计算结果见</w:t>
            </w:r>
            <w:r>
              <w:rPr>
                <w:rFonts w:hint="eastAsia" w:ascii="Times New Roman" w:hAnsi="Times New Roman" w:cs="Times New Roman"/>
                <w:b w:val="0"/>
                <w:spacing w:val="0"/>
                <w:w w:val="100"/>
                <w:szCs w:val="24"/>
              </w:rPr>
              <w:t>下</w:t>
            </w:r>
            <w:r>
              <w:rPr>
                <w:rFonts w:ascii="Times New Roman" w:hAnsi="Times New Roman" w:cs="Times New Roman"/>
                <w:b w:val="0"/>
                <w:spacing w:val="0"/>
                <w:w w:val="100"/>
                <w:szCs w:val="24"/>
              </w:rPr>
              <w:t>表。</w:t>
            </w:r>
          </w:p>
          <w:p w14:paraId="0887E0EA">
            <w:pPr>
              <w:pStyle w:val="4"/>
              <w:keepNext w:val="0"/>
              <w:wordWrap w:val="0"/>
              <w:topLinePunct/>
              <w:ind w:firstLine="0" w:firstLineChars="0"/>
              <w:jc w:val="center"/>
              <w:rPr>
                <w:rFonts w:ascii="Times New Roman" w:hAnsi="Times New Roman" w:cs="Times New Roman"/>
                <w:bCs/>
                <w:spacing w:val="0"/>
                <w:w w:val="100"/>
                <w:szCs w:val="24"/>
              </w:rPr>
            </w:pPr>
            <w:r>
              <w:rPr>
                <w:rFonts w:ascii="Times New Roman" w:hAnsi="Times New Roman" w:cs="Times New Roman"/>
                <w:bCs/>
                <w:spacing w:val="0"/>
                <w:w w:val="100"/>
                <w:szCs w:val="24"/>
              </w:rPr>
              <w:t>表</w:t>
            </w:r>
            <w:r>
              <w:rPr>
                <w:rFonts w:hint="eastAsia" w:ascii="Times New Roman" w:hAnsi="Times New Roman" w:cs="Times New Roman"/>
                <w:bCs/>
                <w:spacing w:val="0"/>
                <w:w w:val="100"/>
                <w:szCs w:val="24"/>
              </w:rPr>
              <w:t>4-7 设备动静密封点有机废气产排量一览表</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838"/>
              <w:gridCol w:w="873"/>
              <w:gridCol w:w="1240"/>
              <w:gridCol w:w="1127"/>
              <w:gridCol w:w="1125"/>
              <w:gridCol w:w="1212"/>
            </w:tblGrid>
            <w:tr w14:paraId="76B54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23" w:type="dxa"/>
                  <w:tcBorders>
                    <w:tl2br w:val="nil"/>
                    <w:tr2bl w:val="nil"/>
                  </w:tcBorders>
                  <w:vAlign w:val="center"/>
                </w:tcPr>
                <w:p w14:paraId="5FCC368A">
                  <w:pPr>
                    <w:keepLines/>
                    <w:wordWrap w:val="0"/>
                    <w:topLinePunct/>
                    <w:jc w:val="center"/>
                    <w:rPr>
                      <w:rFonts w:ascii="Times New Roman" w:hAnsi="Times New Roman" w:eastAsia="宋体" w:cs="Times New Roman"/>
                      <w:b/>
                      <w:bCs/>
                      <w:szCs w:val="21"/>
                    </w:rPr>
                  </w:pPr>
                  <w:r>
                    <w:rPr>
                      <w:rFonts w:hint="eastAsia" w:ascii="Times New Roman" w:hAnsi="Times New Roman" w:eastAsia="宋体" w:cs="Times New Roman"/>
                      <w:b/>
                      <w:bCs/>
                      <w:szCs w:val="21"/>
                    </w:rPr>
                    <w:t>设备类型</w:t>
                  </w:r>
                </w:p>
              </w:tc>
              <w:tc>
                <w:tcPr>
                  <w:tcW w:w="838" w:type="dxa"/>
                  <w:tcBorders>
                    <w:tl2br w:val="nil"/>
                    <w:tr2bl w:val="nil"/>
                  </w:tcBorders>
                  <w:vAlign w:val="center"/>
                </w:tcPr>
                <w:p w14:paraId="38553B8D">
                  <w:pPr>
                    <w:keepLines/>
                    <w:wordWrap w:val="0"/>
                    <w:topLinePunct/>
                    <w:jc w:val="center"/>
                    <w:rPr>
                      <w:rFonts w:ascii="Times New Roman" w:hAnsi="Times New Roman" w:eastAsia="宋体" w:cs="Times New Roman"/>
                      <w:b/>
                      <w:bCs/>
                      <w:szCs w:val="21"/>
                    </w:rPr>
                  </w:pPr>
                  <w:r>
                    <w:rPr>
                      <w:rFonts w:hint="eastAsia" w:ascii="Times New Roman" w:hAnsi="Times New Roman" w:eastAsia="仿宋" w:cs="Times New Roman"/>
                      <w:b/>
                      <w:bCs/>
                      <w:kern w:val="0"/>
                      <w:sz w:val="24"/>
                    </w:rPr>
                    <w:t>e</w:t>
                  </w:r>
                  <w:r>
                    <w:rPr>
                      <w:rFonts w:hint="eastAsia" w:ascii="Times New Roman" w:hAnsi="Times New Roman" w:eastAsia="仿宋" w:cs="Times New Roman"/>
                      <w:b/>
                      <w:bCs/>
                      <w:kern w:val="0"/>
                      <w:sz w:val="24"/>
                      <w:vertAlign w:val="subscript"/>
                    </w:rPr>
                    <w:t>TOC，i</w:t>
                  </w:r>
                  <w:r>
                    <w:rPr>
                      <w:rFonts w:hint="eastAsia" w:ascii="Times New Roman" w:hAnsi="Times New Roman" w:eastAsia="宋体" w:cs="Times New Roman"/>
                      <w:b/>
                      <w:bCs/>
                      <w:szCs w:val="21"/>
                    </w:rPr>
                    <w:t>kg/h</w:t>
                  </w:r>
                </w:p>
              </w:tc>
              <w:tc>
                <w:tcPr>
                  <w:tcW w:w="873" w:type="dxa"/>
                  <w:tcBorders>
                    <w:tl2br w:val="nil"/>
                    <w:tr2bl w:val="nil"/>
                  </w:tcBorders>
                  <w:vAlign w:val="center"/>
                </w:tcPr>
                <w:p w14:paraId="38DA6DE2">
                  <w:pPr>
                    <w:keepLines/>
                    <w:wordWrap w:val="0"/>
                    <w:topLinePunct/>
                    <w:jc w:val="center"/>
                    <w:rPr>
                      <w:rFonts w:ascii="Times New Roman" w:hAnsi="Times New Roman" w:eastAsia="宋体" w:cs="Times New Roman"/>
                      <w:b/>
                      <w:bCs/>
                      <w:szCs w:val="21"/>
                    </w:rPr>
                  </w:pPr>
                  <w:r>
                    <w:rPr>
                      <w:rFonts w:hint="eastAsia" w:ascii="Times New Roman" w:hAnsi="Times New Roman" w:eastAsia="宋体" w:cs="Times New Roman"/>
                      <w:b/>
                      <w:bCs/>
                      <w:szCs w:val="21"/>
                    </w:rPr>
                    <w:t>密封点个数</w:t>
                  </w:r>
                </w:p>
              </w:tc>
              <w:tc>
                <w:tcPr>
                  <w:tcW w:w="1240" w:type="dxa"/>
                  <w:tcBorders>
                    <w:tl2br w:val="nil"/>
                    <w:tr2bl w:val="nil"/>
                  </w:tcBorders>
                  <w:vAlign w:val="center"/>
                </w:tcPr>
                <w:p w14:paraId="2EB652E4">
                  <w:pPr>
                    <w:keepLines/>
                    <w:wordWrap w:val="0"/>
                    <w:topLinePunct/>
                    <w:jc w:val="center"/>
                    <w:rPr>
                      <w:rFonts w:ascii="Times New Roman" w:hAnsi="Times New Roman" w:eastAsia="仿宋" w:cs="Times New Roman"/>
                      <w:b/>
                      <w:bCs/>
                      <w:kern w:val="0"/>
                      <w:sz w:val="24"/>
                    </w:rPr>
                  </w:pPr>
                  <w:r>
                    <w:rPr>
                      <w:rFonts w:hint="eastAsia" w:ascii="Times New Roman" w:hAnsi="Times New Roman" w:eastAsia="仿宋" w:cs="Times New Roman"/>
                      <w:b/>
                      <w:bCs/>
                      <w:kern w:val="0"/>
                      <w:sz w:val="24"/>
                    </w:rPr>
                    <w:t>WF</w:t>
                  </w:r>
                  <w:r>
                    <w:rPr>
                      <w:rFonts w:hint="eastAsia" w:ascii="Times New Roman" w:hAnsi="Times New Roman" w:eastAsia="仿宋" w:cs="Times New Roman"/>
                      <w:b/>
                      <w:bCs/>
                      <w:kern w:val="0"/>
                      <w:sz w:val="24"/>
                      <w:vertAlign w:val="subscript"/>
                    </w:rPr>
                    <w:t>VOCs，i</w:t>
                  </w:r>
                  <w:r>
                    <w:rPr>
                      <w:rFonts w:hint="eastAsia" w:ascii="Times New Roman" w:hAnsi="Times New Roman" w:eastAsia="仿宋" w:cs="Times New Roman"/>
                      <w:b/>
                      <w:bCs/>
                      <w:kern w:val="0"/>
                      <w:sz w:val="24"/>
                    </w:rPr>
                    <w:t>/</w:t>
                  </w:r>
                </w:p>
                <w:p w14:paraId="2396BBDD">
                  <w:pPr>
                    <w:keepLines/>
                    <w:wordWrap w:val="0"/>
                    <w:topLinePunct/>
                    <w:jc w:val="center"/>
                    <w:rPr>
                      <w:rFonts w:ascii="Times New Roman" w:hAnsi="Times New Roman" w:eastAsia="宋体" w:cs="Times New Roman"/>
                      <w:b/>
                      <w:bCs/>
                      <w:szCs w:val="21"/>
                    </w:rPr>
                  </w:pPr>
                  <w:r>
                    <w:rPr>
                      <w:rFonts w:hint="eastAsia" w:ascii="Times New Roman" w:hAnsi="Times New Roman" w:eastAsia="仿宋" w:cs="Times New Roman"/>
                      <w:b/>
                      <w:bCs/>
                      <w:kern w:val="0"/>
                      <w:sz w:val="24"/>
                    </w:rPr>
                    <w:t>WF</w:t>
                  </w:r>
                  <w:r>
                    <w:rPr>
                      <w:rFonts w:hint="eastAsia" w:ascii="Times New Roman" w:hAnsi="Times New Roman" w:eastAsia="仿宋" w:cs="Times New Roman"/>
                      <w:b/>
                      <w:bCs/>
                      <w:kern w:val="0"/>
                      <w:sz w:val="24"/>
                      <w:vertAlign w:val="subscript"/>
                    </w:rPr>
                    <w:t>TOC，i</w:t>
                  </w:r>
                </w:p>
              </w:tc>
              <w:tc>
                <w:tcPr>
                  <w:tcW w:w="1127" w:type="dxa"/>
                  <w:tcBorders>
                    <w:tl2br w:val="nil"/>
                    <w:tr2bl w:val="nil"/>
                  </w:tcBorders>
                  <w:vAlign w:val="center"/>
                </w:tcPr>
                <w:p w14:paraId="68B1C840">
                  <w:pPr>
                    <w:keepLines/>
                    <w:wordWrap w:val="0"/>
                    <w:topLinePunct/>
                    <w:jc w:val="center"/>
                    <w:rPr>
                      <w:rFonts w:ascii="Times New Roman" w:hAnsi="Times New Roman" w:eastAsia="宋体" w:cs="Times New Roman"/>
                      <w:b/>
                      <w:bCs/>
                      <w:szCs w:val="21"/>
                    </w:rPr>
                  </w:pPr>
                  <w:r>
                    <w:rPr>
                      <w:rFonts w:hint="eastAsia" w:ascii="Times New Roman" w:hAnsi="Times New Roman" w:eastAsia="宋体" w:cs="Times New Roman"/>
                      <w:b/>
                      <w:bCs/>
                      <w:szCs w:val="21"/>
                    </w:rPr>
                    <w:t>运行</w:t>
                  </w:r>
                </w:p>
                <w:p w14:paraId="075C3D95">
                  <w:pPr>
                    <w:keepLines/>
                    <w:wordWrap w:val="0"/>
                    <w:topLinePunct/>
                    <w:jc w:val="center"/>
                    <w:rPr>
                      <w:rFonts w:ascii="Times New Roman" w:hAnsi="Times New Roman" w:eastAsia="宋体" w:cs="Times New Roman"/>
                      <w:b/>
                      <w:bCs/>
                      <w:szCs w:val="21"/>
                    </w:rPr>
                  </w:pPr>
                  <w:r>
                    <w:rPr>
                      <w:rFonts w:hint="eastAsia" w:ascii="Times New Roman" w:hAnsi="Times New Roman" w:eastAsia="宋体" w:cs="Times New Roman"/>
                      <w:b/>
                      <w:bCs/>
                      <w:szCs w:val="21"/>
                    </w:rPr>
                    <w:t>时间h</w:t>
                  </w:r>
                </w:p>
              </w:tc>
              <w:tc>
                <w:tcPr>
                  <w:tcW w:w="1125" w:type="dxa"/>
                  <w:tcBorders>
                    <w:tl2br w:val="nil"/>
                    <w:tr2bl w:val="nil"/>
                  </w:tcBorders>
                  <w:vAlign w:val="center"/>
                </w:tcPr>
                <w:p w14:paraId="78B33A0B">
                  <w:pPr>
                    <w:keepLines/>
                    <w:wordWrap w:val="0"/>
                    <w:topLinePunct/>
                    <w:jc w:val="center"/>
                    <w:rPr>
                      <w:rFonts w:ascii="Times New Roman" w:hAnsi="Times New Roman" w:eastAsia="宋体" w:cs="Times New Roman"/>
                      <w:b/>
                      <w:bCs/>
                      <w:szCs w:val="21"/>
                    </w:rPr>
                  </w:pPr>
                  <w:r>
                    <w:rPr>
                      <w:rFonts w:hint="eastAsia" w:ascii="Times New Roman" w:hAnsi="Times New Roman" w:eastAsia="宋体" w:cs="Times New Roman"/>
                      <w:b/>
                      <w:bCs/>
                      <w:szCs w:val="21"/>
                    </w:rPr>
                    <w:t>VOC</w:t>
                  </w:r>
                  <w:r>
                    <w:rPr>
                      <w:rFonts w:hint="eastAsia" w:ascii="Times New Roman" w:hAnsi="Times New Roman" w:eastAsia="宋体" w:cs="Times New Roman"/>
                      <w:b/>
                      <w:bCs/>
                      <w:szCs w:val="21"/>
                      <w:vertAlign w:val="subscript"/>
                    </w:rPr>
                    <w:t>s</w:t>
                  </w:r>
                  <w:r>
                    <w:rPr>
                      <w:rFonts w:hint="eastAsia" w:ascii="Times New Roman" w:hAnsi="Times New Roman" w:eastAsia="宋体" w:cs="Times New Roman"/>
                      <w:b/>
                      <w:bCs/>
                      <w:szCs w:val="21"/>
                    </w:rPr>
                    <w:t>产生量t/a</w:t>
                  </w:r>
                </w:p>
              </w:tc>
              <w:tc>
                <w:tcPr>
                  <w:tcW w:w="1212" w:type="dxa"/>
                  <w:tcBorders>
                    <w:tl2br w:val="nil"/>
                    <w:tr2bl w:val="nil"/>
                  </w:tcBorders>
                  <w:vAlign w:val="center"/>
                </w:tcPr>
                <w:p w14:paraId="0EC6ABB0">
                  <w:pPr>
                    <w:keepLines/>
                    <w:wordWrap w:val="0"/>
                    <w:topLinePunct/>
                    <w:jc w:val="center"/>
                    <w:rPr>
                      <w:rFonts w:ascii="Times New Roman" w:hAnsi="Times New Roman" w:eastAsia="宋体" w:cs="Times New Roman"/>
                      <w:b/>
                      <w:bCs/>
                      <w:szCs w:val="21"/>
                    </w:rPr>
                  </w:pPr>
                  <w:r>
                    <w:rPr>
                      <w:rFonts w:hint="eastAsia" w:ascii="Times New Roman" w:hAnsi="Times New Roman" w:eastAsia="宋体" w:cs="Times New Roman"/>
                      <w:b/>
                      <w:bCs/>
                      <w:szCs w:val="21"/>
                    </w:rPr>
                    <w:t>VOC</w:t>
                  </w:r>
                  <w:r>
                    <w:rPr>
                      <w:rFonts w:hint="eastAsia" w:ascii="Times New Roman" w:hAnsi="Times New Roman" w:eastAsia="宋体" w:cs="Times New Roman"/>
                      <w:b/>
                      <w:bCs/>
                      <w:szCs w:val="21"/>
                      <w:vertAlign w:val="subscript"/>
                    </w:rPr>
                    <w:t>s</w:t>
                  </w:r>
                  <w:r>
                    <w:rPr>
                      <w:rFonts w:hint="eastAsia" w:ascii="Times New Roman" w:hAnsi="Times New Roman" w:eastAsia="宋体" w:cs="Times New Roman"/>
                      <w:b/>
                      <w:bCs/>
                      <w:szCs w:val="21"/>
                    </w:rPr>
                    <w:t>排放量t/a</w:t>
                  </w:r>
                </w:p>
              </w:tc>
            </w:tr>
            <w:tr w14:paraId="6CFE5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23" w:type="dxa"/>
                  <w:tcBorders>
                    <w:tl2br w:val="nil"/>
                    <w:tr2bl w:val="nil"/>
                  </w:tcBorders>
                  <w:vAlign w:val="center"/>
                </w:tcPr>
                <w:p w14:paraId="22F6C02E">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法兰及连接件</w:t>
                  </w:r>
                </w:p>
              </w:tc>
              <w:tc>
                <w:tcPr>
                  <w:tcW w:w="838" w:type="dxa"/>
                  <w:tcBorders>
                    <w:tl2br w:val="nil"/>
                    <w:tr2bl w:val="nil"/>
                  </w:tcBorders>
                  <w:vAlign w:val="center"/>
                </w:tcPr>
                <w:p w14:paraId="6F375AE2">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0.044</w:t>
                  </w:r>
                </w:p>
              </w:tc>
              <w:tc>
                <w:tcPr>
                  <w:tcW w:w="873" w:type="dxa"/>
                  <w:tcBorders>
                    <w:tl2br w:val="nil"/>
                    <w:tr2bl w:val="nil"/>
                  </w:tcBorders>
                  <w:vAlign w:val="center"/>
                </w:tcPr>
                <w:p w14:paraId="39A67674">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6</w:t>
                  </w:r>
                </w:p>
              </w:tc>
              <w:tc>
                <w:tcPr>
                  <w:tcW w:w="1240" w:type="dxa"/>
                  <w:tcBorders>
                    <w:tl2br w:val="nil"/>
                    <w:tr2bl w:val="nil"/>
                  </w:tcBorders>
                  <w:vAlign w:val="center"/>
                </w:tcPr>
                <w:p w14:paraId="421B1EC6">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1</w:t>
                  </w:r>
                </w:p>
              </w:tc>
              <w:tc>
                <w:tcPr>
                  <w:tcW w:w="1127" w:type="dxa"/>
                  <w:tcBorders>
                    <w:tl2br w:val="nil"/>
                    <w:tr2bl w:val="nil"/>
                  </w:tcBorders>
                  <w:vAlign w:val="center"/>
                </w:tcPr>
                <w:p w14:paraId="25787B95">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4320</w:t>
                  </w:r>
                </w:p>
              </w:tc>
              <w:tc>
                <w:tcPr>
                  <w:tcW w:w="1125" w:type="dxa"/>
                  <w:tcBorders>
                    <w:tl2br w:val="nil"/>
                    <w:tr2bl w:val="nil"/>
                  </w:tcBorders>
                  <w:vAlign w:val="center"/>
                </w:tcPr>
                <w:p w14:paraId="1A29BAF4">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0.00342</w:t>
                  </w:r>
                </w:p>
              </w:tc>
              <w:tc>
                <w:tcPr>
                  <w:tcW w:w="1212" w:type="dxa"/>
                  <w:tcBorders>
                    <w:tl2br w:val="nil"/>
                    <w:tr2bl w:val="nil"/>
                  </w:tcBorders>
                  <w:vAlign w:val="center"/>
                </w:tcPr>
                <w:p w14:paraId="4DF5E27B">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0.00342</w:t>
                  </w:r>
                </w:p>
              </w:tc>
            </w:tr>
            <w:tr w14:paraId="507FB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3" w:type="dxa"/>
                  <w:tcBorders>
                    <w:tl2br w:val="nil"/>
                    <w:tr2bl w:val="nil"/>
                  </w:tcBorders>
                  <w:vAlign w:val="center"/>
                </w:tcPr>
                <w:p w14:paraId="74B21063">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阀门</w:t>
                  </w:r>
                </w:p>
                <w:p w14:paraId="6E2B8BCA">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（有机液体）</w:t>
                  </w:r>
                </w:p>
              </w:tc>
              <w:tc>
                <w:tcPr>
                  <w:tcW w:w="838" w:type="dxa"/>
                  <w:tcBorders>
                    <w:tl2br w:val="nil"/>
                    <w:tr2bl w:val="nil"/>
                  </w:tcBorders>
                  <w:vAlign w:val="center"/>
                </w:tcPr>
                <w:p w14:paraId="179EBEE5">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0.036</w:t>
                  </w:r>
                </w:p>
              </w:tc>
              <w:tc>
                <w:tcPr>
                  <w:tcW w:w="873" w:type="dxa"/>
                  <w:tcBorders>
                    <w:tl2br w:val="nil"/>
                    <w:tr2bl w:val="nil"/>
                  </w:tcBorders>
                  <w:vAlign w:val="center"/>
                </w:tcPr>
                <w:p w14:paraId="400E0A11">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4</w:t>
                  </w:r>
                </w:p>
              </w:tc>
              <w:tc>
                <w:tcPr>
                  <w:tcW w:w="1240" w:type="dxa"/>
                  <w:tcBorders>
                    <w:tl2br w:val="nil"/>
                    <w:tr2bl w:val="nil"/>
                  </w:tcBorders>
                  <w:vAlign w:val="center"/>
                </w:tcPr>
                <w:p w14:paraId="75A514D3">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1</w:t>
                  </w:r>
                </w:p>
              </w:tc>
              <w:tc>
                <w:tcPr>
                  <w:tcW w:w="1127" w:type="dxa"/>
                  <w:tcBorders>
                    <w:tl2br w:val="nil"/>
                    <w:tr2bl w:val="nil"/>
                  </w:tcBorders>
                  <w:vAlign w:val="center"/>
                </w:tcPr>
                <w:p w14:paraId="591CDD02">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4320</w:t>
                  </w:r>
                </w:p>
              </w:tc>
              <w:tc>
                <w:tcPr>
                  <w:tcW w:w="1125" w:type="dxa"/>
                  <w:tcBorders>
                    <w:tl2br w:val="nil"/>
                    <w:tr2bl w:val="nil"/>
                  </w:tcBorders>
                  <w:vAlign w:val="center"/>
                </w:tcPr>
                <w:p w14:paraId="43578765">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0.00187</w:t>
                  </w:r>
                </w:p>
              </w:tc>
              <w:tc>
                <w:tcPr>
                  <w:tcW w:w="1212" w:type="dxa"/>
                  <w:tcBorders>
                    <w:tl2br w:val="nil"/>
                    <w:tr2bl w:val="nil"/>
                  </w:tcBorders>
                  <w:vAlign w:val="center"/>
                </w:tcPr>
                <w:p w14:paraId="0FF1F63A">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0.00187</w:t>
                  </w:r>
                </w:p>
              </w:tc>
            </w:tr>
            <w:tr w14:paraId="14939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523" w:type="dxa"/>
                  <w:tcBorders>
                    <w:tl2br w:val="nil"/>
                    <w:tr2bl w:val="nil"/>
                  </w:tcBorders>
                  <w:vAlign w:val="center"/>
                </w:tcPr>
                <w:p w14:paraId="4F5A51E9">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泵</w:t>
                  </w:r>
                </w:p>
              </w:tc>
              <w:tc>
                <w:tcPr>
                  <w:tcW w:w="838" w:type="dxa"/>
                  <w:tcBorders>
                    <w:tl2br w:val="nil"/>
                    <w:tr2bl w:val="nil"/>
                  </w:tcBorders>
                  <w:vAlign w:val="center"/>
                </w:tcPr>
                <w:p w14:paraId="5705426B">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0.074</w:t>
                  </w:r>
                </w:p>
              </w:tc>
              <w:tc>
                <w:tcPr>
                  <w:tcW w:w="873" w:type="dxa"/>
                  <w:tcBorders>
                    <w:tl2br w:val="nil"/>
                    <w:tr2bl w:val="nil"/>
                  </w:tcBorders>
                  <w:vAlign w:val="center"/>
                </w:tcPr>
                <w:p w14:paraId="7FD1D67D">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4</w:t>
                  </w:r>
                </w:p>
              </w:tc>
              <w:tc>
                <w:tcPr>
                  <w:tcW w:w="1240" w:type="dxa"/>
                  <w:tcBorders>
                    <w:tl2br w:val="nil"/>
                    <w:tr2bl w:val="nil"/>
                  </w:tcBorders>
                  <w:vAlign w:val="center"/>
                </w:tcPr>
                <w:p w14:paraId="301E6E86">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1</w:t>
                  </w:r>
                </w:p>
              </w:tc>
              <w:tc>
                <w:tcPr>
                  <w:tcW w:w="1127" w:type="dxa"/>
                  <w:tcBorders>
                    <w:tl2br w:val="nil"/>
                    <w:tr2bl w:val="nil"/>
                  </w:tcBorders>
                  <w:vAlign w:val="center"/>
                </w:tcPr>
                <w:p w14:paraId="1A82E0ED">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4320</w:t>
                  </w:r>
                </w:p>
              </w:tc>
              <w:tc>
                <w:tcPr>
                  <w:tcW w:w="1125" w:type="dxa"/>
                  <w:tcBorders>
                    <w:tl2br w:val="nil"/>
                    <w:tr2bl w:val="nil"/>
                  </w:tcBorders>
                  <w:vAlign w:val="center"/>
                </w:tcPr>
                <w:p w14:paraId="29FB9A33">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0.00384</w:t>
                  </w:r>
                </w:p>
              </w:tc>
              <w:tc>
                <w:tcPr>
                  <w:tcW w:w="1212" w:type="dxa"/>
                  <w:tcBorders>
                    <w:tl2br w:val="nil"/>
                    <w:tr2bl w:val="nil"/>
                  </w:tcBorders>
                  <w:vAlign w:val="center"/>
                </w:tcPr>
                <w:p w14:paraId="34574F8C">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0.00384</w:t>
                  </w:r>
                </w:p>
              </w:tc>
            </w:tr>
            <w:tr w14:paraId="66CE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23" w:type="dxa"/>
                  <w:tcBorders>
                    <w:tl2br w:val="nil"/>
                    <w:tr2bl w:val="nil"/>
                  </w:tcBorders>
                  <w:vAlign w:val="center"/>
                </w:tcPr>
                <w:p w14:paraId="7C1A0091">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其他</w:t>
                  </w:r>
                </w:p>
              </w:tc>
              <w:tc>
                <w:tcPr>
                  <w:tcW w:w="838" w:type="dxa"/>
                  <w:tcBorders>
                    <w:tl2br w:val="nil"/>
                    <w:tr2bl w:val="nil"/>
                  </w:tcBorders>
                  <w:vAlign w:val="center"/>
                </w:tcPr>
                <w:p w14:paraId="0C94A4A1">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0.073</w:t>
                  </w:r>
                </w:p>
              </w:tc>
              <w:tc>
                <w:tcPr>
                  <w:tcW w:w="873" w:type="dxa"/>
                  <w:tcBorders>
                    <w:tl2br w:val="nil"/>
                    <w:tr2bl w:val="nil"/>
                  </w:tcBorders>
                  <w:vAlign w:val="center"/>
                </w:tcPr>
                <w:p w14:paraId="3D7C61F8">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4</w:t>
                  </w:r>
                </w:p>
              </w:tc>
              <w:tc>
                <w:tcPr>
                  <w:tcW w:w="1240" w:type="dxa"/>
                  <w:tcBorders>
                    <w:tl2br w:val="nil"/>
                    <w:tr2bl w:val="nil"/>
                  </w:tcBorders>
                  <w:vAlign w:val="center"/>
                </w:tcPr>
                <w:p w14:paraId="67C74ABF">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1</w:t>
                  </w:r>
                </w:p>
              </w:tc>
              <w:tc>
                <w:tcPr>
                  <w:tcW w:w="1127" w:type="dxa"/>
                  <w:tcBorders>
                    <w:tl2br w:val="nil"/>
                    <w:tr2bl w:val="nil"/>
                  </w:tcBorders>
                  <w:vAlign w:val="center"/>
                </w:tcPr>
                <w:p w14:paraId="638B718D">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4320</w:t>
                  </w:r>
                </w:p>
              </w:tc>
              <w:tc>
                <w:tcPr>
                  <w:tcW w:w="1125" w:type="dxa"/>
                  <w:tcBorders>
                    <w:tl2br w:val="nil"/>
                    <w:tr2bl w:val="nil"/>
                  </w:tcBorders>
                  <w:vAlign w:val="center"/>
                </w:tcPr>
                <w:p w14:paraId="77902B33">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0.00378</w:t>
                  </w:r>
                </w:p>
              </w:tc>
              <w:tc>
                <w:tcPr>
                  <w:tcW w:w="1212" w:type="dxa"/>
                  <w:tcBorders>
                    <w:tl2br w:val="nil"/>
                    <w:tr2bl w:val="nil"/>
                  </w:tcBorders>
                  <w:vAlign w:val="center"/>
                </w:tcPr>
                <w:p w14:paraId="70D642D4">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0.00378</w:t>
                  </w:r>
                </w:p>
              </w:tc>
            </w:tr>
            <w:tr w14:paraId="0C5C6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3" w:type="dxa"/>
                  <w:tcBorders>
                    <w:tl2br w:val="nil"/>
                    <w:tr2bl w:val="nil"/>
                  </w:tcBorders>
                  <w:vAlign w:val="center"/>
                </w:tcPr>
                <w:p w14:paraId="224BB2F5">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b/>
                      <w:bCs/>
                      <w:szCs w:val="21"/>
                    </w:rPr>
                    <w:t>共计</w:t>
                  </w:r>
                </w:p>
              </w:tc>
              <w:tc>
                <w:tcPr>
                  <w:tcW w:w="838" w:type="dxa"/>
                  <w:tcBorders>
                    <w:tl2br w:val="nil"/>
                    <w:tr2bl w:val="nil"/>
                  </w:tcBorders>
                  <w:vAlign w:val="center"/>
                </w:tcPr>
                <w:p w14:paraId="4D1D2D95">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w:t>
                  </w:r>
                </w:p>
              </w:tc>
              <w:tc>
                <w:tcPr>
                  <w:tcW w:w="873" w:type="dxa"/>
                  <w:tcBorders>
                    <w:tl2br w:val="nil"/>
                    <w:tr2bl w:val="nil"/>
                  </w:tcBorders>
                  <w:vAlign w:val="center"/>
                </w:tcPr>
                <w:p w14:paraId="736A7907">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w:t>
                  </w:r>
                </w:p>
              </w:tc>
              <w:tc>
                <w:tcPr>
                  <w:tcW w:w="1240" w:type="dxa"/>
                  <w:tcBorders>
                    <w:tl2br w:val="nil"/>
                    <w:tr2bl w:val="nil"/>
                  </w:tcBorders>
                  <w:vAlign w:val="center"/>
                </w:tcPr>
                <w:p w14:paraId="56B201D2">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w:t>
                  </w:r>
                </w:p>
              </w:tc>
              <w:tc>
                <w:tcPr>
                  <w:tcW w:w="1127" w:type="dxa"/>
                  <w:tcBorders>
                    <w:tl2br w:val="nil"/>
                    <w:tr2bl w:val="nil"/>
                  </w:tcBorders>
                  <w:vAlign w:val="center"/>
                </w:tcPr>
                <w:p w14:paraId="05FCADEF">
                  <w:pPr>
                    <w:keepLines/>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w:t>
                  </w:r>
                </w:p>
              </w:tc>
              <w:tc>
                <w:tcPr>
                  <w:tcW w:w="1125" w:type="dxa"/>
                  <w:tcBorders>
                    <w:tl2br w:val="nil"/>
                    <w:tr2bl w:val="nil"/>
                  </w:tcBorders>
                  <w:vAlign w:val="center"/>
                </w:tcPr>
                <w:p w14:paraId="49A958BB">
                  <w:pPr>
                    <w:keepLines/>
                    <w:wordWrap w:val="0"/>
                    <w:topLinePunct/>
                    <w:jc w:val="center"/>
                    <w:rPr>
                      <w:rFonts w:ascii="Times New Roman" w:hAnsi="Times New Roman" w:eastAsia="宋体" w:cs="Times New Roman"/>
                      <w:b/>
                      <w:bCs/>
                      <w:szCs w:val="21"/>
                    </w:rPr>
                  </w:pPr>
                  <w:r>
                    <w:rPr>
                      <w:rFonts w:hint="eastAsia" w:ascii="Times New Roman" w:hAnsi="Times New Roman" w:eastAsia="宋体" w:cs="Times New Roman"/>
                      <w:b/>
                      <w:bCs/>
                      <w:szCs w:val="21"/>
                    </w:rPr>
                    <w:t>0.0129</w:t>
                  </w:r>
                </w:p>
              </w:tc>
              <w:tc>
                <w:tcPr>
                  <w:tcW w:w="1212" w:type="dxa"/>
                  <w:tcBorders>
                    <w:tl2br w:val="nil"/>
                    <w:tr2bl w:val="nil"/>
                  </w:tcBorders>
                  <w:vAlign w:val="center"/>
                </w:tcPr>
                <w:p w14:paraId="00BDCC8A">
                  <w:pPr>
                    <w:keepLines/>
                    <w:wordWrap w:val="0"/>
                    <w:topLinePunct/>
                    <w:jc w:val="center"/>
                    <w:rPr>
                      <w:rFonts w:ascii="Times New Roman" w:hAnsi="Times New Roman" w:eastAsia="宋体" w:cs="Times New Roman"/>
                      <w:b/>
                      <w:bCs/>
                      <w:szCs w:val="21"/>
                    </w:rPr>
                  </w:pPr>
                  <w:r>
                    <w:rPr>
                      <w:rFonts w:hint="eastAsia" w:ascii="Times New Roman" w:hAnsi="Times New Roman" w:eastAsia="宋体" w:cs="Times New Roman"/>
                      <w:b/>
                      <w:bCs/>
                      <w:szCs w:val="21"/>
                    </w:rPr>
                    <w:t>0.0129</w:t>
                  </w:r>
                </w:p>
              </w:tc>
            </w:tr>
            <w:tr w14:paraId="44824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938" w:type="dxa"/>
                  <w:gridSpan w:val="7"/>
                  <w:tcBorders>
                    <w:tl2br w:val="nil"/>
                    <w:tr2bl w:val="nil"/>
                  </w:tcBorders>
                  <w:vAlign w:val="center"/>
                </w:tcPr>
                <w:p w14:paraId="50A819BC">
                  <w:pPr>
                    <w:keepNext/>
                    <w:keepLines/>
                    <w:wordWrap w:val="0"/>
                    <w:topLinePunct/>
                    <w:rPr>
                      <w:rFonts w:ascii="Times New Roman" w:hAnsi="Times New Roman" w:eastAsia="宋体" w:cs="Times New Roman"/>
                      <w:b/>
                      <w:bCs/>
                      <w:szCs w:val="21"/>
                    </w:rPr>
                  </w:pPr>
                  <w:r>
                    <w:rPr>
                      <w:rFonts w:hint="eastAsia" w:ascii="Times New Roman" w:hAnsi="Times New Roman" w:eastAsia="宋体" w:cs="Times New Roman"/>
                      <w:b/>
                      <w:bCs/>
                      <w:szCs w:val="21"/>
                    </w:rPr>
                    <w:t>取值说明：</w:t>
                  </w:r>
                </w:p>
                <w:p w14:paraId="5BF02F8D">
                  <w:pPr>
                    <w:keepNext/>
                    <w:keepLines/>
                    <w:wordWrap w:val="0"/>
                    <w:topLinePunct/>
                    <w:rPr>
                      <w:rFonts w:ascii="Times New Roman" w:hAnsi="Times New Roman" w:eastAsia="宋体" w:cs="Times New Roman"/>
                      <w:szCs w:val="21"/>
                    </w:rPr>
                  </w:pPr>
                  <w:r>
                    <w:rPr>
                      <w:rFonts w:hint="eastAsia" w:ascii="Times New Roman" w:hAnsi="Times New Roman" w:eastAsia="宋体" w:cs="Times New Roman"/>
                      <w:szCs w:val="21"/>
                    </w:rPr>
                    <w:t>排放速率</w:t>
                  </w:r>
                  <w:r>
                    <w:rPr>
                      <w:rFonts w:hint="eastAsia" w:ascii="Times New Roman" w:hAnsi="Times New Roman" w:eastAsia="仿宋" w:cs="Times New Roman"/>
                      <w:kern w:val="0"/>
                      <w:sz w:val="24"/>
                    </w:rPr>
                    <w:t>e</w:t>
                  </w:r>
                  <w:r>
                    <w:rPr>
                      <w:rFonts w:hint="eastAsia" w:ascii="Times New Roman" w:hAnsi="Times New Roman" w:eastAsia="仿宋" w:cs="Times New Roman"/>
                      <w:kern w:val="0"/>
                      <w:sz w:val="24"/>
                      <w:vertAlign w:val="subscript"/>
                    </w:rPr>
                    <w:t>TOC，i</w:t>
                  </w:r>
                  <w:r>
                    <w:rPr>
                      <w:rFonts w:hint="eastAsia" w:ascii="Times New Roman" w:hAnsi="Times New Roman" w:eastAsia="宋体" w:cs="Times New Roman"/>
                      <w:szCs w:val="21"/>
                    </w:rPr>
                    <w:t>：参照HJ 853-2017表4确定。</w:t>
                  </w:r>
                </w:p>
                <w:p w14:paraId="285D2C1C">
                  <w:pPr>
                    <w:pStyle w:val="2"/>
                    <w:spacing w:line="240" w:lineRule="auto"/>
                    <w:rPr>
                      <w:rFonts w:ascii="Times New Roman" w:hAnsi="Times New Roman" w:eastAsia="宋体" w:cs="Times New Roman"/>
                      <w:bCs w:val="0"/>
                      <w:kern w:val="2"/>
                      <w:sz w:val="21"/>
                      <w:szCs w:val="21"/>
                    </w:rPr>
                  </w:pPr>
                  <w:r>
                    <w:rPr>
                      <w:rFonts w:hint="eastAsia" w:ascii="Times New Roman" w:hAnsi="Times New Roman" w:eastAsia="仿宋" w:cs="Times New Roman"/>
                      <w:kern w:val="0"/>
                      <w:sz w:val="24"/>
                    </w:rPr>
                    <w:t>WF</w:t>
                  </w:r>
                  <w:r>
                    <w:rPr>
                      <w:rFonts w:hint="eastAsia" w:ascii="Times New Roman" w:hAnsi="Times New Roman" w:eastAsia="仿宋" w:cs="Times New Roman"/>
                      <w:kern w:val="0"/>
                      <w:sz w:val="24"/>
                      <w:vertAlign w:val="subscript"/>
                    </w:rPr>
                    <w:t>VOCs，i</w:t>
                  </w:r>
                  <w:r>
                    <w:rPr>
                      <w:rFonts w:hint="eastAsia" w:ascii="Times New Roman" w:hAnsi="Times New Roman" w:eastAsia="仿宋" w:cs="Times New Roman"/>
                      <w:kern w:val="0"/>
                      <w:sz w:val="24"/>
                    </w:rPr>
                    <w:t>/WF</w:t>
                  </w:r>
                  <w:r>
                    <w:rPr>
                      <w:rFonts w:hint="eastAsia" w:ascii="Times New Roman" w:hAnsi="Times New Roman" w:eastAsia="仿宋" w:cs="Times New Roman"/>
                      <w:kern w:val="0"/>
                      <w:sz w:val="24"/>
                      <w:vertAlign w:val="subscript"/>
                    </w:rPr>
                    <w:t>TOC，i</w:t>
                  </w:r>
                  <w:r>
                    <w:rPr>
                      <w:rFonts w:ascii="Times New Roman" w:hAnsi="Times New Roman" w:eastAsia="仿宋" w:cs="Times New Roman"/>
                      <w:kern w:val="0"/>
                      <w:sz w:val="24"/>
                    </w:rPr>
                    <w:t>:</w:t>
                  </w:r>
                  <w:r>
                    <w:rPr>
                      <w:rFonts w:ascii="Times New Roman" w:hAnsi="Times New Roman" w:eastAsia="宋体" w:cs="Times New Roman"/>
                      <w:bCs w:val="0"/>
                      <w:kern w:val="2"/>
                      <w:sz w:val="21"/>
                      <w:szCs w:val="21"/>
                    </w:rPr>
                    <w:t>流经密封点的物料为轻质柴油，挥发性有机物（VOCs）占总有机碳（TOC）的比例接近100%，因此该比值取1.0。</w:t>
                  </w:r>
                </w:p>
                <w:p w14:paraId="1971F9A1">
                  <w:r>
                    <w:rPr>
                      <w:rFonts w:hint="eastAsia" w:ascii="Times New Roman" w:hAnsi="Times New Roman" w:eastAsia="宋体" w:cs="Times New Roman"/>
                      <w:szCs w:val="21"/>
                    </w:rPr>
                    <w:t>t</w:t>
                  </w:r>
                  <w:r>
                    <w:rPr>
                      <w:rFonts w:hint="eastAsia" w:ascii="Times New Roman" w:hAnsi="Times New Roman" w:eastAsia="宋体" w:cs="Times New Roman"/>
                      <w:szCs w:val="21"/>
                      <w:vertAlign w:val="subscript"/>
                    </w:rPr>
                    <w:t>i</w:t>
                  </w:r>
                  <w:r>
                    <w:rPr>
                      <w:rFonts w:hint="eastAsia" w:ascii="Times New Roman" w:hAnsi="Times New Roman" w:eastAsia="宋体" w:cs="Times New Roman"/>
                      <w:szCs w:val="21"/>
                    </w:rPr>
                    <w:t>：180d，每天24h计。</w:t>
                  </w:r>
                </w:p>
              </w:tc>
            </w:tr>
          </w:tbl>
          <w:p w14:paraId="54B4A339">
            <w:pPr>
              <w:pStyle w:val="4"/>
              <w:keepNext w:val="0"/>
              <w:keepLines w:val="0"/>
              <w:wordWrap w:val="0"/>
              <w:topLinePunct/>
              <w:ind w:firstLine="480"/>
              <w:rPr>
                <w:rFonts w:ascii="Times New Roman" w:hAnsi="Times New Roman" w:cs="Times New Roman"/>
                <w:b w:val="0"/>
                <w:spacing w:val="0"/>
                <w:w w:val="100"/>
                <w:szCs w:val="24"/>
              </w:rPr>
            </w:pPr>
            <w:r>
              <w:rPr>
                <w:rFonts w:hint="eastAsia" w:ascii="Times New Roman" w:hAnsi="Times New Roman" w:cs="Times New Roman"/>
                <w:b w:val="0"/>
                <w:spacing w:val="0"/>
                <w:w w:val="100"/>
                <w:szCs w:val="24"/>
              </w:rPr>
              <w:t>综上，柴油储罐呼吸及动静密封点废气</w:t>
            </w:r>
            <w:r>
              <w:rPr>
                <w:rFonts w:ascii="Times New Roman" w:hAnsi="Times New Roman" w:cs="Times New Roman"/>
                <w:b w:val="0"/>
                <w:spacing w:val="0"/>
                <w:w w:val="100"/>
                <w:szCs w:val="24"/>
              </w:rPr>
              <w:t>（</w:t>
            </w:r>
            <w:r>
              <w:rPr>
                <w:rFonts w:hint="eastAsia" w:ascii="Times New Roman" w:hAnsi="Times New Roman" w:cs="Times New Roman"/>
                <w:b w:val="0"/>
                <w:spacing w:val="0"/>
                <w:w w:val="100"/>
                <w:szCs w:val="24"/>
              </w:rPr>
              <w:t>以</w:t>
            </w:r>
            <w:r>
              <w:rPr>
                <w:rFonts w:ascii="Times New Roman" w:hAnsi="Times New Roman" w:cs="Times New Roman"/>
                <w:b w:val="0"/>
                <w:spacing w:val="0"/>
                <w:w w:val="100"/>
                <w:szCs w:val="24"/>
              </w:rPr>
              <w:t>非甲烷总烃</w:t>
            </w:r>
            <w:r>
              <w:rPr>
                <w:rFonts w:hint="eastAsia" w:ascii="Times New Roman" w:hAnsi="Times New Roman" w:cs="Times New Roman"/>
                <w:b w:val="0"/>
                <w:spacing w:val="0"/>
                <w:w w:val="100"/>
                <w:szCs w:val="24"/>
              </w:rPr>
              <w:t>计</w:t>
            </w:r>
            <w:r>
              <w:rPr>
                <w:rFonts w:ascii="Times New Roman" w:hAnsi="Times New Roman" w:cs="Times New Roman"/>
                <w:b w:val="0"/>
                <w:spacing w:val="0"/>
                <w:w w:val="100"/>
                <w:szCs w:val="24"/>
              </w:rPr>
              <w:t>）排放量为</w:t>
            </w:r>
            <w:r>
              <w:rPr>
                <w:rFonts w:hint="eastAsia" w:ascii="Times New Roman" w:hAnsi="Times New Roman" w:cs="Times New Roman"/>
                <w:b w:val="0"/>
                <w:spacing w:val="0"/>
                <w:w w:val="100"/>
                <w:szCs w:val="24"/>
              </w:rPr>
              <w:t>0.0129</w:t>
            </w:r>
            <w:r>
              <w:rPr>
                <w:rFonts w:ascii="Times New Roman" w:hAnsi="Times New Roman" w:cs="Times New Roman"/>
                <w:b w:val="0"/>
                <w:spacing w:val="0"/>
                <w:w w:val="100"/>
                <w:szCs w:val="24"/>
              </w:rPr>
              <w:t>t/a，</w:t>
            </w:r>
            <w:r>
              <w:rPr>
                <w:rFonts w:hint="eastAsia" w:ascii="Times New Roman" w:hAnsi="Times New Roman" w:cs="Times New Roman"/>
                <w:b w:val="0"/>
                <w:spacing w:val="0"/>
                <w:w w:val="100"/>
                <w:szCs w:val="24"/>
              </w:rPr>
              <w:t>排放速率为0.003kg</w:t>
            </w:r>
            <w:r>
              <w:rPr>
                <w:rFonts w:ascii="Times New Roman" w:hAnsi="Times New Roman" w:cs="Times New Roman"/>
                <w:b w:val="0"/>
                <w:spacing w:val="0"/>
                <w:w w:val="100"/>
                <w:szCs w:val="24"/>
              </w:rPr>
              <w:t>/</w:t>
            </w:r>
            <w:r>
              <w:rPr>
                <w:rFonts w:hint="eastAsia" w:ascii="Times New Roman" w:hAnsi="Times New Roman" w:cs="Times New Roman"/>
                <w:b w:val="0"/>
                <w:spacing w:val="0"/>
                <w:w w:val="100"/>
                <w:szCs w:val="24"/>
              </w:rPr>
              <w:t>h，</w:t>
            </w:r>
            <w:r>
              <w:rPr>
                <w:rFonts w:ascii="Times New Roman" w:hAnsi="Times New Roman" w:cs="Times New Roman"/>
                <w:b w:val="0"/>
                <w:spacing w:val="0"/>
                <w:w w:val="100"/>
                <w:szCs w:val="24"/>
              </w:rPr>
              <w:t>呈无组织排放</w:t>
            </w:r>
            <w:r>
              <w:rPr>
                <w:rFonts w:hint="eastAsia" w:ascii="Times New Roman" w:hAnsi="Times New Roman" w:cs="Times New Roman"/>
                <w:b w:val="0"/>
                <w:spacing w:val="0"/>
                <w:w w:val="100"/>
                <w:szCs w:val="24"/>
              </w:rPr>
              <w:t>，建设单位应加强柴油储罐密封点的维护与保养</w:t>
            </w:r>
            <w:r>
              <w:rPr>
                <w:rFonts w:ascii="Times New Roman" w:hAnsi="Times New Roman" w:cs="Times New Roman"/>
                <w:b w:val="0"/>
                <w:spacing w:val="0"/>
                <w:w w:val="100"/>
                <w:szCs w:val="24"/>
              </w:rPr>
              <w:t>。</w:t>
            </w:r>
          </w:p>
          <w:p w14:paraId="30E694BB">
            <w:pPr>
              <w:pStyle w:val="4"/>
              <w:keepNext w:val="0"/>
              <w:keepLines w:val="0"/>
              <w:wordWrap w:val="0"/>
              <w:topLinePunct/>
              <w:ind w:firstLine="482"/>
              <w:rPr>
                <w:rFonts w:ascii="Times New Roman" w:hAnsi="Times New Roman" w:cs="Times New Roman"/>
                <w:bCs/>
                <w:color w:val="auto"/>
                <w:spacing w:val="0"/>
                <w:w w:val="100"/>
                <w:szCs w:val="24"/>
              </w:rPr>
            </w:pPr>
            <w:r>
              <w:rPr>
                <w:rFonts w:hint="eastAsia" w:ascii="Times New Roman" w:hAnsi="Times New Roman" w:cs="Times New Roman"/>
                <w:bCs/>
                <w:color w:val="auto"/>
                <w:spacing w:val="0"/>
                <w:w w:val="100"/>
                <w:szCs w:val="24"/>
              </w:rPr>
              <w:t>2.2.7烘干、筛分、热骨料仓废气（</w:t>
            </w:r>
            <w:r>
              <w:rPr>
                <w:rFonts w:ascii="Times New Roman" w:hAnsi="Times New Roman" w:cs="Times New Roman"/>
                <w:bCs/>
                <w:color w:val="auto"/>
                <w:spacing w:val="0"/>
                <w:w w:val="100"/>
                <w:szCs w:val="24"/>
              </w:rPr>
              <w:t>DA001</w:t>
            </w:r>
            <w:r>
              <w:rPr>
                <w:rFonts w:hint="eastAsia" w:ascii="Times New Roman" w:hAnsi="Times New Roman" w:cs="Times New Roman"/>
                <w:bCs/>
                <w:color w:val="auto"/>
                <w:spacing w:val="0"/>
                <w:w w:val="100"/>
                <w:szCs w:val="24"/>
              </w:rPr>
              <w:t>）</w:t>
            </w:r>
          </w:p>
          <w:p w14:paraId="18E4874D">
            <w:pPr>
              <w:pStyle w:val="4"/>
              <w:keepNext w:val="0"/>
              <w:keepLines w:val="0"/>
              <w:wordWrap w:val="0"/>
              <w:topLinePunct/>
              <w:ind w:firstLine="480"/>
              <w:rPr>
                <w:rFonts w:ascii="Times New Roman" w:hAnsi="Times New Roman" w:cs="Times New Roman"/>
                <w:b w:val="0"/>
                <w:color w:val="auto"/>
                <w:spacing w:val="0"/>
                <w:w w:val="100"/>
                <w:szCs w:val="24"/>
              </w:rPr>
            </w:pPr>
            <w:r>
              <w:rPr>
                <w:rFonts w:hint="eastAsia" w:ascii="Times New Roman" w:hAnsi="Times New Roman" w:cs="Times New Roman"/>
                <w:b w:val="0"/>
                <w:color w:val="auto"/>
                <w:spacing w:val="0"/>
                <w:w w:val="100"/>
                <w:szCs w:val="24"/>
              </w:rPr>
              <w:t>（1）</w:t>
            </w:r>
            <w:r>
              <w:rPr>
                <w:rFonts w:ascii="Times New Roman" w:hAnsi="Times New Roman" w:cs="Times New Roman"/>
                <w:b w:val="0"/>
                <w:color w:val="auto"/>
                <w:spacing w:val="0"/>
                <w:w w:val="100"/>
                <w:szCs w:val="24"/>
              </w:rPr>
              <w:t>烘干</w:t>
            </w:r>
            <w:r>
              <w:rPr>
                <w:rFonts w:hint="eastAsia" w:ascii="Times New Roman" w:hAnsi="Times New Roman" w:cs="Times New Roman"/>
                <w:b w:val="0"/>
                <w:color w:val="auto"/>
                <w:spacing w:val="0"/>
                <w:w w:val="100"/>
                <w:szCs w:val="24"/>
              </w:rPr>
              <w:t>滚</w:t>
            </w:r>
            <w:r>
              <w:rPr>
                <w:rFonts w:ascii="Times New Roman" w:hAnsi="Times New Roman" w:cs="Times New Roman"/>
                <w:b w:val="0"/>
                <w:color w:val="auto"/>
                <w:spacing w:val="0"/>
                <w:w w:val="100"/>
                <w:szCs w:val="24"/>
              </w:rPr>
              <w:t>筒燃烧器燃</w:t>
            </w:r>
            <w:r>
              <w:rPr>
                <w:rFonts w:hint="eastAsia" w:ascii="Times New Roman" w:hAnsi="Times New Roman" w:cs="Times New Roman"/>
                <w:b w:val="0"/>
                <w:color w:val="auto"/>
                <w:spacing w:val="0"/>
                <w:w w:val="100"/>
                <w:szCs w:val="24"/>
              </w:rPr>
              <w:t>油</w:t>
            </w:r>
            <w:r>
              <w:rPr>
                <w:rFonts w:ascii="Times New Roman" w:hAnsi="Times New Roman" w:cs="Times New Roman"/>
                <w:b w:val="0"/>
                <w:color w:val="auto"/>
                <w:spacing w:val="0"/>
                <w:w w:val="100"/>
                <w:szCs w:val="24"/>
              </w:rPr>
              <w:t>烟气</w:t>
            </w:r>
          </w:p>
          <w:p w14:paraId="122765C0">
            <w:pPr>
              <w:pStyle w:val="4"/>
              <w:keepNext w:val="0"/>
              <w:keepLines w:val="0"/>
              <w:wordWrap w:val="0"/>
              <w:topLinePunct/>
              <w:ind w:firstLine="482"/>
              <w:rPr>
                <w:rFonts w:ascii="Times New Roman" w:hAnsi="Times New Roman" w:cs="Times New Roman"/>
                <w:b w:val="0"/>
                <w:color w:val="auto"/>
                <w:spacing w:val="0"/>
                <w:w w:val="100"/>
                <w:szCs w:val="24"/>
              </w:rPr>
            </w:pPr>
            <w:r>
              <w:rPr>
                <w:rFonts w:ascii="Times New Roman" w:hAnsi="Times New Roman" w:cs="Times New Roman"/>
                <w:bCs/>
                <w:color w:val="auto"/>
                <w:spacing w:val="0"/>
                <w:w w:val="100"/>
                <w:szCs w:val="24"/>
              </w:rPr>
              <w:t>源强核算</w:t>
            </w:r>
            <w:r>
              <w:rPr>
                <w:rFonts w:hint="eastAsia" w:ascii="Times New Roman" w:hAnsi="Times New Roman" w:cs="Times New Roman"/>
                <w:bCs/>
                <w:color w:val="auto"/>
                <w:spacing w:val="0"/>
                <w:w w:val="100"/>
                <w:szCs w:val="24"/>
              </w:rPr>
              <w:t>：</w:t>
            </w:r>
            <w:r>
              <w:rPr>
                <w:rFonts w:hint="eastAsia" w:ascii="Times New Roman" w:hAnsi="Times New Roman" w:cs="Times New Roman"/>
                <w:b w:val="0"/>
                <w:color w:val="auto"/>
                <w:spacing w:val="0"/>
                <w:w w:val="100"/>
                <w:szCs w:val="24"/>
              </w:rPr>
              <w:t>本项目骨料（石料、凹凸棒石破碎成品）烘干工序采用直接加热方式，由燃烧器在烘干滚筒内燃烧轻质柴油产生高温火焰及烟气，与不断翻滚的冷骨料进行热交换，以实现骨料的加热与干燥；在此过程中，轻质柴油燃烧将产生燃油烟气。</w:t>
            </w:r>
          </w:p>
          <w:p w14:paraId="0C7722E3">
            <w:pPr>
              <w:pStyle w:val="4"/>
              <w:keepNext w:val="0"/>
              <w:keepLines w:val="0"/>
              <w:wordWrap w:val="0"/>
              <w:topLinePunct/>
              <w:ind w:firstLine="480"/>
              <w:rPr>
                <w:rFonts w:ascii="Times New Roman" w:hAnsi="Times New Roman" w:cs="Times New Roman"/>
                <w:b w:val="0"/>
                <w:spacing w:val="0"/>
                <w:w w:val="100"/>
                <w:szCs w:val="24"/>
              </w:rPr>
            </w:pPr>
            <w:r>
              <w:rPr>
                <w:rFonts w:ascii="Times New Roman" w:hAnsi="Times New Roman" w:cs="Times New Roman"/>
                <w:b w:val="0"/>
                <w:spacing w:val="0"/>
                <w:w w:val="100"/>
                <w:szCs w:val="24"/>
              </w:rPr>
              <w:t>参照</w:t>
            </w:r>
            <w:r>
              <w:rPr>
                <w:rFonts w:hint="eastAsia" w:ascii="Times New Roman" w:hAnsi="Times New Roman" w:cs="Times New Roman"/>
                <w:b w:val="0"/>
                <w:spacing w:val="0"/>
                <w:w w:val="100"/>
                <w:szCs w:val="24"/>
              </w:rPr>
              <w:t>“</w:t>
            </w:r>
            <w:r>
              <w:rPr>
                <w:rFonts w:ascii="Times New Roman" w:hAnsi="Times New Roman" w:cs="Times New Roman"/>
                <w:b w:val="0"/>
                <w:spacing w:val="0"/>
                <w:w w:val="100"/>
                <w:szCs w:val="24"/>
              </w:rPr>
              <w:t>《排放源统计调查产排污核算方法和系数手册》（公告2021年第24号）</w:t>
            </w:r>
            <w:r>
              <w:rPr>
                <w:rFonts w:hint="eastAsia" w:ascii="Times New Roman" w:hAnsi="Times New Roman" w:cs="Times New Roman"/>
                <w:b w:val="0"/>
                <w:spacing w:val="0"/>
                <w:w w:val="100"/>
                <w:szCs w:val="24"/>
              </w:rPr>
              <w:t>—4430工业锅炉（热力供应）行业系数手册—5.产污系数及污染治理效率表</w:t>
            </w:r>
            <w:r>
              <w:rPr>
                <w:rFonts w:ascii="Times New Roman" w:hAnsi="Times New Roman" w:cs="Times New Roman"/>
                <w:b w:val="0"/>
                <w:spacing w:val="0"/>
                <w:w w:val="100"/>
                <w:szCs w:val="24"/>
              </w:rPr>
              <w:t>中燃油工业锅炉</w:t>
            </w:r>
            <w:r>
              <w:rPr>
                <w:rFonts w:hint="eastAsia" w:ascii="Times New Roman" w:hAnsi="Times New Roman" w:cs="Times New Roman"/>
                <w:b w:val="0"/>
                <w:spacing w:val="0"/>
                <w:w w:val="100"/>
                <w:szCs w:val="24"/>
              </w:rPr>
              <w:t>产污系数表”，核算烘干滚筒燃烧器燃油烟气的源强</w:t>
            </w:r>
            <w:r>
              <w:rPr>
                <w:rFonts w:ascii="Times New Roman" w:hAnsi="Times New Roman" w:cs="Times New Roman"/>
                <w:b w:val="0"/>
                <w:spacing w:val="0"/>
                <w:w w:val="100"/>
                <w:szCs w:val="24"/>
              </w:rPr>
              <w:t>，</w:t>
            </w:r>
            <w:r>
              <w:rPr>
                <w:rFonts w:hint="eastAsia" w:ascii="Times New Roman" w:hAnsi="Times New Roman" w:cs="Times New Roman"/>
                <w:b w:val="0"/>
                <w:spacing w:val="0"/>
                <w:w w:val="100"/>
                <w:szCs w:val="24"/>
              </w:rPr>
              <w:t>详见</w:t>
            </w:r>
            <w:r>
              <w:rPr>
                <w:rFonts w:ascii="Times New Roman" w:hAnsi="Times New Roman" w:cs="Times New Roman"/>
                <w:b w:val="0"/>
                <w:spacing w:val="0"/>
                <w:w w:val="100"/>
                <w:szCs w:val="24"/>
              </w:rPr>
              <w:t>下表。</w:t>
            </w:r>
          </w:p>
          <w:p w14:paraId="5182116A">
            <w:pPr>
              <w:pStyle w:val="4"/>
              <w:keepNext w:val="0"/>
              <w:wordWrap w:val="0"/>
              <w:topLinePunct/>
              <w:ind w:firstLine="0" w:firstLineChars="0"/>
              <w:jc w:val="center"/>
              <w:rPr>
                <w:rFonts w:ascii="Times New Roman" w:hAnsi="Times New Roman" w:cs="Times New Roman"/>
                <w:bCs/>
                <w:spacing w:val="0"/>
                <w:w w:val="100"/>
                <w:szCs w:val="24"/>
              </w:rPr>
            </w:pPr>
            <w:r>
              <w:rPr>
                <w:rFonts w:hint="eastAsia" w:ascii="Times New Roman" w:hAnsi="Times New Roman" w:cs="Times New Roman"/>
                <w:bCs/>
                <w:spacing w:val="0"/>
                <w:w w:val="100"/>
                <w:szCs w:val="24"/>
              </w:rPr>
              <w:t xml:space="preserve">  </w:t>
            </w:r>
            <w:r>
              <w:rPr>
                <w:rFonts w:ascii="Times New Roman" w:hAnsi="Times New Roman" w:cs="Times New Roman"/>
                <w:bCs/>
                <w:spacing w:val="0"/>
                <w:w w:val="100"/>
                <w:szCs w:val="24"/>
              </w:rPr>
              <w:t>表</w:t>
            </w:r>
            <w:r>
              <w:rPr>
                <w:rFonts w:hint="eastAsia" w:ascii="Times New Roman" w:hAnsi="Times New Roman" w:cs="Times New Roman"/>
                <w:bCs/>
                <w:spacing w:val="0"/>
                <w:w w:val="100"/>
                <w:szCs w:val="24"/>
              </w:rPr>
              <w:t>4-</w:t>
            </w:r>
            <w:r>
              <w:rPr>
                <w:rFonts w:ascii="Times New Roman" w:hAnsi="Times New Roman" w:cs="Times New Roman"/>
                <w:bCs/>
                <w:spacing w:val="0"/>
                <w:w w:val="100"/>
                <w:szCs w:val="24"/>
              </w:rPr>
              <w:t xml:space="preserve">8 </w:t>
            </w:r>
            <w:r>
              <w:rPr>
                <w:rFonts w:hint="eastAsia" w:ascii="Times New Roman" w:hAnsi="Times New Roman" w:cs="Times New Roman"/>
                <w:bCs/>
                <w:spacing w:val="0"/>
                <w:w w:val="100"/>
                <w:szCs w:val="24"/>
              </w:rPr>
              <w:t xml:space="preserve"> 烘干滚筒燃烧器燃油烟气</w:t>
            </w:r>
            <w:r>
              <w:rPr>
                <w:rFonts w:ascii="Times New Roman" w:hAnsi="Times New Roman" w:cs="Times New Roman"/>
                <w:bCs/>
                <w:spacing w:val="0"/>
                <w:w w:val="100"/>
                <w:szCs w:val="24"/>
              </w:rPr>
              <w:t>产污系数一览表</w:t>
            </w:r>
          </w:p>
          <w:tbl>
            <w:tblPr>
              <w:tblStyle w:val="29"/>
              <w:tblW w:w="82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637"/>
              <w:gridCol w:w="932"/>
              <w:gridCol w:w="768"/>
              <w:gridCol w:w="1298"/>
              <w:gridCol w:w="2625"/>
              <w:gridCol w:w="951"/>
            </w:tblGrid>
            <w:tr w14:paraId="0E0FF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005" w:type="dxa"/>
                  <w:tcBorders>
                    <w:tl2br w:val="nil"/>
                    <w:tr2bl w:val="nil"/>
                  </w:tcBorders>
                  <w:tcMar>
                    <w:left w:w="57" w:type="dxa"/>
                    <w:right w:w="57" w:type="dxa"/>
                  </w:tcMar>
                  <w:vAlign w:val="center"/>
                </w:tcPr>
                <w:p w14:paraId="05E2FD22">
                  <w:pPr>
                    <w:jc w:val="center"/>
                    <w:rPr>
                      <w:rFonts w:ascii="Times New Roman" w:hAnsi="Times New Roman" w:eastAsia="宋体" w:cs="Times New Roman"/>
                      <w:b/>
                      <w:bCs/>
                      <w:szCs w:val="21"/>
                    </w:rPr>
                  </w:pPr>
                  <w:r>
                    <w:rPr>
                      <w:rFonts w:ascii="Times New Roman" w:hAnsi="Times New Roman" w:eastAsia="宋体" w:cs="Times New Roman"/>
                      <w:b/>
                      <w:bCs/>
                      <w:szCs w:val="21"/>
                    </w:rPr>
                    <w:t>产品名称</w:t>
                  </w:r>
                </w:p>
              </w:tc>
              <w:tc>
                <w:tcPr>
                  <w:tcW w:w="637" w:type="dxa"/>
                  <w:tcBorders>
                    <w:tl2br w:val="nil"/>
                    <w:tr2bl w:val="nil"/>
                  </w:tcBorders>
                  <w:tcMar>
                    <w:left w:w="57" w:type="dxa"/>
                    <w:right w:w="57" w:type="dxa"/>
                  </w:tcMar>
                  <w:vAlign w:val="center"/>
                </w:tcPr>
                <w:p w14:paraId="7015AADC">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原料</w:t>
                  </w:r>
                  <w:r>
                    <w:rPr>
                      <w:rFonts w:ascii="Times New Roman" w:hAnsi="Times New Roman" w:eastAsia="宋体" w:cs="Times New Roman"/>
                      <w:b/>
                      <w:bCs/>
                      <w:szCs w:val="21"/>
                    </w:rPr>
                    <w:t>名称</w:t>
                  </w:r>
                </w:p>
              </w:tc>
              <w:tc>
                <w:tcPr>
                  <w:tcW w:w="932" w:type="dxa"/>
                  <w:tcBorders>
                    <w:tl2br w:val="nil"/>
                    <w:tr2bl w:val="nil"/>
                  </w:tcBorders>
                  <w:tcMar>
                    <w:left w:w="57" w:type="dxa"/>
                    <w:right w:w="57" w:type="dxa"/>
                  </w:tcMar>
                  <w:vAlign w:val="center"/>
                </w:tcPr>
                <w:p w14:paraId="0A48ABE4">
                  <w:pPr>
                    <w:jc w:val="center"/>
                    <w:rPr>
                      <w:rFonts w:ascii="Times New Roman" w:hAnsi="Times New Roman" w:eastAsia="宋体" w:cs="Times New Roman"/>
                      <w:b/>
                      <w:bCs/>
                      <w:szCs w:val="21"/>
                    </w:rPr>
                  </w:pPr>
                  <w:r>
                    <w:rPr>
                      <w:rFonts w:ascii="Times New Roman" w:hAnsi="Times New Roman" w:eastAsia="宋体" w:cs="Times New Roman"/>
                      <w:b/>
                      <w:bCs/>
                      <w:szCs w:val="21"/>
                    </w:rPr>
                    <w:t>工艺</w:t>
                  </w:r>
                </w:p>
                <w:p w14:paraId="20F707F2">
                  <w:pPr>
                    <w:jc w:val="center"/>
                    <w:rPr>
                      <w:rFonts w:ascii="Times New Roman" w:hAnsi="Times New Roman" w:eastAsia="宋体" w:cs="Times New Roman"/>
                      <w:b/>
                      <w:bCs/>
                      <w:szCs w:val="21"/>
                    </w:rPr>
                  </w:pPr>
                  <w:r>
                    <w:rPr>
                      <w:rFonts w:ascii="Times New Roman" w:hAnsi="Times New Roman" w:eastAsia="宋体" w:cs="Times New Roman"/>
                      <w:b/>
                      <w:bCs/>
                      <w:szCs w:val="21"/>
                    </w:rPr>
                    <w:t>名称</w:t>
                  </w:r>
                </w:p>
              </w:tc>
              <w:tc>
                <w:tcPr>
                  <w:tcW w:w="768" w:type="dxa"/>
                  <w:tcBorders>
                    <w:tl2br w:val="nil"/>
                    <w:tr2bl w:val="nil"/>
                  </w:tcBorders>
                  <w:tcMar>
                    <w:left w:w="57" w:type="dxa"/>
                    <w:right w:w="57" w:type="dxa"/>
                  </w:tcMar>
                  <w:vAlign w:val="center"/>
                </w:tcPr>
                <w:p w14:paraId="3FF898A5">
                  <w:pPr>
                    <w:jc w:val="center"/>
                    <w:rPr>
                      <w:rFonts w:ascii="Times New Roman" w:hAnsi="Times New Roman" w:eastAsia="宋体" w:cs="Times New Roman"/>
                      <w:b/>
                      <w:bCs/>
                      <w:szCs w:val="21"/>
                    </w:rPr>
                  </w:pPr>
                  <w:r>
                    <w:rPr>
                      <w:rFonts w:ascii="Times New Roman" w:hAnsi="Times New Roman" w:eastAsia="宋体" w:cs="Times New Roman"/>
                      <w:b/>
                      <w:bCs/>
                      <w:szCs w:val="21"/>
                    </w:rPr>
                    <w:t>规模</w:t>
                  </w:r>
                </w:p>
                <w:p w14:paraId="3F04C197">
                  <w:pPr>
                    <w:jc w:val="center"/>
                    <w:rPr>
                      <w:rFonts w:ascii="Times New Roman" w:hAnsi="Times New Roman" w:eastAsia="宋体" w:cs="Times New Roman"/>
                      <w:b/>
                      <w:bCs/>
                      <w:szCs w:val="21"/>
                    </w:rPr>
                  </w:pPr>
                  <w:r>
                    <w:rPr>
                      <w:rFonts w:ascii="Times New Roman" w:hAnsi="Times New Roman" w:eastAsia="宋体" w:cs="Times New Roman"/>
                      <w:b/>
                      <w:bCs/>
                      <w:szCs w:val="21"/>
                    </w:rPr>
                    <w:t>等级</w:t>
                  </w:r>
                </w:p>
              </w:tc>
              <w:tc>
                <w:tcPr>
                  <w:tcW w:w="1298" w:type="dxa"/>
                  <w:tcBorders>
                    <w:tl2br w:val="nil"/>
                    <w:tr2bl w:val="nil"/>
                  </w:tcBorders>
                  <w:tcMar>
                    <w:left w:w="57" w:type="dxa"/>
                    <w:right w:w="57" w:type="dxa"/>
                  </w:tcMar>
                  <w:vAlign w:val="center"/>
                </w:tcPr>
                <w:p w14:paraId="34839AEB">
                  <w:pPr>
                    <w:jc w:val="center"/>
                    <w:rPr>
                      <w:rFonts w:ascii="Times New Roman" w:hAnsi="Times New Roman" w:eastAsia="宋体" w:cs="Times New Roman"/>
                      <w:b/>
                      <w:bCs/>
                      <w:szCs w:val="21"/>
                    </w:rPr>
                  </w:pPr>
                  <w:r>
                    <w:rPr>
                      <w:rFonts w:ascii="Times New Roman" w:hAnsi="Times New Roman" w:eastAsia="宋体" w:cs="Times New Roman"/>
                      <w:b/>
                      <w:bCs/>
                      <w:szCs w:val="21"/>
                    </w:rPr>
                    <w:t>污染物指标</w:t>
                  </w:r>
                </w:p>
              </w:tc>
              <w:tc>
                <w:tcPr>
                  <w:tcW w:w="2625" w:type="dxa"/>
                  <w:tcBorders>
                    <w:tl2br w:val="nil"/>
                    <w:tr2bl w:val="nil"/>
                  </w:tcBorders>
                  <w:tcMar>
                    <w:left w:w="57" w:type="dxa"/>
                    <w:right w:w="57" w:type="dxa"/>
                  </w:tcMar>
                  <w:vAlign w:val="center"/>
                </w:tcPr>
                <w:p w14:paraId="37DAF3C7">
                  <w:pPr>
                    <w:jc w:val="center"/>
                    <w:rPr>
                      <w:rFonts w:ascii="Times New Roman" w:hAnsi="Times New Roman" w:eastAsia="宋体" w:cs="Times New Roman"/>
                      <w:b/>
                      <w:bCs/>
                      <w:szCs w:val="21"/>
                    </w:rPr>
                  </w:pPr>
                  <w:r>
                    <w:rPr>
                      <w:rFonts w:ascii="Times New Roman" w:hAnsi="Times New Roman" w:eastAsia="宋体" w:cs="Times New Roman"/>
                      <w:b/>
                      <w:bCs/>
                      <w:szCs w:val="21"/>
                    </w:rPr>
                    <w:t>单位</w:t>
                  </w:r>
                </w:p>
              </w:tc>
              <w:tc>
                <w:tcPr>
                  <w:tcW w:w="951" w:type="dxa"/>
                  <w:tcBorders>
                    <w:tl2br w:val="nil"/>
                    <w:tr2bl w:val="nil"/>
                  </w:tcBorders>
                  <w:tcMar>
                    <w:left w:w="57" w:type="dxa"/>
                    <w:right w:w="57" w:type="dxa"/>
                  </w:tcMar>
                  <w:vAlign w:val="center"/>
                </w:tcPr>
                <w:p w14:paraId="65C6DAEE">
                  <w:pPr>
                    <w:jc w:val="center"/>
                    <w:rPr>
                      <w:rFonts w:ascii="Times New Roman" w:hAnsi="Times New Roman" w:eastAsia="宋体" w:cs="Times New Roman"/>
                      <w:b/>
                      <w:bCs/>
                      <w:szCs w:val="21"/>
                    </w:rPr>
                  </w:pPr>
                  <w:r>
                    <w:rPr>
                      <w:rFonts w:ascii="Times New Roman" w:hAnsi="Times New Roman" w:eastAsia="宋体" w:cs="Times New Roman"/>
                      <w:b/>
                      <w:bCs/>
                      <w:szCs w:val="21"/>
                    </w:rPr>
                    <w:t>产污</w:t>
                  </w:r>
                </w:p>
                <w:p w14:paraId="18C9BACC">
                  <w:pPr>
                    <w:jc w:val="center"/>
                    <w:rPr>
                      <w:rFonts w:ascii="Times New Roman" w:hAnsi="Times New Roman" w:eastAsia="宋体" w:cs="Times New Roman"/>
                      <w:b/>
                      <w:bCs/>
                      <w:szCs w:val="21"/>
                    </w:rPr>
                  </w:pPr>
                  <w:r>
                    <w:rPr>
                      <w:rFonts w:ascii="Times New Roman" w:hAnsi="Times New Roman" w:eastAsia="宋体" w:cs="Times New Roman"/>
                      <w:b/>
                      <w:bCs/>
                      <w:szCs w:val="21"/>
                    </w:rPr>
                    <w:t>系数</w:t>
                  </w:r>
                </w:p>
              </w:tc>
            </w:tr>
            <w:tr w14:paraId="782B0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dxa"/>
                  <w:vMerge w:val="restart"/>
                  <w:tcBorders>
                    <w:tl2br w:val="nil"/>
                    <w:tr2bl w:val="nil"/>
                  </w:tcBorders>
                  <w:tcMar>
                    <w:left w:w="57" w:type="dxa"/>
                    <w:right w:w="57" w:type="dxa"/>
                  </w:tcMar>
                  <w:vAlign w:val="center"/>
                </w:tcPr>
                <w:p w14:paraId="14BF59C6">
                  <w:pPr>
                    <w:jc w:val="center"/>
                    <w:rPr>
                      <w:rFonts w:ascii="Times New Roman" w:hAnsi="Times New Roman" w:eastAsia="宋体" w:cs="Times New Roman"/>
                      <w:szCs w:val="21"/>
                    </w:rPr>
                  </w:pPr>
                  <w:r>
                    <w:rPr>
                      <w:rFonts w:ascii="Times New Roman" w:hAnsi="Times New Roman" w:eastAsia="宋体" w:cs="Times New Roman"/>
                      <w:szCs w:val="21"/>
                    </w:rPr>
                    <w:t>蒸汽/热水/其他</w:t>
                  </w:r>
                </w:p>
              </w:tc>
              <w:tc>
                <w:tcPr>
                  <w:tcW w:w="637" w:type="dxa"/>
                  <w:vMerge w:val="restart"/>
                  <w:tcBorders>
                    <w:tl2br w:val="nil"/>
                    <w:tr2bl w:val="nil"/>
                  </w:tcBorders>
                  <w:tcMar>
                    <w:left w:w="57" w:type="dxa"/>
                    <w:right w:w="57" w:type="dxa"/>
                  </w:tcMar>
                  <w:vAlign w:val="center"/>
                </w:tcPr>
                <w:p w14:paraId="0BE3BF46">
                  <w:pPr>
                    <w:jc w:val="center"/>
                    <w:rPr>
                      <w:rFonts w:ascii="Times New Roman" w:hAnsi="Times New Roman" w:eastAsia="宋体" w:cs="Times New Roman"/>
                      <w:szCs w:val="21"/>
                    </w:rPr>
                  </w:pPr>
                  <w:r>
                    <w:rPr>
                      <w:rFonts w:ascii="Times New Roman" w:hAnsi="Times New Roman" w:eastAsia="宋体" w:cs="Times New Roman"/>
                      <w:szCs w:val="21"/>
                    </w:rPr>
                    <w:t>柴油</w:t>
                  </w:r>
                </w:p>
              </w:tc>
              <w:tc>
                <w:tcPr>
                  <w:tcW w:w="932" w:type="dxa"/>
                  <w:vMerge w:val="restart"/>
                  <w:tcBorders>
                    <w:tl2br w:val="nil"/>
                    <w:tr2bl w:val="nil"/>
                  </w:tcBorders>
                  <w:tcMar>
                    <w:left w:w="57" w:type="dxa"/>
                    <w:right w:w="57" w:type="dxa"/>
                  </w:tcMar>
                  <w:vAlign w:val="center"/>
                </w:tcPr>
                <w:p w14:paraId="3B2D98B4">
                  <w:pPr>
                    <w:jc w:val="center"/>
                    <w:rPr>
                      <w:rFonts w:ascii="Times New Roman" w:hAnsi="Times New Roman" w:eastAsia="宋体" w:cs="Times New Roman"/>
                      <w:szCs w:val="21"/>
                    </w:rPr>
                  </w:pPr>
                  <w:r>
                    <w:rPr>
                      <w:rFonts w:ascii="Times New Roman" w:hAnsi="Times New Roman" w:eastAsia="宋体" w:cs="Times New Roman"/>
                      <w:szCs w:val="21"/>
                    </w:rPr>
                    <w:t>室燃炉</w:t>
                  </w:r>
                </w:p>
              </w:tc>
              <w:tc>
                <w:tcPr>
                  <w:tcW w:w="768" w:type="dxa"/>
                  <w:vMerge w:val="restart"/>
                  <w:tcBorders>
                    <w:tl2br w:val="nil"/>
                    <w:tr2bl w:val="nil"/>
                  </w:tcBorders>
                  <w:tcMar>
                    <w:left w:w="57" w:type="dxa"/>
                    <w:right w:w="57" w:type="dxa"/>
                  </w:tcMar>
                  <w:vAlign w:val="center"/>
                </w:tcPr>
                <w:p w14:paraId="5F47F4AD">
                  <w:pPr>
                    <w:jc w:val="center"/>
                    <w:rPr>
                      <w:rFonts w:ascii="Times New Roman" w:hAnsi="Times New Roman" w:eastAsia="宋体" w:cs="Times New Roman"/>
                      <w:szCs w:val="21"/>
                    </w:rPr>
                  </w:pPr>
                  <w:r>
                    <w:rPr>
                      <w:rFonts w:ascii="Times New Roman" w:hAnsi="Times New Roman" w:eastAsia="宋体" w:cs="Times New Roman"/>
                      <w:szCs w:val="21"/>
                    </w:rPr>
                    <w:t>所有</w:t>
                  </w:r>
                </w:p>
                <w:p w14:paraId="66826F08">
                  <w:pPr>
                    <w:jc w:val="center"/>
                    <w:rPr>
                      <w:rFonts w:ascii="Times New Roman" w:hAnsi="Times New Roman" w:eastAsia="宋体" w:cs="Times New Roman"/>
                      <w:szCs w:val="21"/>
                    </w:rPr>
                  </w:pPr>
                  <w:r>
                    <w:rPr>
                      <w:rFonts w:ascii="Times New Roman" w:hAnsi="Times New Roman" w:eastAsia="宋体" w:cs="Times New Roman"/>
                      <w:szCs w:val="21"/>
                    </w:rPr>
                    <w:t>规模</w:t>
                  </w:r>
                </w:p>
              </w:tc>
              <w:tc>
                <w:tcPr>
                  <w:tcW w:w="1298" w:type="dxa"/>
                  <w:tcBorders>
                    <w:tl2br w:val="nil"/>
                    <w:tr2bl w:val="nil"/>
                  </w:tcBorders>
                  <w:tcMar>
                    <w:left w:w="57" w:type="dxa"/>
                    <w:right w:w="57" w:type="dxa"/>
                  </w:tcMar>
                  <w:vAlign w:val="center"/>
                </w:tcPr>
                <w:p w14:paraId="34EA6C1C">
                  <w:pPr>
                    <w:jc w:val="center"/>
                    <w:rPr>
                      <w:rFonts w:ascii="Times New Roman" w:hAnsi="Times New Roman" w:eastAsia="宋体" w:cs="Times New Roman"/>
                      <w:szCs w:val="21"/>
                    </w:rPr>
                  </w:pPr>
                  <w:r>
                    <w:rPr>
                      <w:rFonts w:ascii="Times New Roman" w:hAnsi="Times New Roman" w:eastAsia="宋体" w:cs="Times New Roman"/>
                      <w:szCs w:val="21"/>
                    </w:rPr>
                    <w:t>工业废气量</w:t>
                  </w:r>
                </w:p>
              </w:tc>
              <w:tc>
                <w:tcPr>
                  <w:tcW w:w="2625" w:type="dxa"/>
                  <w:tcBorders>
                    <w:tl2br w:val="nil"/>
                    <w:tr2bl w:val="nil"/>
                  </w:tcBorders>
                  <w:tcMar>
                    <w:left w:w="57" w:type="dxa"/>
                    <w:right w:w="57" w:type="dxa"/>
                  </w:tcMar>
                  <w:vAlign w:val="center"/>
                </w:tcPr>
                <w:p w14:paraId="20423EB9">
                  <w:pPr>
                    <w:jc w:val="center"/>
                    <w:rPr>
                      <w:rFonts w:ascii="Times New Roman" w:hAnsi="Times New Roman" w:eastAsia="宋体" w:cs="Times New Roman"/>
                      <w:szCs w:val="21"/>
                    </w:rPr>
                  </w:pPr>
                  <w:r>
                    <w:rPr>
                      <w:rFonts w:ascii="Times New Roman" w:hAnsi="Times New Roman" w:eastAsia="宋体" w:cs="Times New Roman"/>
                      <w:szCs w:val="21"/>
                    </w:rPr>
                    <w:t>标立方米/吨-燃料</w:t>
                  </w:r>
                </w:p>
              </w:tc>
              <w:tc>
                <w:tcPr>
                  <w:tcW w:w="951" w:type="dxa"/>
                  <w:tcBorders>
                    <w:tl2br w:val="nil"/>
                    <w:tr2bl w:val="nil"/>
                  </w:tcBorders>
                  <w:tcMar>
                    <w:left w:w="57" w:type="dxa"/>
                    <w:right w:w="57" w:type="dxa"/>
                  </w:tcMar>
                  <w:vAlign w:val="center"/>
                </w:tcPr>
                <w:p w14:paraId="286CFCCD">
                  <w:pPr>
                    <w:jc w:val="center"/>
                    <w:rPr>
                      <w:rFonts w:ascii="Times New Roman" w:hAnsi="Times New Roman" w:eastAsia="宋体" w:cs="Times New Roman"/>
                      <w:szCs w:val="21"/>
                    </w:rPr>
                  </w:pPr>
                  <w:r>
                    <w:rPr>
                      <w:rFonts w:ascii="Times New Roman" w:hAnsi="Times New Roman" w:eastAsia="宋体" w:cs="Times New Roman"/>
                      <w:szCs w:val="21"/>
                    </w:rPr>
                    <w:t>17804</w:t>
                  </w:r>
                </w:p>
              </w:tc>
            </w:tr>
            <w:tr w14:paraId="6C16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dxa"/>
                  <w:vMerge w:val="continue"/>
                  <w:tcBorders>
                    <w:tl2br w:val="nil"/>
                    <w:tr2bl w:val="nil"/>
                  </w:tcBorders>
                  <w:tcMar>
                    <w:left w:w="57" w:type="dxa"/>
                    <w:right w:w="57" w:type="dxa"/>
                  </w:tcMar>
                  <w:vAlign w:val="center"/>
                </w:tcPr>
                <w:p w14:paraId="253D2285">
                  <w:pPr>
                    <w:jc w:val="center"/>
                    <w:rPr>
                      <w:rFonts w:ascii="Times New Roman" w:hAnsi="Times New Roman" w:eastAsia="宋体" w:cs="Times New Roman"/>
                      <w:szCs w:val="21"/>
                    </w:rPr>
                  </w:pPr>
                </w:p>
              </w:tc>
              <w:tc>
                <w:tcPr>
                  <w:tcW w:w="637" w:type="dxa"/>
                  <w:vMerge w:val="continue"/>
                  <w:tcBorders>
                    <w:tl2br w:val="nil"/>
                    <w:tr2bl w:val="nil"/>
                  </w:tcBorders>
                  <w:tcMar>
                    <w:left w:w="57" w:type="dxa"/>
                    <w:right w:w="57" w:type="dxa"/>
                  </w:tcMar>
                  <w:vAlign w:val="center"/>
                </w:tcPr>
                <w:p w14:paraId="3561FC64">
                  <w:pPr>
                    <w:jc w:val="center"/>
                    <w:rPr>
                      <w:rFonts w:ascii="Times New Roman" w:hAnsi="Times New Roman" w:eastAsia="宋体" w:cs="Times New Roman"/>
                      <w:szCs w:val="21"/>
                    </w:rPr>
                  </w:pPr>
                </w:p>
              </w:tc>
              <w:tc>
                <w:tcPr>
                  <w:tcW w:w="932" w:type="dxa"/>
                  <w:vMerge w:val="continue"/>
                  <w:tcBorders>
                    <w:tl2br w:val="nil"/>
                    <w:tr2bl w:val="nil"/>
                  </w:tcBorders>
                  <w:tcMar>
                    <w:left w:w="57" w:type="dxa"/>
                    <w:right w:w="57" w:type="dxa"/>
                  </w:tcMar>
                  <w:vAlign w:val="center"/>
                </w:tcPr>
                <w:p w14:paraId="0B1C6B63">
                  <w:pPr>
                    <w:jc w:val="center"/>
                    <w:rPr>
                      <w:rFonts w:ascii="Times New Roman" w:hAnsi="Times New Roman" w:eastAsia="宋体" w:cs="Times New Roman"/>
                      <w:szCs w:val="21"/>
                    </w:rPr>
                  </w:pPr>
                </w:p>
              </w:tc>
              <w:tc>
                <w:tcPr>
                  <w:tcW w:w="768" w:type="dxa"/>
                  <w:vMerge w:val="continue"/>
                  <w:tcBorders>
                    <w:tl2br w:val="nil"/>
                    <w:tr2bl w:val="nil"/>
                  </w:tcBorders>
                  <w:tcMar>
                    <w:left w:w="57" w:type="dxa"/>
                    <w:right w:w="57" w:type="dxa"/>
                  </w:tcMar>
                  <w:vAlign w:val="center"/>
                </w:tcPr>
                <w:p w14:paraId="5C506D62">
                  <w:pPr>
                    <w:jc w:val="center"/>
                    <w:rPr>
                      <w:rFonts w:ascii="Times New Roman" w:hAnsi="Times New Roman" w:eastAsia="宋体" w:cs="Times New Roman"/>
                      <w:szCs w:val="21"/>
                    </w:rPr>
                  </w:pPr>
                </w:p>
              </w:tc>
              <w:tc>
                <w:tcPr>
                  <w:tcW w:w="1298" w:type="dxa"/>
                  <w:tcBorders>
                    <w:tl2br w:val="nil"/>
                    <w:tr2bl w:val="nil"/>
                  </w:tcBorders>
                  <w:tcMar>
                    <w:left w:w="57" w:type="dxa"/>
                    <w:right w:w="57" w:type="dxa"/>
                  </w:tcMar>
                  <w:vAlign w:val="center"/>
                </w:tcPr>
                <w:p w14:paraId="14814031">
                  <w:pPr>
                    <w:jc w:val="center"/>
                    <w:rPr>
                      <w:rFonts w:ascii="Times New Roman" w:hAnsi="Times New Roman" w:eastAsia="宋体" w:cs="Times New Roman"/>
                      <w:szCs w:val="21"/>
                    </w:rPr>
                  </w:pPr>
                  <w:r>
                    <w:rPr>
                      <w:rFonts w:ascii="Times New Roman" w:hAnsi="Times New Roman" w:eastAsia="宋体" w:cs="Times New Roman"/>
                      <w:szCs w:val="21"/>
                    </w:rPr>
                    <w:t>SO</w:t>
                  </w:r>
                  <w:r>
                    <w:rPr>
                      <w:rFonts w:ascii="Times New Roman" w:hAnsi="Times New Roman" w:eastAsia="宋体" w:cs="Times New Roman"/>
                      <w:szCs w:val="21"/>
                      <w:vertAlign w:val="subscript"/>
                    </w:rPr>
                    <w:t>2</w:t>
                  </w:r>
                </w:p>
              </w:tc>
              <w:tc>
                <w:tcPr>
                  <w:tcW w:w="2625" w:type="dxa"/>
                  <w:tcBorders>
                    <w:tl2br w:val="nil"/>
                    <w:tr2bl w:val="nil"/>
                  </w:tcBorders>
                  <w:tcMar>
                    <w:left w:w="57" w:type="dxa"/>
                    <w:right w:w="57" w:type="dxa"/>
                  </w:tcMar>
                  <w:vAlign w:val="center"/>
                </w:tcPr>
                <w:p w14:paraId="3D884761">
                  <w:pPr>
                    <w:jc w:val="center"/>
                    <w:rPr>
                      <w:rFonts w:ascii="Times New Roman" w:hAnsi="Times New Roman" w:eastAsia="宋体" w:cs="Times New Roman"/>
                      <w:szCs w:val="21"/>
                    </w:rPr>
                  </w:pPr>
                  <w:r>
                    <w:rPr>
                      <w:rFonts w:ascii="Times New Roman" w:hAnsi="Times New Roman" w:eastAsia="宋体" w:cs="Times New Roman"/>
                      <w:szCs w:val="21"/>
                    </w:rPr>
                    <w:t>千克/吨-燃料</w:t>
                  </w:r>
                </w:p>
              </w:tc>
              <w:tc>
                <w:tcPr>
                  <w:tcW w:w="951" w:type="dxa"/>
                  <w:tcBorders>
                    <w:tl2br w:val="nil"/>
                    <w:tr2bl w:val="nil"/>
                  </w:tcBorders>
                  <w:tcMar>
                    <w:left w:w="57" w:type="dxa"/>
                    <w:right w:w="57" w:type="dxa"/>
                  </w:tcMar>
                  <w:vAlign w:val="center"/>
                </w:tcPr>
                <w:p w14:paraId="30273B31">
                  <w:pPr>
                    <w:jc w:val="center"/>
                    <w:rPr>
                      <w:rFonts w:ascii="Times New Roman" w:hAnsi="Times New Roman" w:eastAsia="宋体" w:cs="Times New Roman"/>
                      <w:szCs w:val="21"/>
                    </w:rPr>
                  </w:pPr>
                  <w:r>
                    <w:rPr>
                      <w:rFonts w:ascii="Times New Roman" w:hAnsi="Times New Roman" w:eastAsia="宋体" w:cs="Times New Roman"/>
                      <w:szCs w:val="21"/>
                    </w:rPr>
                    <w:t>19S</w:t>
                  </w:r>
                  <w:r>
                    <w:rPr>
                      <w:rFonts w:ascii="Calibri" w:hAnsi="Calibri" w:eastAsia="宋体" w:cs="Calibri"/>
                      <w:szCs w:val="21"/>
                      <w:vertAlign w:val="superscript"/>
                    </w:rPr>
                    <w:t>①</w:t>
                  </w:r>
                </w:p>
              </w:tc>
            </w:tr>
            <w:tr w14:paraId="75B8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dxa"/>
                  <w:vMerge w:val="continue"/>
                  <w:tcBorders>
                    <w:tl2br w:val="nil"/>
                    <w:tr2bl w:val="nil"/>
                  </w:tcBorders>
                  <w:tcMar>
                    <w:left w:w="57" w:type="dxa"/>
                    <w:right w:w="57" w:type="dxa"/>
                  </w:tcMar>
                  <w:vAlign w:val="center"/>
                </w:tcPr>
                <w:p w14:paraId="38AAE172">
                  <w:pPr>
                    <w:jc w:val="center"/>
                    <w:rPr>
                      <w:rFonts w:ascii="Times New Roman" w:hAnsi="Times New Roman" w:eastAsia="宋体" w:cs="Times New Roman"/>
                      <w:szCs w:val="21"/>
                    </w:rPr>
                  </w:pPr>
                </w:p>
              </w:tc>
              <w:tc>
                <w:tcPr>
                  <w:tcW w:w="637" w:type="dxa"/>
                  <w:vMerge w:val="continue"/>
                  <w:tcBorders>
                    <w:tl2br w:val="nil"/>
                    <w:tr2bl w:val="nil"/>
                  </w:tcBorders>
                  <w:tcMar>
                    <w:left w:w="57" w:type="dxa"/>
                    <w:right w:w="57" w:type="dxa"/>
                  </w:tcMar>
                  <w:vAlign w:val="center"/>
                </w:tcPr>
                <w:p w14:paraId="0E97957A">
                  <w:pPr>
                    <w:jc w:val="center"/>
                    <w:rPr>
                      <w:rFonts w:ascii="Times New Roman" w:hAnsi="Times New Roman" w:eastAsia="宋体" w:cs="Times New Roman"/>
                      <w:szCs w:val="21"/>
                    </w:rPr>
                  </w:pPr>
                </w:p>
              </w:tc>
              <w:tc>
                <w:tcPr>
                  <w:tcW w:w="932" w:type="dxa"/>
                  <w:vMerge w:val="continue"/>
                  <w:tcBorders>
                    <w:tl2br w:val="nil"/>
                    <w:tr2bl w:val="nil"/>
                  </w:tcBorders>
                  <w:tcMar>
                    <w:left w:w="57" w:type="dxa"/>
                    <w:right w:w="57" w:type="dxa"/>
                  </w:tcMar>
                  <w:vAlign w:val="center"/>
                </w:tcPr>
                <w:p w14:paraId="684E3299">
                  <w:pPr>
                    <w:jc w:val="center"/>
                    <w:rPr>
                      <w:rFonts w:ascii="Times New Roman" w:hAnsi="Times New Roman" w:eastAsia="宋体" w:cs="Times New Roman"/>
                      <w:szCs w:val="21"/>
                    </w:rPr>
                  </w:pPr>
                </w:p>
              </w:tc>
              <w:tc>
                <w:tcPr>
                  <w:tcW w:w="768" w:type="dxa"/>
                  <w:vMerge w:val="continue"/>
                  <w:tcBorders>
                    <w:tl2br w:val="nil"/>
                    <w:tr2bl w:val="nil"/>
                  </w:tcBorders>
                  <w:tcMar>
                    <w:left w:w="57" w:type="dxa"/>
                    <w:right w:w="57" w:type="dxa"/>
                  </w:tcMar>
                  <w:vAlign w:val="center"/>
                </w:tcPr>
                <w:p w14:paraId="1AF80A26">
                  <w:pPr>
                    <w:jc w:val="center"/>
                    <w:rPr>
                      <w:rFonts w:ascii="Times New Roman" w:hAnsi="Times New Roman" w:eastAsia="宋体" w:cs="Times New Roman"/>
                      <w:szCs w:val="21"/>
                    </w:rPr>
                  </w:pPr>
                </w:p>
              </w:tc>
              <w:tc>
                <w:tcPr>
                  <w:tcW w:w="1298" w:type="dxa"/>
                  <w:tcBorders>
                    <w:tl2br w:val="nil"/>
                    <w:tr2bl w:val="nil"/>
                  </w:tcBorders>
                  <w:tcMar>
                    <w:left w:w="57" w:type="dxa"/>
                    <w:right w:w="57" w:type="dxa"/>
                  </w:tcMar>
                  <w:vAlign w:val="center"/>
                </w:tcPr>
                <w:p w14:paraId="38AA233B">
                  <w:pPr>
                    <w:jc w:val="center"/>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2625" w:type="dxa"/>
                  <w:tcBorders>
                    <w:tl2br w:val="nil"/>
                    <w:tr2bl w:val="nil"/>
                  </w:tcBorders>
                  <w:tcMar>
                    <w:left w:w="57" w:type="dxa"/>
                    <w:right w:w="57" w:type="dxa"/>
                  </w:tcMar>
                  <w:vAlign w:val="center"/>
                </w:tcPr>
                <w:p w14:paraId="72165696">
                  <w:pPr>
                    <w:jc w:val="center"/>
                    <w:rPr>
                      <w:rFonts w:ascii="Times New Roman" w:hAnsi="Times New Roman" w:eastAsia="宋体" w:cs="Times New Roman"/>
                      <w:szCs w:val="21"/>
                    </w:rPr>
                  </w:pPr>
                  <w:r>
                    <w:rPr>
                      <w:rFonts w:ascii="Times New Roman" w:hAnsi="Times New Roman" w:eastAsia="宋体" w:cs="Times New Roman"/>
                      <w:szCs w:val="21"/>
                    </w:rPr>
                    <w:t>千克/吨-燃料</w:t>
                  </w:r>
                </w:p>
              </w:tc>
              <w:tc>
                <w:tcPr>
                  <w:tcW w:w="951" w:type="dxa"/>
                  <w:tcBorders>
                    <w:tl2br w:val="nil"/>
                    <w:tr2bl w:val="nil"/>
                  </w:tcBorders>
                  <w:tcMar>
                    <w:left w:w="57" w:type="dxa"/>
                    <w:right w:w="57" w:type="dxa"/>
                  </w:tcMar>
                  <w:vAlign w:val="center"/>
                </w:tcPr>
                <w:p w14:paraId="5E04B59F">
                  <w:pPr>
                    <w:jc w:val="center"/>
                    <w:rPr>
                      <w:rFonts w:ascii="Times New Roman" w:hAnsi="Times New Roman" w:eastAsia="宋体" w:cs="Times New Roman"/>
                      <w:szCs w:val="21"/>
                    </w:rPr>
                  </w:pPr>
                  <w:r>
                    <w:rPr>
                      <w:rFonts w:ascii="Times New Roman" w:hAnsi="Times New Roman" w:eastAsia="宋体" w:cs="Times New Roman"/>
                      <w:szCs w:val="21"/>
                    </w:rPr>
                    <w:t>0.26</w:t>
                  </w:r>
                </w:p>
              </w:tc>
            </w:tr>
            <w:tr w14:paraId="63EB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dxa"/>
                  <w:vMerge w:val="continue"/>
                  <w:tcBorders>
                    <w:tl2br w:val="nil"/>
                    <w:tr2bl w:val="nil"/>
                  </w:tcBorders>
                  <w:tcMar>
                    <w:left w:w="57" w:type="dxa"/>
                    <w:right w:w="57" w:type="dxa"/>
                  </w:tcMar>
                  <w:vAlign w:val="center"/>
                </w:tcPr>
                <w:p w14:paraId="4171C4DB">
                  <w:pPr>
                    <w:jc w:val="center"/>
                    <w:rPr>
                      <w:rFonts w:ascii="Times New Roman" w:hAnsi="Times New Roman" w:eastAsia="宋体" w:cs="Times New Roman"/>
                      <w:szCs w:val="21"/>
                    </w:rPr>
                  </w:pPr>
                </w:p>
              </w:tc>
              <w:tc>
                <w:tcPr>
                  <w:tcW w:w="637" w:type="dxa"/>
                  <w:vMerge w:val="continue"/>
                  <w:tcBorders>
                    <w:tl2br w:val="nil"/>
                    <w:tr2bl w:val="nil"/>
                  </w:tcBorders>
                  <w:tcMar>
                    <w:left w:w="57" w:type="dxa"/>
                    <w:right w:w="57" w:type="dxa"/>
                  </w:tcMar>
                  <w:vAlign w:val="center"/>
                </w:tcPr>
                <w:p w14:paraId="4499E2B2">
                  <w:pPr>
                    <w:jc w:val="center"/>
                    <w:rPr>
                      <w:rFonts w:ascii="Times New Roman" w:hAnsi="Times New Roman" w:eastAsia="宋体" w:cs="Times New Roman"/>
                      <w:szCs w:val="21"/>
                    </w:rPr>
                  </w:pPr>
                </w:p>
              </w:tc>
              <w:tc>
                <w:tcPr>
                  <w:tcW w:w="932" w:type="dxa"/>
                  <w:vMerge w:val="continue"/>
                  <w:tcBorders>
                    <w:tl2br w:val="nil"/>
                    <w:tr2bl w:val="nil"/>
                  </w:tcBorders>
                  <w:tcMar>
                    <w:left w:w="57" w:type="dxa"/>
                    <w:right w:w="57" w:type="dxa"/>
                  </w:tcMar>
                  <w:vAlign w:val="center"/>
                </w:tcPr>
                <w:p w14:paraId="5E9A9809">
                  <w:pPr>
                    <w:jc w:val="center"/>
                    <w:rPr>
                      <w:rFonts w:ascii="Times New Roman" w:hAnsi="Times New Roman" w:eastAsia="宋体" w:cs="Times New Roman"/>
                      <w:szCs w:val="21"/>
                    </w:rPr>
                  </w:pPr>
                </w:p>
              </w:tc>
              <w:tc>
                <w:tcPr>
                  <w:tcW w:w="768" w:type="dxa"/>
                  <w:vMerge w:val="continue"/>
                  <w:tcBorders>
                    <w:tl2br w:val="nil"/>
                    <w:tr2bl w:val="nil"/>
                  </w:tcBorders>
                  <w:tcMar>
                    <w:left w:w="57" w:type="dxa"/>
                    <w:right w:w="57" w:type="dxa"/>
                  </w:tcMar>
                  <w:vAlign w:val="center"/>
                </w:tcPr>
                <w:p w14:paraId="6BC77526">
                  <w:pPr>
                    <w:jc w:val="center"/>
                    <w:rPr>
                      <w:rFonts w:ascii="Times New Roman" w:hAnsi="Times New Roman" w:eastAsia="宋体" w:cs="Times New Roman"/>
                      <w:szCs w:val="21"/>
                    </w:rPr>
                  </w:pPr>
                </w:p>
              </w:tc>
              <w:tc>
                <w:tcPr>
                  <w:tcW w:w="1298" w:type="dxa"/>
                  <w:tcBorders>
                    <w:tl2br w:val="nil"/>
                    <w:tr2bl w:val="nil"/>
                  </w:tcBorders>
                  <w:tcMar>
                    <w:left w:w="57" w:type="dxa"/>
                    <w:right w:w="57" w:type="dxa"/>
                  </w:tcMar>
                  <w:vAlign w:val="center"/>
                </w:tcPr>
                <w:p w14:paraId="5DE61183">
                  <w:pPr>
                    <w:jc w:val="center"/>
                    <w:rPr>
                      <w:rFonts w:ascii="Times New Roman" w:hAnsi="Times New Roman" w:eastAsia="宋体" w:cs="Times New Roman"/>
                      <w:szCs w:val="21"/>
                    </w:rPr>
                  </w:pPr>
                  <w:r>
                    <w:rPr>
                      <w:rFonts w:ascii="Times New Roman" w:hAnsi="Times New Roman" w:eastAsia="宋体" w:cs="Times New Roman"/>
                      <w:szCs w:val="21"/>
                    </w:rPr>
                    <w:t>NO</w:t>
                  </w:r>
                  <w:r>
                    <w:rPr>
                      <w:rFonts w:ascii="Times New Roman" w:hAnsi="Times New Roman" w:eastAsia="宋体" w:cs="Times New Roman"/>
                      <w:szCs w:val="21"/>
                      <w:vertAlign w:val="subscript"/>
                    </w:rPr>
                    <w:t>x</w:t>
                  </w:r>
                </w:p>
              </w:tc>
              <w:tc>
                <w:tcPr>
                  <w:tcW w:w="2625" w:type="dxa"/>
                  <w:tcBorders>
                    <w:tl2br w:val="nil"/>
                    <w:tr2bl w:val="nil"/>
                  </w:tcBorders>
                  <w:tcMar>
                    <w:left w:w="57" w:type="dxa"/>
                    <w:right w:w="57" w:type="dxa"/>
                  </w:tcMar>
                  <w:vAlign w:val="center"/>
                </w:tcPr>
                <w:p w14:paraId="5E3ABF35">
                  <w:pPr>
                    <w:jc w:val="center"/>
                    <w:rPr>
                      <w:rFonts w:ascii="Times New Roman" w:hAnsi="Times New Roman" w:eastAsia="宋体" w:cs="Times New Roman"/>
                      <w:szCs w:val="21"/>
                    </w:rPr>
                  </w:pPr>
                  <w:r>
                    <w:rPr>
                      <w:rFonts w:ascii="Times New Roman" w:hAnsi="Times New Roman" w:eastAsia="宋体" w:cs="Times New Roman"/>
                      <w:szCs w:val="21"/>
                    </w:rPr>
                    <w:t>千克/吨-燃料</w:t>
                  </w:r>
                </w:p>
              </w:tc>
              <w:tc>
                <w:tcPr>
                  <w:tcW w:w="951" w:type="dxa"/>
                  <w:tcBorders>
                    <w:tl2br w:val="nil"/>
                    <w:tr2bl w:val="nil"/>
                  </w:tcBorders>
                  <w:tcMar>
                    <w:left w:w="57" w:type="dxa"/>
                    <w:right w:w="57" w:type="dxa"/>
                  </w:tcMar>
                  <w:vAlign w:val="center"/>
                </w:tcPr>
                <w:p w14:paraId="0EC62E52">
                  <w:pPr>
                    <w:jc w:val="center"/>
                    <w:rPr>
                      <w:rFonts w:ascii="Times New Roman" w:hAnsi="Times New Roman" w:eastAsia="宋体" w:cs="Times New Roman"/>
                      <w:szCs w:val="21"/>
                    </w:rPr>
                  </w:pPr>
                  <w:r>
                    <w:rPr>
                      <w:rFonts w:ascii="Times New Roman" w:hAnsi="Times New Roman" w:eastAsia="宋体" w:cs="Times New Roman"/>
                      <w:szCs w:val="21"/>
                    </w:rPr>
                    <w:t>3.03</w:t>
                  </w:r>
                </w:p>
              </w:tc>
            </w:tr>
            <w:tr w14:paraId="0F8E1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16" w:type="dxa"/>
                  <w:gridSpan w:val="7"/>
                  <w:tcBorders>
                    <w:tl2br w:val="nil"/>
                    <w:tr2bl w:val="nil"/>
                  </w:tcBorders>
                  <w:tcMar>
                    <w:left w:w="57" w:type="dxa"/>
                    <w:right w:w="57" w:type="dxa"/>
                  </w:tcMar>
                  <w:vAlign w:val="center"/>
                </w:tcPr>
                <w:p w14:paraId="6631B363">
                  <w:pPr>
                    <w:widowControl/>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注：①产污系数表中二氧化硫的产污系数是以含硫量（S％）的形式表示的，其中含硫量（S％）是指燃油收到基硫分含量，以质量百分数的形式表示。例如燃料中含硫量（S％）为 0.1％，则 S=0.1。</w:t>
                  </w:r>
                </w:p>
                <w:p w14:paraId="1BBBD2AE">
                  <w:pPr>
                    <w:widowControl/>
                    <w:jc w:val="left"/>
                    <w:rPr>
                      <w:rFonts w:ascii="Times New Roman" w:hAnsi="Times New Roman" w:eastAsia="宋体" w:cs="Times New Roman"/>
                      <w:szCs w:val="21"/>
                    </w:rPr>
                  </w:pPr>
                  <w:r>
                    <w:rPr>
                      <w:rFonts w:ascii="Times New Roman" w:hAnsi="Times New Roman" w:eastAsia="宋体" w:cs="Times New Roman"/>
                      <w:color w:val="000000"/>
                      <w:kern w:val="0"/>
                      <w:szCs w:val="21"/>
                      <w:lang w:bidi="ar"/>
                    </w:rPr>
                    <w:t xml:space="preserve"> 本项目轻质柴油硫含量≤10mg/kg（即含硫量为0.001%），则S=</w:t>
                  </w:r>
                  <w:r>
                    <w:rPr>
                      <w:rFonts w:hint="eastAsia" w:ascii="Times New Roman" w:hAnsi="Times New Roman" w:eastAsia="宋体" w:cs="Times New Roman"/>
                      <w:color w:val="000000"/>
                      <w:kern w:val="0"/>
                      <w:szCs w:val="21"/>
                      <w:lang w:bidi="ar"/>
                    </w:rPr>
                    <w:t>0.001</w:t>
                  </w:r>
                  <w:r>
                    <w:rPr>
                      <w:rFonts w:ascii="Times New Roman" w:hAnsi="Times New Roman" w:eastAsia="宋体" w:cs="Times New Roman"/>
                      <w:color w:val="000000"/>
                      <w:kern w:val="0"/>
                      <w:szCs w:val="21"/>
                      <w:lang w:bidi="ar"/>
                    </w:rPr>
                    <w:t>。</w:t>
                  </w:r>
                </w:p>
              </w:tc>
            </w:tr>
          </w:tbl>
          <w:p w14:paraId="5A3109F1">
            <w:pPr>
              <w:wordWrap w:val="0"/>
              <w:topLinePunct/>
              <w:spacing w:line="360" w:lineRule="auto"/>
              <w:rPr>
                <w:sz w:val="24"/>
                <w:szCs w:val="20"/>
              </w:rPr>
            </w:pPr>
          </w:p>
          <w:p w14:paraId="2657490E">
            <w:pPr>
              <w:wordWrap w:val="0"/>
              <w:topLinePunct/>
              <w:spacing w:line="360" w:lineRule="auto"/>
              <w:ind w:firstLine="480" w:firstLineChars="200"/>
              <w:rPr>
                <w:sz w:val="24"/>
                <w:szCs w:val="20"/>
              </w:rPr>
            </w:pPr>
            <w:r>
              <w:rPr>
                <w:rFonts w:hint="eastAsia"/>
                <w:sz w:val="24"/>
                <w:szCs w:val="20"/>
              </w:rPr>
              <w:t>①烟气量</w:t>
            </w:r>
          </w:p>
          <w:p w14:paraId="7D9A6424">
            <w:pPr>
              <w:wordWrap w:val="0"/>
              <w:topLinePunct/>
              <w:spacing w:line="360" w:lineRule="auto"/>
              <w:ind w:firstLine="480" w:firstLineChars="200"/>
              <w:rPr>
                <w:rFonts w:ascii="Times New Roman" w:hAnsi="Times New Roman" w:eastAsia="宋体" w:cs="Times New Roman"/>
                <w:bCs/>
                <w:color w:val="FF0000"/>
                <w:sz w:val="24"/>
              </w:rPr>
            </w:pPr>
            <w:r>
              <w:rPr>
                <w:rFonts w:hint="eastAsia" w:ascii="Times New Roman" w:hAnsi="宋体" w:eastAsia="宋体" w:cs="Times New Roman"/>
                <w:bCs/>
                <w:sz w:val="24"/>
              </w:rPr>
              <w:t>参照《4430工业锅炉（热力供应）行业系数手册》燃油工业锅炉产污系数</w:t>
            </w:r>
            <w:r>
              <w:rPr>
                <w:rFonts w:ascii="Times New Roman" w:hAnsi="宋体" w:eastAsia="宋体" w:cs="Times New Roman"/>
                <w:bCs/>
                <w:sz w:val="24"/>
              </w:rPr>
              <w:t>，燃烧</w:t>
            </w:r>
            <w:r>
              <w:rPr>
                <w:rFonts w:ascii="Times New Roman" w:hAnsi="Times New Roman" w:eastAsia="宋体" w:cs="Times New Roman"/>
                <w:bCs/>
                <w:sz w:val="24"/>
              </w:rPr>
              <w:t>1</w:t>
            </w:r>
            <w:r>
              <w:rPr>
                <w:rFonts w:hint="eastAsia" w:ascii="Times New Roman" w:hAnsi="宋体" w:eastAsia="宋体" w:cs="Times New Roman"/>
                <w:bCs/>
                <w:sz w:val="24"/>
              </w:rPr>
              <w:t>t</w:t>
            </w:r>
            <w:r>
              <w:rPr>
                <w:rFonts w:hint="eastAsia" w:ascii="Times New Roman" w:hAnsi="Times New Roman" w:eastAsia="宋体" w:cs="Times New Roman"/>
                <w:bCs/>
                <w:sz w:val="24"/>
              </w:rPr>
              <w:t>柴油产生</w:t>
            </w:r>
            <w:r>
              <w:rPr>
                <w:rFonts w:hint="eastAsia" w:ascii="Times New Roman" w:hAnsi="宋体" w:eastAsia="宋体" w:cs="Times New Roman"/>
                <w:bCs/>
                <w:sz w:val="24"/>
              </w:rPr>
              <w:t>17804</w:t>
            </w:r>
            <w:r>
              <w:rPr>
                <w:rFonts w:hint="eastAsia" w:ascii="Times New Roman" w:hAnsi="Times New Roman" w:eastAsia="宋体" w:cs="Times New Roman"/>
                <w:bCs/>
                <w:sz w:val="24"/>
              </w:rPr>
              <w:t>m</w:t>
            </w:r>
            <w:r>
              <w:rPr>
                <w:rFonts w:hint="eastAsia" w:ascii="Times New Roman" w:hAnsi="Times New Roman" w:eastAsia="宋体" w:cs="Times New Roman"/>
                <w:bCs/>
                <w:sz w:val="24"/>
                <w:vertAlign w:val="superscript"/>
              </w:rPr>
              <w:t>3</w:t>
            </w:r>
            <w:r>
              <w:rPr>
                <w:rFonts w:ascii="Times New Roman" w:hAnsi="宋体" w:eastAsia="宋体" w:cs="Times New Roman"/>
                <w:bCs/>
                <w:sz w:val="24"/>
              </w:rPr>
              <w:t>的</w:t>
            </w:r>
            <w:r>
              <w:rPr>
                <w:rFonts w:hint="eastAsia" w:ascii="Times New Roman" w:hAnsi="宋体" w:eastAsia="宋体" w:cs="Times New Roman"/>
                <w:bCs/>
                <w:sz w:val="24"/>
              </w:rPr>
              <w:t>烟气</w:t>
            </w:r>
            <w:r>
              <w:rPr>
                <w:rFonts w:ascii="Times New Roman" w:hAnsi="宋体" w:eastAsia="宋体" w:cs="Times New Roman"/>
                <w:bCs/>
                <w:sz w:val="24"/>
              </w:rPr>
              <w:t>。</w:t>
            </w:r>
            <w:r>
              <w:rPr>
                <w:rFonts w:hint="eastAsia" w:ascii="Times New Roman" w:hAnsi="宋体" w:eastAsia="宋体" w:cs="Times New Roman"/>
                <w:bCs/>
                <w:sz w:val="24"/>
              </w:rPr>
              <w:t>本工序轻质柴油年用量为150t，烘干滚筒年运行时间1440h，则烟气量</w:t>
            </w:r>
            <w:r>
              <w:rPr>
                <w:rFonts w:ascii="Times New Roman" w:hAnsi="宋体" w:eastAsia="宋体" w:cs="Times New Roman"/>
                <w:bCs/>
                <w:sz w:val="24"/>
              </w:rPr>
              <w:t>为</w:t>
            </w:r>
            <w:r>
              <w:rPr>
                <w:rFonts w:hint="eastAsia" w:ascii="Times New Roman" w:hAnsi="宋体" w:eastAsia="宋体" w:cs="Times New Roman"/>
                <w:bCs/>
                <w:sz w:val="24"/>
              </w:rPr>
              <w:t>2670600</w:t>
            </w:r>
            <w:r>
              <w:rPr>
                <w:rFonts w:ascii="Times New Roman" w:hAnsi="Times New Roman" w:eastAsia="宋体" w:cs="Times New Roman"/>
                <w:bCs/>
                <w:sz w:val="24"/>
              </w:rPr>
              <w:t>m</w:t>
            </w:r>
            <w:r>
              <w:rPr>
                <w:rFonts w:ascii="Times New Roman" w:hAnsi="Times New Roman" w:eastAsia="宋体" w:cs="Times New Roman"/>
                <w:bCs/>
                <w:sz w:val="24"/>
                <w:vertAlign w:val="superscript"/>
              </w:rPr>
              <w:t>3</w:t>
            </w:r>
            <w:r>
              <w:rPr>
                <w:rFonts w:hint="eastAsia" w:ascii="Times New Roman" w:hAnsi="Times New Roman" w:eastAsia="宋体" w:cs="Times New Roman"/>
                <w:bCs/>
                <w:sz w:val="24"/>
              </w:rPr>
              <w:t>。</w:t>
            </w:r>
          </w:p>
          <w:p w14:paraId="2700B2EA">
            <w:pPr>
              <w:wordWrap w:val="0"/>
              <w:topLinePunct/>
              <w:spacing w:line="360" w:lineRule="auto"/>
              <w:ind w:firstLine="480" w:firstLineChars="200"/>
              <w:rPr>
                <w:sz w:val="24"/>
                <w:szCs w:val="20"/>
              </w:rPr>
            </w:pPr>
            <w:r>
              <w:rPr>
                <w:rFonts w:hint="eastAsia"/>
                <w:sz w:val="24"/>
                <w:szCs w:val="20"/>
              </w:rPr>
              <w:t>②污染物产生量</w:t>
            </w:r>
          </w:p>
          <w:p w14:paraId="60DC7BF8">
            <w:pPr>
              <w:wordWrap w:val="0"/>
              <w:topLinePunct/>
              <w:spacing w:line="360" w:lineRule="auto"/>
              <w:ind w:firstLine="482" w:firstLineChars="200"/>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宋体" w:eastAsia="宋体" w:cs="Times New Roman"/>
                <w:b/>
                <w:bCs/>
                <w:sz w:val="24"/>
              </w:rPr>
              <w:t>颗粒物</w:t>
            </w:r>
            <w:r>
              <w:rPr>
                <w:rFonts w:ascii="Times New Roman" w:hAnsi="宋体" w:eastAsia="宋体" w:cs="Times New Roman"/>
                <w:b/>
                <w:bCs/>
                <w:sz w:val="24"/>
              </w:rPr>
              <w:t>：</w:t>
            </w:r>
            <w:r>
              <w:rPr>
                <w:rFonts w:hint="eastAsia" w:ascii="Times New Roman" w:hAnsi="宋体" w:eastAsia="宋体" w:cs="Times New Roman"/>
                <w:bCs/>
                <w:sz w:val="24"/>
              </w:rPr>
              <w:t>参照《4430工业锅炉（热力供应）行业系数手册》燃油工业锅炉产污系数</w:t>
            </w:r>
            <w:r>
              <w:rPr>
                <w:rFonts w:ascii="Times New Roman" w:hAnsi="宋体" w:eastAsia="宋体" w:cs="Times New Roman"/>
                <w:sz w:val="24"/>
              </w:rPr>
              <w:t>，</w:t>
            </w:r>
            <w:r>
              <w:rPr>
                <w:rFonts w:ascii="Times New Roman" w:hAnsi="宋体" w:eastAsia="宋体" w:cs="Times New Roman"/>
                <w:bCs/>
                <w:sz w:val="24"/>
              </w:rPr>
              <w:t>燃烧</w:t>
            </w:r>
            <w:r>
              <w:rPr>
                <w:rFonts w:ascii="Times New Roman" w:hAnsi="Times New Roman" w:eastAsia="宋体" w:cs="Times New Roman"/>
                <w:bCs/>
                <w:sz w:val="24"/>
              </w:rPr>
              <w:t>1</w:t>
            </w:r>
            <w:r>
              <w:rPr>
                <w:rFonts w:hint="eastAsia" w:ascii="Times New Roman" w:hAnsi="宋体" w:eastAsia="宋体" w:cs="Times New Roman"/>
                <w:bCs/>
                <w:sz w:val="24"/>
              </w:rPr>
              <w:t>t柴油产生</w:t>
            </w:r>
            <w:r>
              <w:rPr>
                <w:rFonts w:hint="eastAsia" w:ascii="Times New Roman" w:hAnsi="Times New Roman" w:eastAsia="宋体" w:cs="Times New Roman"/>
                <w:bCs/>
                <w:sz w:val="24"/>
              </w:rPr>
              <w:t>0.26</w:t>
            </w:r>
            <w:r>
              <w:rPr>
                <w:rFonts w:ascii="Times New Roman" w:hAnsi="Times New Roman" w:eastAsia="宋体" w:cs="Times New Roman"/>
                <w:bCs/>
                <w:sz w:val="24"/>
              </w:rPr>
              <w:t>kg</w:t>
            </w:r>
            <w:r>
              <w:rPr>
                <w:rFonts w:ascii="Times New Roman" w:hAnsi="宋体" w:eastAsia="宋体" w:cs="Times New Roman"/>
                <w:bCs/>
                <w:sz w:val="24"/>
              </w:rPr>
              <w:t>的</w:t>
            </w:r>
            <w:r>
              <w:rPr>
                <w:rFonts w:hint="eastAsia" w:ascii="Times New Roman" w:hAnsi="宋体" w:eastAsia="宋体" w:cs="Times New Roman"/>
                <w:bCs/>
                <w:sz w:val="24"/>
              </w:rPr>
              <w:t>颗粒物，本工序轻质柴油年用量为150t，烘干滚筒年运行时间1440h，则颗粒物</w:t>
            </w:r>
            <w:r>
              <w:rPr>
                <w:rFonts w:ascii="Times New Roman" w:hAnsi="宋体" w:eastAsia="宋体" w:cs="Times New Roman"/>
                <w:bCs/>
                <w:sz w:val="24"/>
              </w:rPr>
              <w:t>的</w:t>
            </w:r>
            <w:r>
              <w:rPr>
                <w:rFonts w:hint="eastAsia" w:ascii="Times New Roman" w:hAnsi="宋体" w:eastAsia="宋体" w:cs="Times New Roman"/>
                <w:bCs/>
                <w:sz w:val="24"/>
              </w:rPr>
              <w:t>产生</w:t>
            </w:r>
            <w:r>
              <w:rPr>
                <w:rFonts w:ascii="Times New Roman" w:hAnsi="宋体" w:eastAsia="宋体" w:cs="Times New Roman"/>
                <w:bCs/>
                <w:sz w:val="24"/>
              </w:rPr>
              <w:t>浓度为</w:t>
            </w:r>
            <w:r>
              <w:rPr>
                <w:rFonts w:hint="eastAsia" w:ascii="Times New Roman" w:hAnsi="宋体" w:eastAsia="宋体" w:cs="Times New Roman"/>
                <w:bCs/>
                <w:sz w:val="24"/>
              </w:rPr>
              <w:t>14.6</w:t>
            </w:r>
            <w:r>
              <w:rPr>
                <w:rFonts w:ascii="Times New Roman" w:hAnsi="Times New Roman" w:eastAsia="宋体" w:cs="Times New Roman"/>
                <w:bCs/>
                <w:sz w:val="24"/>
              </w:rPr>
              <w:t>mg/m</w:t>
            </w:r>
            <w:r>
              <w:rPr>
                <w:rFonts w:ascii="Times New Roman" w:hAnsi="Times New Roman" w:eastAsia="宋体" w:cs="Times New Roman"/>
                <w:bCs/>
                <w:sz w:val="24"/>
                <w:vertAlign w:val="superscript"/>
              </w:rPr>
              <w:t>3</w:t>
            </w:r>
            <w:r>
              <w:rPr>
                <w:rFonts w:ascii="Times New Roman" w:hAnsi="宋体" w:eastAsia="宋体" w:cs="Times New Roman"/>
                <w:bCs/>
                <w:sz w:val="24"/>
              </w:rPr>
              <w:t>，</w:t>
            </w:r>
            <w:r>
              <w:rPr>
                <w:rFonts w:hint="eastAsia" w:ascii="Times New Roman" w:hAnsi="宋体" w:eastAsia="宋体" w:cs="Times New Roman"/>
                <w:bCs/>
                <w:sz w:val="24"/>
              </w:rPr>
              <w:t>产生</w:t>
            </w:r>
            <w:r>
              <w:rPr>
                <w:rFonts w:ascii="Times New Roman" w:hAnsi="宋体" w:eastAsia="宋体" w:cs="Times New Roman"/>
                <w:bCs/>
                <w:sz w:val="24"/>
              </w:rPr>
              <w:t>速率为</w:t>
            </w:r>
            <w:r>
              <w:rPr>
                <w:rFonts w:hint="eastAsia" w:ascii="Times New Roman" w:hAnsi="宋体" w:eastAsia="宋体" w:cs="Times New Roman"/>
                <w:bCs/>
                <w:sz w:val="24"/>
              </w:rPr>
              <w:t>0.027</w:t>
            </w:r>
            <w:r>
              <w:rPr>
                <w:rFonts w:ascii="Times New Roman" w:hAnsi="Times New Roman" w:eastAsia="宋体" w:cs="Times New Roman"/>
                <w:bCs/>
                <w:sz w:val="24"/>
              </w:rPr>
              <w:t>kg/h</w:t>
            </w:r>
            <w:r>
              <w:rPr>
                <w:rFonts w:ascii="Times New Roman" w:hAnsi="宋体" w:eastAsia="宋体" w:cs="Times New Roman"/>
                <w:bCs/>
                <w:sz w:val="24"/>
              </w:rPr>
              <w:t>，</w:t>
            </w:r>
            <w:r>
              <w:rPr>
                <w:rFonts w:hint="eastAsia" w:ascii="Times New Roman" w:hAnsi="宋体" w:eastAsia="宋体" w:cs="Times New Roman"/>
                <w:bCs/>
                <w:sz w:val="24"/>
              </w:rPr>
              <w:t>颗粒物产生</w:t>
            </w:r>
            <w:r>
              <w:rPr>
                <w:rFonts w:ascii="Times New Roman" w:hAnsi="宋体" w:eastAsia="宋体" w:cs="Times New Roman"/>
                <w:bCs/>
                <w:sz w:val="24"/>
              </w:rPr>
              <w:t>量为</w:t>
            </w:r>
            <w:r>
              <w:rPr>
                <w:rFonts w:hint="eastAsia" w:ascii="Times New Roman" w:hAnsi="宋体" w:eastAsia="宋体" w:cs="Times New Roman"/>
                <w:bCs/>
                <w:sz w:val="24"/>
              </w:rPr>
              <w:t>0.039</w:t>
            </w:r>
            <w:r>
              <w:rPr>
                <w:rFonts w:ascii="Times New Roman" w:hAnsi="Times New Roman" w:eastAsia="宋体" w:cs="Times New Roman"/>
                <w:bCs/>
                <w:sz w:val="24"/>
              </w:rPr>
              <w:t>t/a</w:t>
            </w:r>
            <w:r>
              <w:rPr>
                <w:rFonts w:ascii="Times New Roman" w:hAnsi="宋体" w:eastAsia="宋体" w:cs="Times New Roman"/>
                <w:bCs/>
                <w:sz w:val="24"/>
              </w:rPr>
              <w:t>。</w:t>
            </w:r>
          </w:p>
          <w:p w14:paraId="058CC572">
            <w:pPr>
              <w:wordWrap w:val="0"/>
              <w:topLinePunct/>
              <w:spacing w:line="360" w:lineRule="auto"/>
              <w:ind w:firstLine="482"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
                <w:bCs/>
                <w:sz w:val="24"/>
              </w:rPr>
              <w:t>SO</w:t>
            </w:r>
            <w:r>
              <w:rPr>
                <w:rFonts w:ascii="Times New Roman" w:hAnsi="Times New Roman" w:eastAsia="宋体" w:cs="Times New Roman"/>
                <w:b/>
                <w:bCs/>
                <w:sz w:val="24"/>
                <w:vertAlign w:val="subscript"/>
              </w:rPr>
              <w:t>2</w:t>
            </w:r>
            <w:r>
              <w:rPr>
                <w:rFonts w:ascii="Times New Roman" w:hAnsi="宋体" w:eastAsia="宋体" w:cs="Times New Roman"/>
                <w:b/>
                <w:bCs/>
                <w:sz w:val="24"/>
              </w:rPr>
              <w:t>：</w:t>
            </w:r>
            <w:r>
              <w:rPr>
                <w:rFonts w:hint="eastAsia" w:ascii="Times New Roman" w:hAnsi="宋体" w:eastAsia="宋体" w:cs="Times New Roman"/>
                <w:bCs/>
                <w:sz w:val="24"/>
              </w:rPr>
              <w:t>参照《4430工业锅炉（热力供应）行业系数手册》燃油工业锅炉产污系数</w:t>
            </w:r>
            <w:r>
              <w:rPr>
                <w:rFonts w:ascii="Times New Roman" w:hAnsi="宋体" w:eastAsia="宋体" w:cs="Times New Roman"/>
                <w:bCs/>
                <w:sz w:val="24"/>
              </w:rPr>
              <w:t>，燃烧</w:t>
            </w:r>
            <w:r>
              <w:rPr>
                <w:rFonts w:ascii="Times New Roman" w:hAnsi="Times New Roman" w:eastAsia="宋体" w:cs="Times New Roman"/>
                <w:bCs/>
                <w:sz w:val="24"/>
              </w:rPr>
              <w:t>1</w:t>
            </w:r>
            <w:r>
              <w:rPr>
                <w:rFonts w:hint="eastAsia" w:ascii="Times New Roman" w:hAnsi="宋体" w:eastAsia="宋体" w:cs="Times New Roman"/>
                <w:bCs/>
                <w:sz w:val="24"/>
              </w:rPr>
              <w:t>t柴油产生</w:t>
            </w:r>
            <w:r>
              <w:rPr>
                <w:rFonts w:hint="eastAsia" w:ascii="Times New Roman" w:hAnsi="Times New Roman" w:eastAsia="宋体" w:cs="Times New Roman"/>
                <w:bCs/>
                <w:sz w:val="24"/>
              </w:rPr>
              <w:t>19</w:t>
            </w:r>
            <w:r>
              <w:rPr>
                <w:rFonts w:ascii="Times New Roman" w:hAnsi="Times New Roman" w:eastAsia="宋体" w:cs="Times New Roman"/>
                <w:bCs/>
                <w:sz w:val="24"/>
              </w:rPr>
              <w:t>S kg</w:t>
            </w:r>
            <w:r>
              <w:rPr>
                <w:rFonts w:ascii="Times New Roman" w:hAnsi="宋体" w:eastAsia="宋体" w:cs="Times New Roman"/>
                <w:bCs/>
                <w:sz w:val="24"/>
              </w:rPr>
              <w:t>的</w:t>
            </w:r>
            <w:r>
              <w:rPr>
                <w:rFonts w:ascii="Times New Roman" w:hAnsi="Times New Roman" w:eastAsia="宋体" w:cs="Times New Roman"/>
                <w:sz w:val="24"/>
              </w:rPr>
              <w:t>SO</w:t>
            </w:r>
            <w:r>
              <w:rPr>
                <w:rFonts w:ascii="Times New Roman" w:hAnsi="Times New Roman" w:eastAsia="宋体" w:cs="Times New Roman"/>
                <w:sz w:val="24"/>
                <w:vertAlign w:val="subscript"/>
              </w:rPr>
              <w:t>2</w:t>
            </w:r>
            <w:r>
              <w:rPr>
                <w:rFonts w:hint="eastAsia" w:ascii="Times New Roman" w:hAnsi="宋体" w:eastAsia="宋体" w:cs="Times New Roman"/>
                <w:bCs/>
                <w:sz w:val="24"/>
              </w:rPr>
              <w:t>，本工序轻质柴油年用量为150t，烘干滚筒年运行时间1440h，</w:t>
            </w:r>
            <w:r>
              <w:rPr>
                <w:rFonts w:hint="eastAsia" w:ascii="Times New Roman" w:hAnsi="宋体" w:eastAsia="宋体" w:cs="Times New Roman"/>
                <w:bCs/>
                <w:color w:val="000000" w:themeColor="text1"/>
                <w:sz w:val="24"/>
                <w14:textFill>
                  <w14:solidFill>
                    <w14:schemeClr w14:val="tx1"/>
                  </w14:solidFill>
                </w14:textFill>
              </w:rPr>
              <w:t>则</w:t>
            </w:r>
            <w:r>
              <w:rPr>
                <w:rFonts w:ascii="Times New Roman" w:hAnsi="Times New Roman" w:eastAsia="宋体" w:cs="Times New Roman"/>
                <w:sz w:val="24"/>
              </w:rPr>
              <w:t>SO</w:t>
            </w:r>
            <w:r>
              <w:rPr>
                <w:rFonts w:ascii="Times New Roman" w:hAnsi="Times New Roman" w:eastAsia="宋体" w:cs="Times New Roman"/>
                <w:sz w:val="24"/>
                <w:vertAlign w:val="subscript"/>
              </w:rPr>
              <w:t>2</w:t>
            </w:r>
            <w:r>
              <w:rPr>
                <w:rFonts w:ascii="Times New Roman" w:hAnsi="宋体" w:eastAsia="宋体" w:cs="Times New Roman"/>
                <w:bCs/>
                <w:color w:val="000000" w:themeColor="text1"/>
                <w:sz w:val="24"/>
                <w14:textFill>
                  <w14:solidFill>
                    <w14:schemeClr w14:val="tx1"/>
                  </w14:solidFill>
                </w14:textFill>
              </w:rPr>
              <w:t>的</w:t>
            </w:r>
            <w:r>
              <w:rPr>
                <w:rFonts w:hint="eastAsia" w:ascii="Times New Roman" w:hAnsi="宋体" w:eastAsia="宋体" w:cs="Times New Roman"/>
                <w:bCs/>
                <w:color w:val="000000" w:themeColor="text1"/>
                <w:sz w:val="24"/>
                <w14:textFill>
                  <w14:solidFill>
                    <w14:schemeClr w14:val="tx1"/>
                  </w14:solidFill>
                </w14:textFill>
              </w:rPr>
              <w:t>产生</w:t>
            </w:r>
            <w:r>
              <w:rPr>
                <w:rFonts w:ascii="Times New Roman" w:hAnsi="宋体" w:eastAsia="宋体" w:cs="Times New Roman"/>
                <w:bCs/>
                <w:color w:val="000000" w:themeColor="text1"/>
                <w:sz w:val="24"/>
                <w14:textFill>
                  <w14:solidFill>
                    <w14:schemeClr w14:val="tx1"/>
                  </w14:solidFill>
                </w14:textFill>
              </w:rPr>
              <w:t>浓度为</w:t>
            </w:r>
            <w:r>
              <w:rPr>
                <w:rFonts w:hint="eastAsia" w:ascii="Times New Roman" w:hAnsi="宋体" w:eastAsia="宋体" w:cs="Times New Roman"/>
                <w:bCs/>
                <w:color w:val="000000" w:themeColor="text1"/>
                <w:sz w:val="24"/>
                <w14:textFill>
                  <w14:solidFill>
                    <w14:schemeClr w14:val="tx1"/>
                  </w14:solidFill>
                </w14:textFill>
              </w:rPr>
              <w:t>1.08</w:t>
            </w:r>
            <w:r>
              <w:rPr>
                <w:rFonts w:ascii="Times New Roman" w:hAnsi="Times New Roman" w:eastAsia="宋体" w:cs="Times New Roman"/>
                <w:bCs/>
                <w:color w:val="000000" w:themeColor="text1"/>
                <w:sz w:val="24"/>
                <w14:textFill>
                  <w14:solidFill>
                    <w14:schemeClr w14:val="tx1"/>
                  </w14:solidFill>
                </w14:textFill>
              </w:rPr>
              <w:t>mg/m</w:t>
            </w:r>
            <w:r>
              <w:rPr>
                <w:rFonts w:ascii="Times New Roman" w:hAnsi="Times New Roman" w:eastAsia="宋体" w:cs="Times New Roman"/>
                <w:bCs/>
                <w:color w:val="000000" w:themeColor="text1"/>
                <w:sz w:val="24"/>
                <w:vertAlign w:val="superscript"/>
                <w14:textFill>
                  <w14:solidFill>
                    <w14:schemeClr w14:val="tx1"/>
                  </w14:solidFill>
                </w14:textFill>
              </w:rPr>
              <w:t>3</w:t>
            </w:r>
            <w:r>
              <w:rPr>
                <w:rFonts w:ascii="Times New Roman" w:hAnsi="宋体" w:eastAsia="宋体" w:cs="Times New Roman"/>
                <w:bCs/>
                <w:color w:val="000000" w:themeColor="text1"/>
                <w:sz w:val="24"/>
                <w14:textFill>
                  <w14:solidFill>
                    <w14:schemeClr w14:val="tx1"/>
                  </w14:solidFill>
                </w14:textFill>
              </w:rPr>
              <w:t>，</w:t>
            </w:r>
            <w:r>
              <w:rPr>
                <w:rFonts w:hint="eastAsia" w:ascii="Times New Roman" w:hAnsi="宋体" w:eastAsia="宋体" w:cs="Times New Roman"/>
                <w:bCs/>
                <w:color w:val="000000" w:themeColor="text1"/>
                <w:sz w:val="24"/>
                <w14:textFill>
                  <w14:solidFill>
                    <w14:schemeClr w14:val="tx1"/>
                  </w14:solidFill>
                </w14:textFill>
              </w:rPr>
              <w:t>产生</w:t>
            </w:r>
            <w:r>
              <w:rPr>
                <w:rFonts w:ascii="Times New Roman" w:hAnsi="宋体" w:eastAsia="宋体" w:cs="Times New Roman"/>
                <w:bCs/>
                <w:color w:val="000000" w:themeColor="text1"/>
                <w:sz w:val="24"/>
                <w14:textFill>
                  <w14:solidFill>
                    <w14:schemeClr w14:val="tx1"/>
                  </w14:solidFill>
                </w14:textFill>
              </w:rPr>
              <w:t>速率为</w:t>
            </w:r>
            <w:r>
              <w:rPr>
                <w:rFonts w:hint="eastAsia" w:ascii="Times New Roman" w:hAnsi="宋体" w:eastAsia="宋体" w:cs="Times New Roman"/>
                <w:bCs/>
                <w:color w:val="000000" w:themeColor="text1"/>
                <w:sz w:val="24"/>
                <w14:textFill>
                  <w14:solidFill>
                    <w14:schemeClr w14:val="tx1"/>
                  </w14:solidFill>
                </w14:textFill>
              </w:rPr>
              <w:t>0.002</w:t>
            </w:r>
            <w:r>
              <w:rPr>
                <w:rFonts w:ascii="Times New Roman" w:hAnsi="Times New Roman" w:eastAsia="宋体" w:cs="Times New Roman"/>
                <w:bCs/>
                <w:color w:val="000000" w:themeColor="text1"/>
                <w:sz w:val="24"/>
                <w14:textFill>
                  <w14:solidFill>
                    <w14:schemeClr w14:val="tx1"/>
                  </w14:solidFill>
                </w14:textFill>
              </w:rPr>
              <w:t>kg/h</w:t>
            </w:r>
            <w:r>
              <w:rPr>
                <w:rFonts w:ascii="Times New Roman" w:hAnsi="宋体" w:eastAsia="宋体" w:cs="Times New Roman"/>
                <w:bCs/>
                <w:color w:val="000000" w:themeColor="text1"/>
                <w:sz w:val="24"/>
                <w14:textFill>
                  <w14:solidFill>
                    <w14:schemeClr w14:val="tx1"/>
                  </w14:solidFill>
                </w14:textFill>
              </w:rPr>
              <w:t>，</w:t>
            </w:r>
            <w:r>
              <w:rPr>
                <w:rFonts w:ascii="Times New Roman" w:hAnsi="Times New Roman" w:eastAsia="宋体" w:cs="Times New Roman"/>
                <w:sz w:val="24"/>
              </w:rPr>
              <w:t>SO</w:t>
            </w:r>
            <w:r>
              <w:rPr>
                <w:rFonts w:ascii="Times New Roman" w:hAnsi="Times New Roman" w:eastAsia="宋体" w:cs="Times New Roman"/>
                <w:sz w:val="24"/>
                <w:vertAlign w:val="subscript"/>
              </w:rPr>
              <w:t>2</w:t>
            </w:r>
            <w:r>
              <w:rPr>
                <w:rFonts w:hint="eastAsia" w:ascii="Times New Roman" w:hAnsi="宋体" w:eastAsia="宋体" w:cs="Times New Roman"/>
                <w:bCs/>
                <w:color w:val="000000" w:themeColor="text1"/>
                <w:sz w:val="24"/>
                <w14:textFill>
                  <w14:solidFill>
                    <w14:schemeClr w14:val="tx1"/>
                  </w14:solidFill>
                </w14:textFill>
              </w:rPr>
              <w:t>产生</w:t>
            </w:r>
            <w:r>
              <w:rPr>
                <w:rFonts w:ascii="Times New Roman" w:hAnsi="宋体" w:eastAsia="宋体" w:cs="Times New Roman"/>
                <w:bCs/>
                <w:color w:val="000000" w:themeColor="text1"/>
                <w:sz w:val="24"/>
                <w14:textFill>
                  <w14:solidFill>
                    <w14:schemeClr w14:val="tx1"/>
                  </w14:solidFill>
                </w14:textFill>
              </w:rPr>
              <w:t>量为</w:t>
            </w:r>
            <w:r>
              <w:rPr>
                <w:rFonts w:hint="eastAsia" w:ascii="Times New Roman" w:hAnsi="宋体" w:eastAsia="宋体" w:cs="Times New Roman"/>
                <w:bCs/>
                <w:color w:val="000000" w:themeColor="text1"/>
                <w:sz w:val="24"/>
                <w14:textFill>
                  <w14:solidFill>
                    <w14:schemeClr w14:val="tx1"/>
                  </w14:solidFill>
                </w14:textFill>
              </w:rPr>
              <w:t>0.0029</w:t>
            </w:r>
            <w:r>
              <w:rPr>
                <w:rFonts w:ascii="Times New Roman" w:hAnsi="Times New Roman" w:eastAsia="宋体" w:cs="Times New Roman"/>
                <w:bCs/>
                <w:color w:val="000000" w:themeColor="text1"/>
                <w:sz w:val="24"/>
                <w14:textFill>
                  <w14:solidFill>
                    <w14:schemeClr w14:val="tx1"/>
                  </w14:solidFill>
                </w14:textFill>
              </w:rPr>
              <w:t>t/a</w:t>
            </w:r>
            <w:r>
              <w:rPr>
                <w:rFonts w:ascii="Times New Roman" w:hAnsi="宋体" w:eastAsia="宋体" w:cs="Times New Roman"/>
                <w:bCs/>
                <w:color w:val="000000" w:themeColor="text1"/>
                <w:sz w:val="24"/>
                <w14:textFill>
                  <w14:solidFill>
                    <w14:schemeClr w14:val="tx1"/>
                  </w14:solidFill>
                </w14:textFill>
              </w:rPr>
              <w:t>。</w:t>
            </w:r>
          </w:p>
          <w:p w14:paraId="047F4C8E">
            <w:pPr>
              <w:wordWrap w:val="0"/>
              <w:topLinePunct/>
              <w:spacing w:line="360" w:lineRule="auto"/>
              <w:ind w:firstLine="482"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
                <w:bCs/>
                <w:sz w:val="24"/>
              </w:rPr>
              <w:t>NO</w:t>
            </w:r>
            <w:r>
              <w:rPr>
                <w:rFonts w:ascii="Times New Roman" w:hAnsi="Times New Roman" w:eastAsia="宋体" w:cs="Times New Roman"/>
                <w:b/>
                <w:bCs/>
                <w:sz w:val="24"/>
                <w:vertAlign w:val="subscript"/>
              </w:rPr>
              <w:t>x</w:t>
            </w:r>
            <w:r>
              <w:rPr>
                <w:rFonts w:ascii="Times New Roman" w:hAnsi="宋体" w:eastAsia="宋体" w:cs="Times New Roman"/>
                <w:b/>
                <w:bCs/>
                <w:sz w:val="24"/>
              </w:rPr>
              <w:t>：</w:t>
            </w:r>
            <w:r>
              <w:rPr>
                <w:rFonts w:hint="eastAsia" w:ascii="Times New Roman" w:hAnsi="宋体" w:eastAsia="宋体" w:cs="Times New Roman"/>
                <w:bCs/>
                <w:sz w:val="24"/>
              </w:rPr>
              <w:t>参照《4430工业锅炉（热力供应）行业系数手册》燃油工业锅炉产污系数</w:t>
            </w:r>
            <w:r>
              <w:rPr>
                <w:rFonts w:ascii="Times New Roman" w:hAnsi="宋体" w:eastAsia="宋体" w:cs="Times New Roman"/>
                <w:bCs/>
                <w:sz w:val="24"/>
              </w:rPr>
              <w:t>，燃烧</w:t>
            </w:r>
            <w:r>
              <w:rPr>
                <w:rFonts w:ascii="Times New Roman" w:hAnsi="Times New Roman" w:eastAsia="宋体" w:cs="Times New Roman"/>
                <w:bCs/>
                <w:sz w:val="24"/>
              </w:rPr>
              <w:t>1</w:t>
            </w:r>
            <w:r>
              <w:rPr>
                <w:rFonts w:hint="eastAsia" w:ascii="Times New Roman" w:hAnsi="宋体" w:eastAsia="宋体" w:cs="Times New Roman"/>
                <w:bCs/>
                <w:sz w:val="24"/>
              </w:rPr>
              <w:t>t柴油产生</w:t>
            </w:r>
            <w:r>
              <w:rPr>
                <w:rFonts w:hint="eastAsia" w:ascii="Times New Roman" w:hAnsi="Times New Roman" w:eastAsia="宋体" w:cs="Times New Roman"/>
                <w:bCs/>
                <w:sz w:val="24"/>
              </w:rPr>
              <w:t>3.03</w:t>
            </w:r>
            <w:r>
              <w:rPr>
                <w:rFonts w:ascii="Times New Roman" w:hAnsi="Times New Roman" w:eastAsia="宋体" w:cs="Times New Roman"/>
                <w:bCs/>
                <w:sz w:val="24"/>
              </w:rPr>
              <w:t>kg</w:t>
            </w:r>
            <w:r>
              <w:rPr>
                <w:rFonts w:ascii="Times New Roman" w:hAnsi="宋体" w:eastAsia="宋体" w:cs="Times New Roman"/>
                <w:bCs/>
                <w:sz w:val="24"/>
              </w:rPr>
              <w:t>的</w:t>
            </w:r>
            <w:r>
              <w:rPr>
                <w:rFonts w:ascii="Times New Roman" w:hAnsi="Times New Roman" w:eastAsia="宋体" w:cs="Times New Roman"/>
                <w:sz w:val="24"/>
              </w:rPr>
              <w:t>NO</w:t>
            </w:r>
            <w:r>
              <w:rPr>
                <w:rFonts w:ascii="Times New Roman" w:hAnsi="Times New Roman" w:eastAsia="宋体" w:cs="Times New Roman"/>
                <w:sz w:val="24"/>
                <w:vertAlign w:val="subscript"/>
              </w:rPr>
              <w:t>x</w:t>
            </w:r>
            <w:r>
              <w:rPr>
                <w:rFonts w:hint="eastAsia" w:ascii="Times New Roman" w:hAnsi="宋体" w:eastAsia="宋体" w:cs="Times New Roman"/>
                <w:bCs/>
                <w:sz w:val="24"/>
              </w:rPr>
              <w:t>，本工序轻质柴油年用量为150t，烘干滚筒年运行时间1440h，</w:t>
            </w:r>
            <w:r>
              <w:rPr>
                <w:rFonts w:hint="eastAsia" w:ascii="Times New Roman" w:hAnsi="宋体" w:eastAsia="宋体" w:cs="Times New Roman"/>
                <w:bCs/>
                <w:color w:val="000000" w:themeColor="text1"/>
                <w:sz w:val="24"/>
                <w14:textFill>
                  <w14:solidFill>
                    <w14:schemeClr w14:val="tx1"/>
                  </w14:solidFill>
                </w14:textFill>
              </w:rPr>
              <w:t>则</w:t>
            </w:r>
            <w:r>
              <w:rPr>
                <w:rFonts w:ascii="Times New Roman" w:hAnsi="Times New Roman" w:eastAsia="宋体" w:cs="Times New Roman"/>
                <w:sz w:val="24"/>
              </w:rPr>
              <w:t>NO</w:t>
            </w:r>
            <w:r>
              <w:rPr>
                <w:rFonts w:ascii="Times New Roman" w:hAnsi="Times New Roman" w:eastAsia="宋体" w:cs="Times New Roman"/>
                <w:sz w:val="24"/>
                <w:vertAlign w:val="subscript"/>
              </w:rPr>
              <w:t>x</w:t>
            </w:r>
            <w:r>
              <w:rPr>
                <w:rFonts w:ascii="Times New Roman" w:hAnsi="宋体" w:eastAsia="宋体" w:cs="Times New Roman"/>
                <w:bCs/>
                <w:color w:val="000000" w:themeColor="text1"/>
                <w:sz w:val="24"/>
                <w14:textFill>
                  <w14:solidFill>
                    <w14:schemeClr w14:val="tx1"/>
                  </w14:solidFill>
                </w14:textFill>
              </w:rPr>
              <w:t>的</w:t>
            </w:r>
            <w:r>
              <w:rPr>
                <w:rFonts w:hint="eastAsia" w:ascii="Times New Roman" w:hAnsi="宋体" w:eastAsia="宋体" w:cs="Times New Roman"/>
                <w:bCs/>
                <w:color w:val="000000" w:themeColor="text1"/>
                <w:sz w:val="24"/>
                <w14:textFill>
                  <w14:solidFill>
                    <w14:schemeClr w14:val="tx1"/>
                  </w14:solidFill>
                </w14:textFill>
              </w:rPr>
              <w:t>产生</w:t>
            </w:r>
            <w:r>
              <w:rPr>
                <w:rFonts w:ascii="Times New Roman" w:hAnsi="宋体" w:eastAsia="宋体" w:cs="Times New Roman"/>
                <w:bCs/>
                <w:color w:val="000000" w:themeColor="text1"/>
                <w:sz w:val="24"/>
                <w14:textFill>
                  <w14:solidFill>
                    <w14:schemeClr w14:val="tx1"/>
                  </w14:solidFill>
                </w14:textFill>
              </w:rPr>
              <w:t>浓度为</w:t>
            </w:r>
            <w:r>
              <w:rPr>
                <w:rFonts w:hint="eastAsia" w:ascii="Times New Roman" w:hAnsi="宋体" w:eastAsia="宋体" w:cs="Times New Roman"/>
                <w:bCs/>
                <w:color w:val="000000" w:themeColor="text1"/>
                <w:sz w:val="24"/>
                <w14:textFill>
                  <w14:solidFill>
                    <w14:schemeClr w14:val="tx1"/>
                  </w14:solidFill>
                </w14:textFill>
              </w:rPr>
              <w:t>169.99</w:t>
            </w:r>
            <w:r>
              <w:rPr>
                <w:rFonts w:ascii="Times New Roman" w:hAnsi="Times New Roman" w:eastAsia="宋体" w:cs="Times New Roman"/>
                <w:bCs/>
                <w:color w:val="000000" w:themeColor="text1"/>
                <w:sz w:val="24"/>
                <w14:textFill>
                  <w14:solidFill>
                    <w14:schemeClr w14:val="tx1"/>
                  </w14:solidFill>
                </w14:textFill>
              </w:rPr>
              <w:t>mg/m</w:t>
            </w:r>
            <w:r>
              <w:rPr>
                <w:rFonts w:ascii="Times New Roman" w:hAnsi="Times New Roman" w:eastAsia="宋体" w:cs="Times New Roman"/>
                <w:bCs/>
                <w:color w:val="000000" w:themeColor="text1"/>
                <w:sz w:val="24"/>
                <w:vertAlign w:val="superscript"/>
                <w14:textFill>
                  <w14:solidFill>
                    <w14:schemeClr w14:val="tx1"/>
                  </w14:solidFill>
                </w14:textFill>
              </w:rPr>
              <w:t>3</w:t>
            </w:r>
            <w:r>
              <w:rPr>
                <w:rFonts w:ascii="Times New Roman" w:hAnsi="宋体" w:eastAsia="宋体" w:cs="Times New Roman"/>
                <w:bCs/>
                <w:color w:val="000000" w:themeColor="text1"/>
                <w:sz w:val="24"/>
                <w14:textFill>
                  <w14:solidFill>
                    <w14:schemeClr w14:val="tx1"/>
                  </w14:solidFill>
                </w14:textFill>
              </w:rPr>
              <w:t>，</w:t>
            </w:r>
            <w:r>
              <w:rPr>
                <w:rFonts w:hint="eastAsia" w:ascii="Times New Roman" w:hAnsi="宋体" w:eastAsia="宋体" w:cs="Times New Roman"/>
                <w:bCs/>
                <w:color w:val="000000" w:themeColor="text1"/>
                <w:sz w:val="24"/>
                <w14:textFill>
                  <w14:solidFill>
                    <w14:schemeClr w14:val="tx1"/>
                  </w14:solidFill>
                </w14:textFill>
              </w:rPr>
              <w:t>产生</w:t>
            </w:r>
            <w:r>
              <w:rPr>
                <w:rFonts w:ascii="Times New Roman" w:hAnsi="宋体" w:eastAsia="宋体" w:cs="Times New Roman"/>
                <w:bCs/>
                <w:color w:val="000000" w:themeColor="text1"/>
                <w:sz w:val="24"/>
                <w14:textFill>
                  <w14:solidFill>
                    <w14:schemeClr w14:val="tx1"/>
                  </w14:solidFill>
                </w14:textFill>
              </w:rPr>
              <w:t>速率为</w:t>
            </w:r>
            <w:r>
              <w:rPr>
                <w:rFonts w:hint="eastAsia" w:ascii="Times New Roman" w:hAnsi="宋体" w:eastAsia="宋体" w:cs="Times New Roman"/>
                <w:bCs/>
                <w:color w:val="000000" w:themeColor="text1"/>
                <w:sz w:val="24"/>
                <w14:textFill>
                  <w14:solidFill>
                    <w14:schemeClr w14:val="tx1"/>
                  </w14:solidFill>
                </w14:textFill>
              </w:rPr>
              <w:t>0.316</w:t>
            </w:r>
            <w:r>
              <w:rPr>
                <w:rFonts w:ascii="Times New Roman" w:hAnsi="Times New Roman" w:eastAsia="宋体" w:cs="Times New Roman"/>
                <w:bCs/>
                <w:color w:val="000000" w:themeColor="text1"/>
                <w:sz w:val="24"/>
                <w14:textFill>
                  <w14:solidFill>
                    <w14:schemeClr w14:val="tx1"/>
                  </w14:solidFill>
                </w14:textFill>
              </w:rPr>
              <w:t>kg/h</w:t>
            </w:r>
            <w:r>
              <w:rPr>
                <w:rFonts w:ascii="Times New Roman" w:hAnsi="宋体" w:eastAsia="宋体" w:cs="Times New Roman"/>
                <w:bCs/>
                <w:color w:val="000000" w:themeColor="text1"/>
                <w:sz w:val="24"/>
                <w14:textFill>
                  <w14:solidFill>
                    <w14:schemeClr w14:val="tx1"/>
                  </w14:solidFill>
                </w14:textFill>
              </w:rPr>
              <w:t>，</w:t>
            </w:r>
            <w:r>
              <w:rPr>
                <w:rFonts w:ascii="Times New Roman" w:hAnsi="Times New Roman" w:eastAsia="宋体" w:cs="Times New Roman"/>
                <w:sz w:val="24"/>
              </w:rPr>
              <w:t>NO</w:t>
            </w:r>
            <w:r>
              <w:rPr>
                <w:rFonts w:ascii="Times New Roman" w:hAnsi="Times New Roman" w:eastAsia="宋体" w:cs="Times New Roman"/>
                <w:sz w:val="24"/>
                <w:vertAlign w:val="subscript"/>
              </w:rPr>
              <w:t>x</w:t>
            </w:r>
            <w:r>
              <w:rPr>
                <w:rFonts w:hint="eastAsia" w:ascii="Times New Roman" w:hAnsi="宋体" w:eastAsia="宋体" w:cs="Times New Roman"/>
                <w:bCs/>
                <w:color w:val="000000" w:themeColor="text1"/>
                <w:sz w:val="24"/>
                <w14:textFill>
                  <w14:solidFill>
                    <w14:schemeClr w14:val="tx1"/>
                  </w14:solidFill>
                </w14:textFill>
              </w:rPr>
              <w:t>产生</w:t>
            </w:r>
            <w:r>
              <w:rPr>
                <w:rFonts w:ascii="Times New Roman" w:hAnsi="宋体" w:eastAsia="宋体" w:cs="Times New Roman"/>
                <w:bCs/>
                <w:color w:val="000000" w:themeColor="text1"/>
                <w:sz w:val="24"/>
                <w14:textFill>
                  <w14:solidFill>
                    <w14:schemeClr w14:val="tx1"/>
                  </w14:solidFill>
                </w14:textFill>
              </w:rPr>
              <w:t>量为</w:t>
            </w:r>
            <w:r>
              <w:rPr>
                <w:rFonts w:hint="eastAsia" w:ascii="Times New Roman" w:hAnsi="宋体" w:eastAsia="宋体" w:cs="Times New Roman"/>
                <w:bCs/>
                <w:color w:val="000000" w:themeColor="text1"/>
                <w:sz w:val="24"/>
                <w14:textFill>
                  <w14:solidFill>
                    <w14:schemeClr w14:val="tx1"/>
                  </w14:solidFill>
                </w14:textFill>
              </w:rPr>
              <w:t>0.454</w:t>
            </w:r>
            <w:r>
              <w:rPr>
                <w:rFonts w:ascii="Times New Roman" w:hAnsi="Times New Roman" w:eastAsia="宋体" w:cs="Times New Roman"/>
                <w:bCs/>
                <w:color w:val="000000" w:themeColor="text1"/>
                <w:sz w:val="24"/>
                <w14:textFill>
                  <w14:solidFill>
                    <w14:schemeClr w14:val="tx1"/>
                  </w14:solidFill>
                </w14:textFill>
              </w:rPr>
              <w:t>t/a</w:t>
            </w:r>
            <w:r>
              <w:rPr>
                <w:rFonts w:ascii="Times New Roman" w:hAnsi="宋体" w:eastAsia="宋体" w:cs="Times New Roman"/>
                <w:bCs/>
                <w:color w:val="000000" w:themeColor="text1"/>
                <w:sz w:val="24"/>
                <w14:textFill>
                  <w14:solidFill>
                    <w14:schemeClr w14:val="tx1"/>
                  </w14:solidFill>
                </w14:textFill>
              </w:rPr>
              <w:t>。</w:t>
            </w:r>
          </w:p>
          <w:p w14:paraId="22A8A886">
            <w:pPr>
              <w:wordWrap w:val="0"/>
              <w:topLinePunct/>
              <w:spacing w:line="360" w:lineRule="auto"/>
              <w:ind w:firstLine="482" w:firstLineChars="200"/>
              <w:rPr>
                <w:rFonts w:hint="eastAsia" w:ascii="Times New Roman" w:hAnsi="宋体" w:eastAsia="宋体" w:cs="Times New Roman"/>
                <w:color w:val="000000" w:themeColor="text1"/>
                <w:sz w:val="24"/>
                <w14:textFill>
                  <w14:solidFill>
                    <w14:schemeClr w14:val="tx1"/>
                  </w14:solidFill>
                </w14:textFill>
              </w:rPr>
            </w:pPr>
            <w:r>
              <w:rPr>
                <w:rFonts w:hint="eastAsia" w:ascii="Times New Roman" w:hAnsi="宋体" w:eastAsia="宋体" w:cs="Times New Roman"/>
                <w:b/>
                <w:bCs/>
                <w:color w:val="000000" w:themeColor="text1"/>
                <w:sz w:val="24"/>
                <w14:textFill>
                  <w14:solidFill>
                    <w14:schemeClr w14:val="tx1"/>
                  </w14:solidFill>
                </w14:textFill>
              </w:rPr>
              <w:t>拟采取治理措施：</w:t>
            </w:r>
            <w:r>
              <w:rPr>
                <w:rFonts w:hint="eastAsia" w:ascii="Times New Roman" w:hAnsi="宋体" w:eastAsia="宋体" w:cs="Times New Roman"/>
                <w:color w:val="000000" w:themeColor="text1"/>
                <w:sz w:val="24"/>
                <w14:textFill>
                  <w14:solidFill>
                    <w14:schemeClr w14:val="tx1"/>
                  </w14:solidFill>
                </w14:textFill>
              </w:rPr>
              <w:t>经密闭负压引至蜗壳除尘+布袋除尘器处理后，通过一根22m高排气筒排放。</w:t>
            </w:r>
          </w:p>
          <w:p w14:paraId="3B55D45A">
            <w:pPr>
              <w:keepNext/>
              <w:keepLines/>
              <w:pageBreakBefore/>
              <w:widowControl/>
              <w:wordWrap w:val="0"/>
              <w:topLinePunct/>
              <w:spacing w:line="360" w:lineRule="auto"/>
              <w:ind w:firstLine="482" w:firstLineChars="200"/>
              <w:rPr>
                <w:rFonts w:ascii="Times New Roman" w:hAnsi="Times New Roman" w:eastAsia="宋体" w:cs="Times New Roman"/>
                <w:color w:val="000000"/>
                <w:sz w:val="24"/>
              </w:rPr>
            </w:pPr>
            <w:r>
              <w:rPr>
                <w:rFonts w:ascii="Times New Roman" w:hAnsi="Times New Roman" w:eastAsia="宋体" w:cs="Times New Roman"/>
                <w:b/>
                <w:bCs/>
                <w:color w:val="000000"/>
                <w:sz w:val="24"/>
              </w:rPr>
              <w:t>排放情况：</w:t>
            </w:r>
            <w:r>
              <w:rPr>
                <w:rFonts w:ascii="Times New Roman" w:hAnsi="Times New Roman" w:eastAsia="宋体" w:cs="Times New Roman"/>
                <w:color w:val="000000"/>
                <w:sz w:val="24"/>
              </w:rPr>
              <w:t>本项目</w:t>
            </w:r>
            <w:r>
              <w:rPr>
                <w:rFonts w:hint="eastAsia" w:ascii="Times New Roman" w:hAnsi="Times New Roman" w:eastAsia="宋体" w:cs="Times New Roman"/>
                <w:color w:val="000000"/>
                <w:sz w:val="24"/>
              </w:rPr>
              <w:t>烘干滚筒燃烧器燃油废气</w:t>
            </w:r>
            <w:r>
              <w:rPr>
                <w:rFonts w:ascii="Times New Roman" w:hAnsi="Times New Roman" w:eastAsia="宋体" w:cs="Times New Roman"/>
                <w:color w:val="000000"/>
                <w:sz w:val="24"/>
              </w:rPr>
              <w:t>产生、治理及排放情况见下表。</w:t>
            </w:r>
          </w:p>
          <w:p w14:paraId="66C058F5">
            <w:pPr>
              <w:spacing w:line="360" w:lineRule="auto"/>
              <w:jc w:val="center"/>
              <w:rPr>
                <w:rFonts w:ascii="Times New Roman" w:hAnsi="Times New Roman" w:eastAsia="宋体" w:cs="Times New Roman"/>
                <w:b/>
                <w:bCs/>
                <w:snapToGrid w:val="0"/>
                <w:color w:val="FF0000"/>
                <w:kern w:val="0"/>
                <w:sz w:val="24"/>
              </w:rPr>
            </w:pPr>
            <w:r>
              <w:rPr>
                <w:rFonts w:hint="eastAsia" w:ascii="Times New Roman" w:hAnsi="Times New Roman" w:eastAsia="宋体" w:cs="Times New Roman"/>
                <w:b/>
                <w:bCs/>
                <w:snapToGrid w:val="0"/>
                <w:color w:val="000000" w:themeColor="text1"/>
                <w:kern w:val="0"/>
                <w:sz w:val="24"/>
                <w14:textFill>
                  <w14:solidFill>
                    <w14:schemeClr w14:val="tx1"/>
                  </w14:solidFill>
                </w14:textFill>
              </w:rPr>
              <w:t xml:space="preserve">  表4-9 烘干滚筒燃烧器燃油废气产排情况一览表</w:t>
            </w:r>
          </w:p>
          <w:tbl>
            <w:tblPr>
              <w:tblStyle w:val="28"/>
              <w:tblW w:w="8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311"/>
              <w:gridCol w:w="410"/>
              <w:gridCol w:w="815"/>
              <w:gridCol w:w="602"/>
              <w:gridCol w:w="532"/>
              <w:gridCol w:w="501"/>
              <w:gridCol w:w="662"/>
              <w:gridCol w:w="1485"/>
              <w:gridCol w:w="594"/>
              <w:gridCol w:w="607"/>
              <w:gridCol w:w="677"/>
              <w:gridCol w:w="662"/>
              <w:gridCol w:w="275"/>
            </w:tblGrid>
            <w:tr w14:paraId="7CF4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9" w:hRule="atLeast"/>
                <w:jc w:val="center"/>
              </w:trPr>
              <w:tc>
                <w:tcPr>
                  <w:tcW w:w="192" w:type="pct"/>
                  <w:vMerge w:val="restart"/>
                  <w:tcBorders>
                    <w:tl2br w:val="nil"/>
                    <w:tr2bl w:val="nil"/>
                  </w:tcBorders>
                  <w:vAlign w:val="center"/>
                </w:tcPr>
                <w:p w14:paraId="7C21AE27">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序号</w:t>
                  </w:r>
                </w:p>
              </w:tc>
              <w:tc>
                <w:tcPr>
                  <w:tcW w:w="252" w:type="pct"/>
                  <w:vMerge w:val="restart"/>
                  <w:tcBorders>
                    <w:tl2br w:val="nil"/>
                    <w:tr2bl w:val="nil"/>
                  </w:tcBorders>
                  <w:vAlign w:val="center"/>
                </w:tcPr>
                <w:p w14:paraId="332317BD">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污染源</w:t>
                  </w:r>
                </w:p>
              </w:tc>
              <w:tc>
                <w:tcPr>
                  <w:tcW w:w="501" w:type="pct"/>
                  <w:vMerge w:val="restart"/>
                  <w:tcBorders>
                    <w:tl2br w:val="nil"/>
                    <w:tr2bl w:val="nil"/>
                  </w:tcBorders>
                  <w:vAlign w:val="center"/>
                </w:tcPr>
                <w:p w14:paraId="64527404">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废气量</w:t>
                  </w:r>
                  <w:r>
                    <w:rPr>
                      <w:rFonts w:ascii="Times New Roman" w:hAnsi="Times New Roman" w:eastAsia="宋体" w:cs="Times New Roman"/>
                      <w:b/>
                      <w:bCs/>
                      <w:szCs w:val="21"/>
                    </w:rPr>
                    <w:t>(m</w:t>
                  </w:r>
                  <w:r>
                    <w:rPr>
                      <w:rFonts w:ascii="Times New Roman" w:hAnsi="Times New Roman" w:eastAsia="宋体" w:cs="Times New Roman"/>
                      <w:b/>
                      <w:bCs/>
                      <w:szCs w:val="21"/>
                      <w:vertAlign w:val="superscript"/>
                    </w:rPr>
                    <w:t>3</w:t>
                  </w:r>
                  <w:r>
                    <w:rPr>
                      <w:rFonts w:ascii="Times New Roman" w:hAnsi="Times New Roman" w:eastAsia="宋体" w:cs="Times New Roman"/>
                      <w:b/>
                      <w:bCs/>
                      <w:szCs w:val="21"/>
                    </w:rPr>
                    <w:t>/</w:t>
                  </w:r>
                  <w:r>
                    <w:rPr>
                      <w:rFonts w:hint="eastAsia" w:ascii="Times New Roman" w:hAnsi="Times New Roman" w:eastAsia="宋体" w:cs="Times New Roman"/>
                      <w:b/>
                      <w:bCs/>
                      <w:szCs w:val="21"/>
                    </w:rPr>
                    <w:t>m</w:t>
                  </w:r>
                  <w:r>
                    <w:rPr>
                      <w:rFonts w:hint="eastAsia" w:ascii="Times New Roman" w:hAnsi="Times New Roman" w:eastAsia="宋体" w:cs="Times New Roman"/>
                      <w:b/>
                      <w:bCs/>
                      <w:szCs w:val="21"/>
                      <w:vertAlign w:val="superscript"/>
                    </w:rPr>
                    <w:t>3</w:t>
                  </w:r>
                  <w:r>
                    <w:rPr>
                      <w:rFonts w:ascii="Times New Roman" w:hAnsi="Times New Roman" w:eastAsia="宋体" w:cs="Times New Roman"/>
                      <w:b/>
                      <w:bCs/>
                      <w:szCs w:val="21"/>
                    </w:rPr>
                    <w:t>)</w:t>
                  </w:r>
                </w:p>
              </w:tc>
              <w:tc>
                <w:tcPr>
                  <w:tcW w:w="370" w:type="pct"/>
                  <w:vMerge w:val="restart"/>
                  <w:tcBorders>
                    <w:tl2br w:val="nil"/>
                    <w:tr2bl w:val="nil"/>
                  </w:tcBorders>
                  <w:vAlign w:val="center"/>
                </w:tcPr>
                <w:p w14:paraId="4A39ACCC">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污染因子</w:t>
                  </w:r>
                </w:p>
              </w:tc>
              <w:tc>
                <w:tcPr>
                  <w:tcW w:w="1042" w:type="pct"/>
                  <w:gridSpan w:val="3"/>
                  <w:tcBorders>
                    <w:tl2br w:val="nil"/>
                    <w:tr2bl w:val="nil"/>
                  </w:tcBorders>
                  <w:vAlign w:val="center"/>
                </w:tcPr>
                <w:p w14:paraId="21A6E4CE">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产生情况</w:t>
                  </w:r>
                </w:p>
              </w:tc>
              <w:tc>
                <w:tcPr>
                  <w:tcW w:w="913" w:type="pct"/>
                  <w:vMerge w:val="restart"/>
                  <w:tcBorders>
                    <w:tl2br w:val="nil"/>
                    <w:tr2bl w:val="nil"/>
                  </w:tcBorders>
                  <w:vAlign w:val="center"/>
                </w:tcPr>
                <w:p w14:paraId="1AA46C62">
                  <w:pPr>
                    <w:adjustRightInd w:val="0"/>
                    <w:spacing w:line="240" w:lineRule="exact"/>
                    <w:jc w:val="center"/>
                    <w:textAlignment w:val="baseline"/>
                    <w:rPr>
                      <w:rFonts w:hint="eastAsia" w:ascii="Times New Roman" w:hAnsi="宋体" w:eastAsia="宋体" w:cs="Times New Roman"/>
                      <w:b/>
                      <w:bCs/>
                      <w:szCs w:val="21"/>
                    </w:rPr>
                  </w:pPr>
                  <w:r>
                    <w:rPr>
                      <w:rFonts w:ascii="Times New Roman" w:hAnsi="宋体" w:eastAsia="宋体" w:cs="Times New Roman"/>
                      <w:b/>
                      <w:bCs/>
                      <w:szCs w:val="21"/>
                    </w:rPr>
                    <w:t>治理</w:t>
                  </w:r>
                </w:p>
                <w:p w14:paraId="30DEB243">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措施</w:t>
                  </w:r>
                </w:p>
              </w:tc>
              <w:tc>
                <w:tcPr>
                  <w:tcW w:w="1154" w:type="pct"/>
                  <w:gridSpan w:val="3"/>
                  <w:tcBorders>
                    <w:tl2br w:val="nil"/>
                    <w:tr2bl w:val="nil"/>
                  </w:tcBorders>
                  <w:vAlign w:val="center"/>
                </w:tcPr>
                <w:p w14:paraId="6A6972D4">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排放情况</w:t>
                  </w:r>
                </w:p>
              </w:tc>
              <w:tc>
                <w:tcPr>
                  <w:tcW w:w="407" w:type="pct"/>
                  <w:vMerge w:val="restart"/>
                  <w:tcBorders>
                    <w:tl2br w:val="nil"/>
                    <w:tr2bl w:val="nil"/>
                  </w:tcBorders>
                  <w:vAlign w:val="center"/>
                </w:tcPr>
                <w:p w14:paraId="6A671B96">
                  <w:pPr>
                    <w:adjustRightInd w:val="0"/>
                    <w:spacing w:line="240" w:lineRule="exact"/>
                    <w:jc w:val="center"/>
                    <w:textAlignment w:val="baseline"/>
                    <w:rPr>
                      <w:rFonts w:hint="eastAsia" w:ascii="Times New Roman" w:hAnsi="宋体" w:eastAsia="宋体" w:cs="Times New Roman"/>
                      <w:b/>
                      <w:bCs/>
                      <w:color w:val="FF0000"/>
                      <w:szCs w:val="21"/>
                    </w:rPr>
                  </w:pPr>
                  <w:r>
                    <w:rPr>
                      <w:rFonts w:ascii="Times New Roman" w:hAnsi="宋体" w:eastAsia="宋体" w:cs="Times New Roman"/>
                      <w:b/>
                      <w:bCs/>
                      <w:color w:val="FF0000"/>
                      <w:szCs w:val="21"/>
                    </w:rPr>
                    <w:t>执行</w:t>
                  </w:r>
                </w:p>
                <w:p w14:paraId="109A2AE7">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宋体" w:eastAsia="宋体" w:cs="Times New Roman"/>
                      <w:b/>
                      <w:bCs/>
                      <w:color w:val="FF0000"/>
                      <w:szCs w:val="21"/>
                    </w:rPr>
                    <w:t>标准</w:t>
                  </w:r>
                </w:p>
                <w:p w14:paraId="056C987E">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FF0000"/>
                      <w:szCs w:val="21"/>
                    </w:rPr>
                    <w:t>mg/m</w:t>
                  </w:r>
                  <w:r>
                    <w:rPr>
                      <w:rFonts w:ascii="Times New Roman" w:hAnsi="Times New Roman" w:eastAsia="宋体" w:cs="Times New Roman"/>
                      <w:b/>
                      <w:bCs/>
                      <w:color w:val="FF0000"/>
                      <w:szCs w:val="21"/>
                      <w:vertAlign w:val="superscript"/>
                    </w:rPr>
                    <w:t>3</w:t>
                  </w:r>
                </w:p>
              </w:tc>
              <w:tc>
                <w:tcPr>
                  <w:tcW w:w="165" w:type="pct"/>
                  <w:vMerge w:val="restart"/>
                  <w:tcBorders>
                    <w:tl2br w:val="nil"/>
                    <w:tr2bl w:val="nil"/>
                  </w:tcBorders>
                  <w:vAlign w:val="center"/>
                </w:tcPr>
                <w:p w14:paraId="3222D292">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达标分析</w:t>
                  </w:r>
                </w:p>
              </w:tc>
            </w:tr>
            <w:tr w14:paraId="46BD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02" w:hRule="atLeast"/>
                <w:jc w:val="center"/>
              </w:trPr>
              <w:tc>
                <w:tcPr>
                  <w:tcW w:w="192" w:type="pct"/>
                  <w:vMerge w:val="continue"/>
                  <w:tcBorders>
                    <w:tl2br w:val="nil"/>
                    <w:tr2bl w:val="nil"/>
                  </w:tcBorders>
                  <w:vAlign w:val="center"/>
                </w:tcPr>
                <w:p w14:paraId="5CF7525C">
                  <w:pPr>
                    <w:adjustRightInd w:val="0"/>
                    <w:spacing w:line="240" w:lineRule="exact"/>
                    <w:jc w:val="center"/>
                    <w:textAlignment w:val="baseline"/>
                    <w:rPr>
                      <w:rFonts w:ascii="Times New Roman" w:hAnsi="Times New Roman" w:eastAsia="宋体" w:cs="Times New Roman"/>
                      <w:szCs w:val="21"/>
                    </w:rPr>
                  </w:pPr>
                </w:p>
              </w:tc>
              <w:tc>
                <w:tcPr>
                  <w:tcW w:w="252" w:type="pct"/>
                  <w:vMerge w:val="continue"/>
                  <w:tcBorders>
                    <w:tl2br w:val="nil"/>
                    <w:tr2bl w:val="nil"/>
                  </w:tcBorders>
                  <w:vAlign w:val="center"/>
                </w:tcPr>
                <w:p w14:paraId="171F7C40">
                  <w:pPr>
                    <w:adjustRightInd w:val="0"/>
                    <w:spacing w:line="240" w:lineRule="exact"/>
                    <w:jc w:val="center"/>
                    <w:textAlignment w:val="baseline"/>
                    <w:rPr>
                      <w:rFonts w:ascii="Times New Roman" w:hAnsi="Times New Roman" w:eastAsia="宋体" w:cs="Times New Roman"/>
                      <w:szCs w:val="21"/>
                    </w:rPr>
                  </w:pPr>
                </w:p>
              </w:tc>
              <w:tc>
                <w:tcPr>
                  <w:tcW w:w="501" w:type="pct"/>
                  <w:vMerge w:val="continue"/>
                  <w:tcBorders>
                    <w:tl2br w:val="nil"/>
                    <w:tr2bl w:val="nil"/>
                  </w:tcBorders>
                  <w:vAlign w:val="center"/>
                </w:tcPr>
                <w:p w14:paraId="2DEE5B26">
                  <w:pPr>
                    <w:adjustRightInd w:val="0"/>
                    <w:spacing w:line="240" w:lineRule="exact"/>
                    <w:jc w:val="center"/>
                    <w:textAlignment w:val="baseline"/>
                    <w:rPr>
                      <w:rFonts w:ascii="Times New Roman" w:hAnsi="Times New Roman" w:eastAsia="宋体" w:cs="Times New Roman"/>
                      <w:szCs w:val="21"/>
                    </w:rPr>
                  </w:pPr>
                </w:p>
              </w:tc>
              <w:tc>
                <w:tcPr>
                  <w:tcW w:w="370" w:type="pct"/>
                  <w:vMerge w:val="continue"/>
                  <w:tcBorders>
                    <w:tl2br w:val="nil"/>
                    <w:tr2bl w:val="nil"/>
                  </w:tcBorders>
                  <w:vAlign w:val="center"/>
                </w:tcPr>
                <w:p w14:paraId="2C2B879D">
                  <w:pPr>
                    <w:adjustRightInd w:val="0"/>
                    <w:spacing w:line="240" w:lineRule="exact"/>
                    <w:jc w:val="center"/>
                    <w:textAlignment w:val="baseline"/>
                    <w:rPr>
                      <w:rFonts w:ascii="Times New Roman" w:hAnsi="Times New Roman" w:eastAsia="宋体" w:cs="Times New Roman"/>
                      <w:szCs w:val="21"/>
                    </w:rPr>
                  </w:pPr>
                </w:p>
              </w:tc>
              <w:tc>
                <w:tcPr>
                  <w:tcW w:w="327" w:type="pct"/>
                  <w:tcBorders>
                    <w:tl2br w:val="nil"/>
                    <w:tr2bl w:val="nil"/>
                  </w:tcBorders>
                  <w:vAlign w:val="center"/>
                </w:tcPr>
                <w:p w14:paraId="1CFE5E77">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产生量</w:t>
                  </w:r>
                  <w:r>
                    <w:rPr>
                      <w:rFonts w:ascii="Times New Roman" w:hAnsi="Times New Roman" w:eastAsia="宋体" w:cs="Times New Roman"/>
                      <w:b/>
                      <w:bCs/>
                      <w:szCs w:val="21"/>
                    </w:rPr>
                    <w:t>t/a</w:t>
                  </w:r>
                </w:p>
              </w:tc>
              <w:tc>
                <w:tcPr>
                  <w:tcW w:w="308" w:type="pct"/>
                  <w:tcBorders>
                    <w:tl2br w:val="nil"/>
                    <w:tr2bl w:val="nil"/>
                  </w:tcBorders>
                  <w:vAlign w:val="center"/>
                </w:tcPr>
                <w:p w14:paraId="657AB932">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速率</w:t>
                  </w:r>
                </w:p>
                <w:p w14:paraId="301F9552">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kg/h</w:t>
                  </w:r>
                </w:p>
              </w:tc>
              <w:tc>
                <w:tcPr>
                  <w:tcW w:w="407" w:type="pct"/>
                  <w:tcBorders>
                    <w:tl2br w:val="nil"/>
                    <w:tr2bl w:val="nil"/>
                  </w:tcBorders>
                  <w:vAlign w:val="center"/>
                </w:tcPr>
                <w:p w14:paraId="46B042AE">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浓度</w:t>
                  </w:r>
                </w:p>
                <w:p w14:paraId="72FAE985">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mg/m</w:t>
                  </w:r>
                  <w:r>
                    <w:rPr>
                      <w:rFonts w:ascii="Times New Roman" w:hAnsi="Times New Roman" w:eastAsia="宋体" w:cs="Times New Roman"/>
                      <w:b/>
                      <w:bCs/>
                      <w:szCs w:val="21"/>
                      <w:vertAlign w:val="superscript"/>
                    </w:rPr>
                    <w:t>3</w:t>
                  </w:r>
                </w:p>
              </w:tc>
              <w:tc>
                <w:tcPr>
                  <w:tcW w:w="913" w:type="pct"/>
                  <w:vMerge w:val="continue"/>
                  <w:tcBorders>
                    <w:tl2br w:val="nil"/>
                    <w:tr2bl w:val="nil"/>
                  </w:tcBorders>
                  <w:vAlign w:val="center"/>
                </w:tcPr>
                <w:p w14:paraId="1EDD8B21">
                  <w:pPr>
                    <w:adjustRightInd w:val="0"/>
                    <w:spacing w:line="240" w:lineRule="exact"/>
                    <w:jc w:val="center"/>
                    <w:textAlignment w:val="baseline"/>
                    <w:rPr>
                      <w:rFonts w:ascii="Times New Roman" w:hAnsi="Times New Roman" w:eastAsia="宋体" w:cs="Times New Roman"/>
                      <w:b/>
                      <w:bCs/>
                      <w:szCs w:val="21"/>
                    </w:rPr>
                  </w:pPr>
                </w:p>
              </w:tc>
              <w:tc>
                <w:tcPr>
                  <w:tcW w:w="365" w:type="pct"/>
                  <w:tcBorders>
                    <w:tl2br w:val="nil"/>
                    <w:tr2bl w:val="nil"/>
                  </w:tcBorders>
                  <w:vAlign w:val="center"/>
                </w:tcPr>
                <w:p w14:paraId="342F358C">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排放量</w:t>
                  </w:r>
                  <w:r>
                    <w:rPr>
                      <w:rFonts w:ascii="Times New Roman" w:hAnsi="Times New Roman" w:eastAsia="宋体" w:cs="Times New Roman"/>
                      <w:b/>
                      <w:bCs/>
                      <w:szCs w:val="21"/>
                    </w:rPr>
                    <w:t>t/a</w:t>
                  </w:r>
                </w:p>
              </w:tc>
              <w:tc>
                <w:tcPr>
                  <w:tcW w:w="373" w:type="pct"/>
                  <w:tcBorders>
                    <w:tl2br w:val="nil"/>
                    <w:tr2bl w:val="nil"/>
                  </w:tcBorders>
                  <w:vAlign w:val="center"/>
                </w:tcPr>
                <w:p w14:paraId="12261D6B">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速率</w:t>
                  </w:r>
                  <w:r>
                    <w:rPr>
                      <w:rFonts w:ascii="Times New Roman" w:hAnsi="Times New Roman" w:eastAsia="宋体" w:cs="Times New Roman"/>
                      <w:b/>
                      <w:bCs/>
                      <w:szCs w:val="21"/>
                    </w:rPr>
                    <w:t>kg/h</w:t>
                  </w:r>
                </w:p>
              </w:tc>
              <w:tc>
                <w:tcPr>
                  <w:tcW w:w="414" w:type="pct"/>
                  <w:tcBorders>
                    <w:tl2br w:val="nil"/>
                    <w:tr2bl w:val="nil"/>
                  </w:tcBorders>
                  <w:vAlign w:val="center"/>
                </w:tcPr>
                <w:p w14:paraId="5B435861">
                  <w:pPr>
                    <w:adjustRightInd w:val="0"/>
                    <w:spacing w:line="240" w:lineRule="exact"/>
                    <w:jc w:val="center"/>
                    <w:textAlignment w:val="baseline"/>
                    <w:rPr>
                      <w:rFonts w:ascii="Times New Roman" w:hAnsi="Times New Roman" w:eastAsia="宋体" w:cs="Times New Roman"/>
                      <w:szCs w:val="21"/>
                    </w:rPr>
                  </w:pPr>
                  <w:r>
                    <w:rPr>
                      <w:rFonts w:ascii="Times New Roman" w:hAnsi="宋体" w:eastAsia="宋体" w:cs="Times New Roman"/>
                      <w:b/>
                      <w:bCs/>
                      <w:szCs w:val="21"/>
                    </w:rPr>
                    <w:t>浓度</w:t>
                  </w:r>
                  <w:r>
                    <w:rPr>
                      <w:rFonts w:ascii="Times New Roman" w:hAnsi="Times New Roman" w:eastAsia="宋体" w:cs="Times New Roman"/>
                      <w:b/>
                      <w:bCs/>
                      <w:szCs w:val="21"/>
                    </w:rPr>
                    <w:t>mg/m</w:t>
                  </w:r>
                  <w:r>
                    <w:rPr>
                      <w:rFonts w:ascii="Times New Roman" w:hAnsi="Times New Roman" w:eastAsia="宋体" w:cs="Times New Roman"/>
                      <w:b/>
                      <w:bCs/>
                      <w:szCs w:val="21"/>
                      <w:vertAlign w:val="superscript"/>
                    </w:rPr>
                    <w:t>3</w:t>
                  </w:r>
                </w:p>
              </w:tc>
              <w:tc>
                <w:tcPr>
                  <w:tcW w:w="407" w:type="pct"/>
                  <w:vMerge w:val="continue"/>
                  <w:tcBorders>
                    <w:tl2br w:val="nil"/>
                    <w:tr2bl w:val="nil"/>
                  </w:tcBorders>
                  <w:vAlign w:val="center"/>
                </w:tcPr>
                <w:p w14:paraId="41A25828">
                  <w:pPr>
                    <w:adjustRightInd w:val="0"/>
                    <w:spacing w:line="240" w:lineRule="exact"/>
                    <w:jc w:val="center"/>
                    <w:textAlignment w:val="baseline"/>
                    <w:rPr>
                      <w:rFonts w:ascii="Times New Roman" w:hAnsi="Times New Roman" w:eastAsia="宋体" w:cs="Times New Roman"/>
                      <w:color w:val="FF0000"/>
                      <w:szCs w:val="21"/>
                    </w:rPr>
                  </w:pPr>
                </w:p>
              </w:tc>
              <w:tc>
                <w:tcPr>
                  <w:tcW w:w="165" w:type="pct"/>
                  <w:vMerge w:val="continue"/>
                  <w:tcBorders>
                    <w:tl2br w:val="nil"/>
                    <w:tr2bl w:val="nil"/>
                  </w:tcBorders>
                  <w:vAlign w:val="center"/>
                </w:tcPr>
                <w:p w14:paraId="0C1CC4FC">
                  <w:pPr>
                    <w:adjustRightInd w:val="0"/>
                    <w:spacing w:line="240" w:lineRule="exact"/>
                    <w:jc w:val="center"/>
                    <w:textAlignment w:val="baseline"/>
                    <w:rPr>
                      <w:rFonts w:ascii="Times New Roman" w:hAnsi="Times New Roman" w:eastAsia="宋体" w:cs="Times New Roman"/>
                      <w:szCs w:val="21"/>
                    </w:rPr>
                  </w:pPr>
                </w:p>
              </w:tc>
            </w:tr>
            <w:tr w14:paraId="1A85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5" w:hRule="atLeast"/>
                <w:jc w:val="center"/>
              </w:trPr>
              <w:tc>
                <w:tcPr>
                  <w:tcW w:w="192" w:type="pct"/>
                  <w:tcBorders>
                    <w:tl2br w:val="nil"/>
                    <w:tr2bl w:val="nil"/>
                  </w:tcBorders>
                  <w:vAlign w:val="center"/>
                </w:tcPr>
                <w:p w14:paraId="765C6B14">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1</w:t>
                  </w:r>
                </w:p>
              </w:tc>
              <w:tc>
                <w:tcPr>
                  <w:tcW w:w="252" w:type="pct"/>
                  <w:vMerge w:val="restart"/>
                  <w:tcBorders>
                    <w:tl2br w:val="nil"/>
                    <w:tr2bl w:val="nil"/>
                  </w:tcBorders>
                  <w:vAlign w:val="center"/>
                </w:tcPr>
                <w:p w14:paraId="5284E6A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烘干滚筒燃烧器</w:t>
                  </w:r>
                </w:p>
              </w:tc>
              <w:tc>
                <w:tcPr>
                  <w:tcW w:w="501" w:type="pct"/>
                  <w:vMerge w:val="restart"/>
                  <w:tcBorders>
                    <w:tl2br w:val="nil"/>
                    <w:tr2bl w:val="nil"/>
                  </w:tcBorders>
                  <w:vAlign w:val="center"/>
                </w:tcPr>
                <w:p w14:paraId="4F90C52B">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2670600m</w:t>
                  </w:r>
                  <w:r>
                    <w:rPr>
                      <w:rFonts w:ascii="Times New Roman" w:hAnsi="Times New Roman" w:eastAsia="宋体" w:cs="Times New Roman"/>
                      <w:szCs w:val="21"/>
                      <w:vertAlign w:val="superscript"/>
                    </w:rPr>
                    <w:t>3</w:t>
                  </w:r>
                  <w:r>
                    <w:rPr>
                      <w:rFonts w:ascii="Times New Roman" w:hAnsi="Times New Roman" w:eastAsia="宋体" w:cs="Times New Roman"/>
                      <w:szCs w:val="21"/>
                    </w:rPr>
                    <w:t>/m</w:t>
                  </w:r>
                  <w:r>
                    <w:rPr>
                      <w:rFonts w:ascii="Times New Roman" w:hAnsi="Times New Roman" w:eastAsia="宋体" w:cs="Times New Roman"/>
                      <w:szCs w:val="21"/>
                      <w:vertAlign w:val="superscript"/>
                    </w:rPr>
                    <w:t>3</w:t>
                  </w:r>
                </w:p>
              </w:tc>
              <w:tc>
                <w:tcPr>
                  <w:tcW w:w="370" w:type="pct"/>
                  <w:tcBorders>
                    <w:tl2br w:val="nil"/>
                    <w:tr2bl w:val="nil"/>
                  </w:tcBorders>
                  <w:vAlign w:val="center"/>
                </w:tcPr>
                <w:p w14:paraId="7FE8E72C">
                  <w:pPr>
                    <w:adjustRightInd w:val="0"/>
                    <w:spacing w:line="240" w:lineRule="exact"/>
                    <w:jc w:val="center"/>
                    <w:textAlignment w:val="baseline"/>
                    <w:rPr>
                      <w:rFonts w:ascii="Times New Roman" w:hAnsi="Times New Roman" w:eastAsia="宋体" w:cs="Times New Roman"/>
                      <w:szCs w:val="21"/>
                    </w:rPr>
                  </w:pPr>
                  <w:r>
                    <w:rPr>
                      <w:rFonts w:hint="eastAsia" w:ascii="Times New Roman" w:hAnsi="宋体" w:eastAsia="宋体" w:cs="Times New Roman"/>
                      <w:szCs w:val="21"/>
                    </w:rPr>
                    <w:t>颗粒物</w:t>
                  </w:r>
                </w:p>
              </w:tc>
              <w:tc>
                <w:tcPr>
                  <w:tcW w:w="327" w:type="pct"/>
                  <w:tcBorders>
                    <w:tl2br w:val="nil"/>
                    <w:tr2bl w:val="nil"/>
                  </w:tcBorders>
                  <w:vAlign w:val="center"/>
                </w:tcPr>
                <w:p w14:paraId="24F97A0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0.039</w:t>
                  </w:r>
                </w:p>
              </w:tc>
              <w:tc>
                <w:tcPr>
                  <w:tcW w:w="308" w:type="pct"/>
                  <w:tcBorders>
                    <w:tl2br w:val="nil"/>
                    <w:tr2bl w:val="nil"/>
                  </w:tcBorders>
                  <w:vAlign w:val="center"/>
                </w:tcPr>
                <w:p w14:paraId="11CBE9F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0.027</w:t>
                  </w:r>
                </w:p>
              </w:tc>
              <w:tc>
                <w:tcPr>
                  <w:tcW w:w="407" w:type="pct"/>
                  <w:tcBorders>
                    <w:tl2br w:val="nil"/>
                    <w:tr2bl w:val="nil"/>
                  </w:tcBorders>
                  <w:vAlign w:val="center"/>
                </w:tcPr>
                <w:p w14:paraId="56DB66C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14.6</w:t>
                  </w:r>
                </w:p>
              </w:tc>
              <w:tc>
                <w:tcPr>
                  <w:tcW w:w="913" w:type="pct"/>
                  <w:vMerge w:val="restart"/>
                  <w:tcBorders>
                    <w:tl2br w:val="nil"/>
                    <w:tr2bl w:val="nil"/>
                  </w:tcBorders>
                  <w:vAlign w:val="center"/>
                </w:tcPr>
                <w:p w14:paraId="3A027CB1">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cs="Times New Roman"/>
                      <w:szCs w:val="21"/>
                    </w:rPr>
                    <w:t>蜗壳除尘</w:t>
                  </w:r>
                  <w:r>
                    <w:rPr>
                      <w:rFonts w:hint="eastAsia" w:ascii="Times New Roman" w:hAnsi="Times New Roman" w:cs="Times New Roman"/>
                      <w:szCs w:val="21"/>
                    </w:rPr>
                    <w:t>+</w:t>
                  </w:r>
                  <w:r>
                    <w:rPr>
                      <w:rFonts w:ascii="Times New Roman" w:hAnsi="Times New Roman" w:cs="Times New Roman"/>
                      <w:szCs w:val="21"/>
                    </w:rPr>
                    <w:t>布袋除尘（处理效率99%，风量</w:t>
                  </w:r>
                  <w:r>
                    <w:rPr>
                      <w:rFonts w:hint="eastAsia" w:ascii="Times New Roman" w:hAnsi="Times New Roman" w:cs="Times New Roman"/>
                      <w:szCs w:val="21"/>
                    </w:rPr>
                    <w:t>45000</w:t>
                  </w:r>
                  <w:r>
                    <w:rPr>
                      <w:rFonts w:ascii="Times New Roman" w:hAnsi="Times New Roman" w:cs="Times New Roman"/>
                      <w:szCs w:val="21"/>
                    </w:rPr>
                    <w:t>m³/h）+</w:t>
                  </w:r>
                  <w:r>
                    <w:rPr>
                      <w:rFonts w:hint="eastAsia" w:ascii="Times New Roman" w:hAnsi="Times New Roman" w:cs="Times New Roman"/>
                      <w:szCs w:val="21"/>
                    </w:rPr>
                    <w:t>22</w:t>
                  </w:r>
                  <w:r>
                    <w:rPr>
                      <w:rFonts w:ascii="Times New Roman" w:hAnsi="Times New Roman" w:cs="Times New Roman"/>
                      <w:szCs w:val="21"/>
                    </w:rPr>
                    <w:t>m高排气筒（DA001）排放</w:t>
                  </w:r>
                </w:p>
              </w:tc>
              <w:tc>
                <w:tcPr>
                  <w:tcW w:w="365" w:type="pct"/>
                  <w:tcBorders>
                    <w:tl2br w:val="nil"/>
                    <w:tr2bl w:val="nil"/>
                  </w:tcBorders>
                  <w:vAlign w:val="center"/>
                </w:tcPr>
                <w:p w14:paraId="0C76661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0.00039</w:t>
                  </w:r>
                </w:p>
              </w:tc>
              <w:tc>
                <w:tcPr>
                  <w:tcW w:w="373" w:type="pct"/>
                  <w:tcBorders>
                    <w:tl2br w:val="nil"/>
                    <w:tr2bl w:val="nil"/>
                  </w:tcBorders>
                  <w:vAlign w:val="center"/>
                </w:tcPr>
                <w:p w14:paraId="35369D3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0.0003</w:t>
                  </w:r>
                </w:p>
              </w:tc>
              <w:tc>
                <w:tcPr>
                  <w:tcW w:w="414" w:type="pct"/>
                  <w:tcBorders>
                    <w:tl2br w:val="nil"/>
                    <w:tr2bl w:val="nil"/>
                  </w:tcBorders>
                  <w:vAlign w:val="center"/>
                </w:tcPr>
                <w:p w14:paraId="0B3A880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0.14</w:t>
                  </w:r>
                </w:p>
              </w:tc>
              <w:tc>
                <w:tcPr>
                  <w:tcW w:w="407" w:type="pct"/>
                  <w:tcBorders>
                    <w:tl2br w:val="nil"/>
                    <w:tr2bl w:val="nil"/>
                  </w:tcBorders>
                  <w:vAlign w:val="center"/>
                </w:tcPr>
                <w:p w14:paraId="5F8017E1">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120</w:t>
                  </w:r>
                </w:p>
              </w:tc>
              <w:tc>
                <w:tcPr>
                  <w:tcW w:w="165" w:type="pct"/>
                  <w:tcBorders>
                    <w:tl2br w:val="nil"/>
                    <w:tr2bl w:val="nil"/>
                  </w:tcBorders>
                  <w:vAlign w:val="center"/>
                </w:tcPr>
                <w:p w14:paraId="5020EF33">
                  <w:pPr>
                    <w:adjustRightInd w:val="0"/>
                    <w:spacing w:line="240" w:lineRule="exact"/>
                    <w:jc w:val="center"/>
                    <w:textAlignment w:val="baseline"/>
                    <w:rPr>
                      <w:rFonts w:ascii="Times New Roman" w:hAnsi="Times New Roman" w:eastAsia="宋体" w:cs="Times New Roman"/>
                      <w:szCs w:val="21"/>
                    </w:rPr>
                  </w:pPr>
                  <w:r>
                    <w:rPr>
                      <w:rFonts w:ascii="Times New Roman" w:hAnsi="宋体" w:eastAsia="宋体" w:cs="Times New Roman"/>
                      <w:szCs w:val="21"/>
                    </w:rPr>
                    <w:t>达标</w:t>
                  </w:r>
                </w:p>
              </w:tc>
            </w:tr>
            <w:tr w14:paraId="26A2D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5" w:hRule="atLeast"/>
                <w:jc w:val="center"/>
              </w:trPr>
              <w:tc>
                <w:tcPr>
                  <w:tcW w:w="192" w:type="pct"/>
                  <w:tcBorders>
                    <w:tl2br w:val="nil"/>
                    <w:tr2bl w:val="nil"/>
                  </w:tcBorders>
                  <w:vAlign w:val="center"/>
                </w:tcPr>
                <w:p w14:paraId="08640B41">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2</w:t>
                  </w:r>
                </w:p>
              </w:tc>
              <w:tc>
                <w:tcPr>
                  <w:tcW w:w="252" w:type="pct"/>
                  <w:vMerge w:val="continue"/>
                  <w:tcBorders>
                    <w:tl2br w:val="nil"/>
                    <w:tr2bl w:val="nil"/>
                  </w:tcBorders>
                  <w:vAlign w:val="center"/>
                </w:tcPr>
                <w:p w14:paraId="01107197">
                  <w:pPr>
                    <w:adjustRightInd w:val="0"/>
                    <w:spacing w:line="240" w:lineRule="exact"/>
                    <w:jc w:val="center"/>
                    <w:textAlignment w:val="baseline"/>
                    <w:rPr>
                      <w:rFonts w:ascii="Times New Roman" w:hAnsi="Times New Roman" w:eastAsia="宋体" w:cs="Times New Roman"/>
                      <w:szCs w:val="21"/>
                    </w:rPr>
                  </w:pPr>
                </w:p>
              </w:tc>
              <w:tc>
                <w:tcPr>
                  <w:tcW w:w="501" w:type="pct"/>
                  <w:vMerge w:val="continue"/>
                  <w:tcBorders>
                    <w:tl2br w:val="nil"/>
                    <w:tr2bl w:val="nil"/>
                  </w:tcBorders>
                  <w:vAlign w:val="center"/>
                </w:tcPr>
                <w:p w14:paraId="6EE27170">
                  <w:pPr>
                    <w:adjustRightInd w:val="0"/>
                    <w:spacing w:line="240" w:lineRule="exact"/>
                    <w:jc w:val="center"/>
                    <w:textAlignment w:val="baseline"/>
                    <w:rPr>
                      <w:rFonts w:ascii="Times New Roman" w:hAnsi="Times New Roman" w:eastAsia="宋体" w:cs="Times New Roman"/>
                      <w:szCs w:val="21"/>
                    </w:rPr>
                  </w:pPr>
                </w:p>
              </w:tc>
              <w:tc>
                <w:tcPr>
                  <w:tcW w:w="370" w:type="pct"/>
                  <w:tcBorders>
                    <w:tl2br w:val="nil"/>
                    <w:tr2bl w:val="nil"/>
                  </w:tcBorders>
                  <w:vAlign w:val="center"/>
                </w:tcPr>
                <w:p w14:paraId="0026CFC0">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bCs/>
                      <w:szCs w:val="21"/>
                    </w:rPr>
                    <w:t>SO</w:t>
                  </w:r>
                  <w:r>
                    <w:rPr>
                      <w:rFonts w:ascii="Times New Roman" w:hAnsi="Times New Roman" w:eastAsia="宋体" w:cs="Times New Roman"/>
                      <w:bCs/>
                      <w:szCs w:val="21"/>
                      <w:vertAlign w:val="subscript"/>
                    </w:rPr>
                    <w:t>2</w:t>
                  </w:r>
                </w:p>
              </w:tc>
              <w:tc>
                <w:tcPr>
                  <w:tcW w:w="327" w:type="pct"/>
                  <w:tcBorders>
                    <w:tl2br w:val="nil"/>
                    <w:tr2bl w:val="nil"/>
                  </w:tcBorders>
                  <w:vAlign w:val="center"/>
                </w:tcPr>
                <w:p w14:paraId="6BFCB3B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0.0029</w:t>
                  </w:r>
                </w:p>
              </w:tc>
              <w:tc>
                <w:tcPr>
                  <w:tcW w:w="308" w:type="pct"/>
                  <w:tcBorders>
                    <w:tl2br w:val="nil"/>
                    <w:tr2bl w:val="nil"/>
                  </w:tcBorders>
                  <w:vAlign w:val="center"/>
                </w:tcPr>
                <w:p w14:paraId="588771C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0.002</w:t>
                  </w:r>
                </w:p>
              </w:tc>
              <w:tc>
                <w:tcPr>
                  <w:tcW w:w="407" w:type="pct"/>
                  <w:tcBorders>
                    <w:tl2br w:val="nil"/>
                    <w:tr2bl w:val="nil"/>
                  </w:tcBorders>
                  <w:vAlign w:val="center"/>
                </w:tcPr>
                <w:p w14:paraId="5F2603D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1.08</w:t>
                  </w:r>
                </w:p>
              </w:tc>
              <w:tc>
                <w:tcPr>
                  <w:tcW w:w="913" w:type="pct"/>
                  <w:vMerge w:val="continue"/>
                  <w:tcBorders>
                    <w:tl2br w:val="nil"/>
                    <w:tr2bl w:val="nil"/>
                  </w:tcBorders>
                  <w:vAlign w:val="center"/>
                </w:tcPr>
                <w:p w14:paraId="506F242E">
                  <w:pPr>
                    <w:adjustRightInd w:val="0"/>
                    <w:spacing w:line="240" w:lineRule="exact"/>
                    <w:jc w:val="center"/>
                    <w:textAlignment w:val="baseline"/>
                    <w:rPr>
                      <w:rFonts w:ascii="Times New Roman" w:hAnsi="Times New Roman" w:eastAsia="宋体" w:cs="Times New Roman"/>
                      <w:szCs w:val="21"/>
                    </w:rPr>
                  </w:pPr>
                </w:p>
              </w:tc>
              <w:tc>
                <w:tcPr>
                  <w:tcW w:w="365" w:type="pct"/>
                  <w:tcBorders>
                    <w:tl2br w:val="nil"/>
                    <w:tr2bl w:val="nil"/>
                  </w:tcBorders>
                  <w:vAlign w:val="center"/>
                </w:tcPr>
                <w:p w14:paraId="52CBCBF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0.0029</w:t>
                  </w:r>
                </w:p>
              </w:tc>
              <w:tc>
                <w:tcPr>
                  <w:tcW w:w="373" w:type="pct"/>
                  <w:tcBorders>
                    <w:tl2br w:val="nil"/>
                    <w:tr2bl w:val="nil"/>
                  </w:tcBorders>
                  <w:vAlign w:val="center"/>
                </w:tcPr>
                <w:p w14:paraId="6F5C484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0.002</w:t>
                  </w:r>
                </w:p>
              </w:tc>
              <w:tc>
                <w:tcPr>
                  <w:tcW w:w="414" w:type="pct"/>
                  <w:tcBorders>
                    <w:tl2br w:val="nil"/>
                    <w:tr2bl w:val="nil"/>
                  </w:tcBorders>
                  <w:vAlign w:val="center"/>
                </w:tcPr>
                <w:p w14:paraId="424D903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1.08</w:t>
                  </w:r>
                </w:p>
              </w:tc>
              <w:tc>
                <w:tcPr>
                  <w:tcW w:w="407" w:type="pct"/>
                  <w:tcBorders>
                    <w:tl2br w:val="nil"/>
                    <w:tr2bl w:val="nil"/>
                  </w:tcBorders>
                  <w:vAlign w:val="center"/>
                </w:tcPr>
                <w:p w14:paraId="34A1EE96">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550</w:t>
                  </w:r>
                </w:p>
              </w:tc>
              <w:tc>
                <w:tcPr>
                  <w:tcW w:w="165" w:type="pct"/>
                  <w:tcBorders>
                    <w:tl2br w:val="nil"/>
                    <w:tr2bl w:val="nil"/>
                  </w:tcBorders>
                  <w:vAlign w:val="center"/>
                </w:tcPr>
                <w:p w14:paraId="434AC636">
                  <w:pPr>
                    <w:adjustRightInd w:val="0"/>
                    <w:spacing w:line="240" w:lineRule="exact"/>
                    <w:jc w:val="center"/>
                    <w:textAlignment w:val="baseline"/>
                    <w:rPr>
                      <w:rFonts w:ascii="Times New Roman" w:hAnsi="Times New Roman" w:eastAsia="宋体" w:cs="Times New Roman"/>
                      <w:szCs w:val="21"/>
                    </w:rPr>
                  </w:pPr>
                  <w:r>
                    <w:rPr>
                      <w:rFonts w:ascii="Times New Roman" w:hAnsi="宋体" w:eastAsia="宋体" w:cs="Times New Roman"/>
                      <w:szCs w:val="21"/>
                    </w:rPr>
                    <w:t>达标</w:t>
                  </w:r>
                </w:p>
              </w:tc>
            </w:tr>
            <w:tr w14:paraId="3B775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0" w:hRule="atLeast"/>
                <w:jc w:val="center"/>
              </w:trPr>
              <w:tc>
                <w:tcPr>
                  <w:tcW w:w="192" w:type="pct"/>
                  <w:tcBorders>
                    <w:tl2br w:val="nil"/>
                    <w:tr2bl w:val="nil"/>
                  </w:tcBorders>
                  <w:vAlign w:val="center"/>
                </w:tcPr>
                <w:p w14:paraId="50386AA0">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3</w:t>
                  </w:r>
                </w:p>
              </w:tc>
              <w:tc>
                <w:tcPr>
                  <w:tcW w:w="252" w:type="pct"/>
                  <w:vMerge w:val="continue"/>
                  <w:tcBorders>
                    <w:tl2br w:val="nil"/>
                    <w:tr2bl w:val="nil"/>
                  </w:tcBorders>
                  <w:vAlign w:val="center"/>
                </w:tcPr>
                <w:p w14:paraId="1F5F5C1C">
                  <w:pPr>
                    <w:adjustRightInd w:val="0"/>
                    <w:spacing w:line="240" w:lineRule="exact"/>
                    <w:jc w:val="center"/>
                    <w:textAlignment w:val="baseline"/>
                    <w:rPr>
                      <w:rFonts w:ascii="Times New Roman" w:hAnsi="Times New Roman" w:eastAsia="宋体" w:cs="Times New Roman"/>
                      <w:szCs w:val="21"/>
                    </w:rPr>
                  </w:pPr>
                </w:p>
              </w:tc>
              <w:tc>
                <w:tcPr>
                  <w:tcW w:w="501" w:type="pct"/>
                  <w:vMerge w:val="continue"/>
                  <w:tcBorders>
                    <w:tl2br w:val="nil"/>
                    <w:tr2bl w:val="nil"/>
                  </w:tcBorders>
                  <w:vAlign w:val="center"/>
                </w:tcPr>
                <w:p w14:paraId="285D6BCD">
                  <w:pPr>
                    <w:adjustRightInd w:val="0"/>
                    <w:spacing w:line="240" w:lineRule="exact"/>
                    <w:jc w:val="center"/>
                    <w:textAlignment w:val="baseline"/>
                    <w:rPr>
                      <w:rFonts w:ascii="Times New Roman" w:hAnsi="Times New Roman" w:eastAsia="宋体" w:cs="Times New Roman"/>
                      <w:szCs w:val="21"/>
                    </w:rPr>
                  </w:pPr>
                </w:p>
              </w:tc>
              <w:tc>
                <w:tcPr>
                  <w:tcW w:w="370" w:type="pct"/>
                  <w:tcBorders>
                    <w:tl2br w:val="nil"/>
                    <w:tr2bl w:val="nil"/>
                  </w:tcBorders>
                  <w:vAlign w:val="center"/>
                </w:tcPr>
                <w:p w14:paraId="22FD51D8">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bCs/>
                      <w:szCs w:val="21"/>
                    </w:rPr>
                    <w:t>NO</w:t>
                  </w:r>
                  <w:r>
                    <w:rPr>
                      <w:rFonts w:ascii="Times New Roman" w:hAnsi="Times New Roman" w:eastAsia="宋体" w:cs="Times New Roman"/>
                      <w:bCs/>
                      <w:szCs w:val="21"/>
                      <w:vertAlign w:val="subscript"/>
                    </w:rPr>
                    <w:t>x</w:t>
                  </w:r>
                </w:p>
              </w:tc>
              <w:tc>
                <w:tcPr>
                  <w:tcW w:w="327" w:type="pct"/>
                  <w:tcBorders>
                    <w:tl2br w:val="nil"/>
                    <w:tr2bl w:val="nil"/>
                  </w:tcBorders>
                  <w:vAlign w:val="center"/>
                </w:tcPr>
                <w:p w14:paraId="6B39920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0.454</w:t>
                  </w:r>
                </w:p>
              </w:tc>
              <w:tc>
                <w:tcPr>
                  <w:tcW w:w="308" w:type="pct"/>
                  <w:tcBorders>
                    <w:tl2br w:val="nil"/>
                    <w:tr2bl w:val="nil"/>
                  </w:tcBorders>
                  <w:vAlign w:val="center"/>
                </w:tcPr>
                <w:p w14:paraId="1AA4DA9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0.316</w:t>
                  </w:r>
                </w:p>
              </w:tc>
              <w:tc>
                <w:tcPr>
                  <w:tcW w:w="407" w:type="pct"/>
                  <w:tcBorders>
                    <w:tl2br w:val="nil"/>
                    <w:tr2bl w:val="nil"/>
                  </w:tcBorders>
                  <w:vAlign w:val="center"/>
                </w:tcPr>
                <w:p w14:paraId="41635D1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169.99</w:t>
                  </w:r>
                </w:p>
              </w:tc>
              <w:tc>
                <w:tcPr>
                  <w:tcW w:w="913" w:type="pct"/>
                  <w:vMerge w:val="continue"/>
                  <w:tcBorders>
                    <w:tl2br w:val="nil"/>
                    <w:tr2bl w:val="nil"/>
                  </w:tcBorders>
                  <w:vAlign w:val="center"/>
                </w:tcPr>
                <w:p w14:paraId="1BF689E8">
                  <w:pPr>
                    <w:adjustRightInd w:val="0"/>
                    <w:spacing w:line="240" w:lineRule="exact"/>
                    <w:jc w:val="center"/>
                    <w:textAlignment w:val="baseline"/>
                    <w:rPr>
                      <w:rFonts w:ascii="Times New Roman" w:hAnsi="Times New Roman" w:eastAsia="宋体" w:cs="Times New Roman"/>
                      <w:szCs w:val="21"/>
                    </w:rPr>
                  </w:pPr>
                </w:p>
              </w:tc>
              <w:tc>
                <w:tcPr>
                  <w:tcW w:w="365" w:type="pct"/>
                  <w:tcBorders>
                    <w:tl2br w:val="nil"/>
                    <w:tr2bl w:val="nil"/>
                  </w:tcBorders>
                  <w:vAlign w:val="center"/>
                </w:tcPr>
                <w:p w14:paraId="5C15414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0.454</w:t>
                  </w:r>
                </w:p>
              </w:tc>
              <w:tc>
                <w:tcPr>
                  <w:tcW w:w="373" w:type="pct"/>
                  <w:tcBorders>
                    <w:tl2br w:val="nil"/>
                    <w:tr2bl w:val="nil"/>
                  </w:tcBorders>
                  <w:vAlign w:val="center"/>
                </w:tcPr>
                <w:p w14:paraId="3675286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0.316</w:t>
                  </w:r>
                </w:p>
              </w:tc>
              <w:tc>
                <w:tcPr>
                  <w:tcW w:w="414" w:type="pct"/>
                  <w:tcBorders>
                    <w:tl2br w:val="nil"/>
                    <w:tr2bl w:val="nil"/>
                  </w:tcBorders>
                  <w:vAlign w:val="center"/>
                </w:tcPr>
                <w:p w14:paraId="479B4CA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169.99</w:t>
                  </w:r>
                </w:p>
              </w:tc>
              <w:tc>
                <w:tcPr>
                  <w:tcW w:w="407" w:type="pct"/>
                  <w:tcBorders>
                    <w:tl2br w:val="nil"/>
                    <w:tr2bl w:val="nil"/>
                  </w:tcBorders>
                  <w:vAlign w:val="center"/>
                </w:tcPr>
                <w:p w14:paraId="2BD7C78F">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240</w:t>
                  </w:r>
                </w:p>
              </w:tc>
              <w:tc>
                <w:tcPr>
                  <w:tcW w:w="165" w:type="pct"/>
                  <w:tcBorders>
                    <w:tl2br w:val="nil"/>
                    <w:tr2bl w:val="nil"/>
                  </w:tcBorders>
                  <w:vAlign w:val="center"/>
                </w:tcPr>
                <w:p w14:paraId="100F7139">
                  <w:pPr>
                    <w:adjustRightInd w:val="0"/>
                    <w:spacing w:line="240" w:lineRule="exact"/>
                    <w:jc w:val="center"/>
                    <w:textAlignment w:val="baseline"/>
                    <w:rPr>
                      <w:rFonts w:ascii="Times New Roman" w:hAnsi="Times New Roman" w:eastAsia="宋体" w:cs="Times New Roman"/>
                      <w:szCs w:val="21"/>
                    </w:rPr>
                  </w:pPr>
                  <w:r>
                    <w:rPr>
                      <w:rFonts w:ascii="Times New Roman" w:hAnsi="宋体" w:eastAsia="宋体" w:cs="Times New Roman"/>
                      <w:szCs w:val="21"/>
                    </w:rPr>
                    <w:t>达标</w:t>
                  </w:r>
                </w:p>
              </w:tc>
            </w:tr>
            <w:tr w14:paraId="001A8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6" w:hRule="atLeast"/>
                <w:jc w:val="center"/>
              </w:trPr>
              <w:tc>
                <w:tcPr>
                  <w:tcW w:w="5000" w:type="pct"/>
                  <w:gridSpan w:val="13"/>
                  <w:tcBorders>
                    <w:tl2br w:val="nil"/>
                    <w:tr2bl w:val="nil"/>
                  </w:tcBorders>
                  <w:vAlign w:val="center"/>
                </w:tcPr>
                <w:p w14:paraId="6CEAA075">
                  <w:pPr>
                    <w:adjustRightInd w:val="0"/>
                    <w:spacing w:line="240" w:lineRule="exact"/>
                    <w:textAlignment w:val="baseline"/>
                    <w:rPr>
                      <w:rFonts w:hint="eastAsia" w:ascii="Times New Roman" w:hAnsi="宋体" w:eastAsia="宋体" w:cs="Times New Roman"/>
                      <w:szCs w:val="21"/>
                    </w:rPr>
                  </w:pPr>
                  <w:r>
                    <w:rPr>
                      <w:rFonts w:hint="eastAsia" w:ascii="Times New Roman" w:hAnsi="宋体" w:eastAsia="宋体" w:cs="Times New Roman"/>
                      <w:szCs w:val="21"/>
                    </w:rPr>
                    <w:t>注：拟采用的除尘器类型及风机风量均来源于建设单位订购设备清单。</w:t>
                  </w:r>
                </w:p>
              </w:tc>
            </w:tr>
          </w:tbl>
          <w:p w14:paraId="15E1864E">
            <w:pPr>
              <w:wordWrap w:val="0"/>
              <w:topLinePunct/>
              <w:spacing w:line="360" w:lineRule="auto"/>
              <w:ind w:firstLine="480" w:firstLineChars="200"/>
              <w:rPr>
                <w:rFonts w:ascii="Times New Roman" w:hAnsi="Times New Roman" w:eastAsia="宋体" w:cs="Times New Roman"/>
                <w:color w:val="0000FF"/>
                <w:sz w:val="24"/>
              </w:rPr>
            </w:pPr>
          </w:p>
          <w:p w14:paraId="07EA1BEF">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（2）烘干、筛分、热骨料仓粉尘</w:t>
            </w:r>
          </w:p>
          <w:p w14:paraId="3B3E4725">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源强核算：</w:t>
            </w:r>
            <w:r>
              <w:rPr>
                <w:rFonts w:hint="eastAsia" w:ascii="Times New Roman" w:hAnsi="Times New Roman" w:eastAsia="宋体" w:cs="Times New Roman"/>
                <w:sz w:val="24"/>
              </w:rPr>
              <w:t>烘干、筛分及热骨料仓工序的产尘机理主要源于机械剥离与气流挟带的耦合作用。</w:t>
            </w:r>
          </w:p>
          <w:p w14:paraId="5F3C1FA0">
            <w:pPr>
              <w:pStyle w:val="4"/>
              <w:keepNext w:val="0"/>
              <w:keepLines w:val="0"/>
              <w:wordWrap w:val="0"/>
              <w:topLinePunct/>
              <w:ind w:firstLine="480"/>
              <w:rPr>
                <w:rFonts w:ascii="Times New Roman" w:hAnsi="Times New Roman" w:cs="Times New Roman"/>
                <w:b w:val="0"/>
                <w:spacing w:val="0"/>
                <w:w w:val="100"/>
                <w:szCs w:val="24"/>
              </w:rPr>
            </w:pPr>
            <w:r>
              <w:rPr>
                <w:rFonts w:hint="eastAsia" w:ascii="Times New Roman" w:hAnsi="Times New Roman" w:cs="Times New Roman"/>
                <w:b w:val="0"/>
                <w:spacing w:val="0"/>
                <w:w w:val="100"/>
                <w:szCs w:val="24"/>
              </w:rPr>
              <w:t>参照</w:t>
            </w:r>
            <w:r>
              <w:rPr>
                <w:rFonts w:ascii="Times New Roman" w:hAnsi="Times New Roman" w:cs="Times New Roman"/>
                <w:b w:val="0"/>
                <w:spacing w:val="0"/>
                <w:w w:val="100"/>
                <w:szCs w:val="24"/>
              </w:rPr>
              <w:t>《逸散性工业粉尘控制技术》</w:t>
            </w:r>
            <w:r>
              <w:rPr>
                <w:rFonts w:hint="eastAsia" w:ascii="Times New Roman" w:hAnsi="Times New Roman" w:cs="Times New Roman"/>
                <w:b w:val="0"/>
                <w:spacing w:val="0"/>
                <w:w w:val="100"/>
                <w:szCs w:val="24"/>
              </w:rPr>
              <w:t>“</w:t>
            </w:r>
            <w:r>
              <w:rPr>
                <w:rFonts w:ascii="Times New Roman" w:hAnsi="Times New Roman" w:cs="Times New Roman"/>
                <w:b w:val="0"/>
                <w:spacing w:val="0"/>
                <w:w w:val="100"/>
                <w:szCs w:val="24"/>
              </w:rPr>
              <w:t>第</w:t>
            </w:r>
            <w:r>
              <w:rPr>
                <w:rFonts w:hint="eastAsia" w:ascii="Times New Roman" w:hAnsi="Times New Roman" w:cs="Times New Roman"/>
                <w:b w:val="0"/>
                <w:spacing w:val="0"/>
                <w:w w:val="100"/>
                <w:szCs w:val="24"/>
              </w:rPr>
              <w:t>二十一章 沥青混凝土厂 表21-1，冷粒料提升粉尘产生系数为0.25kg/t-粒料”，本</w:t>
            </w:r>
            <w:r>
              <w:rPr>
                <w:rFonts w:ascii="Times New Roman" w:hAnsi="Times New Roman" w:cs="Times New Roman"/>
                <w:b w:val="0"/>
                <w:spacing w:val="0"/>
                <w:w w:val="100"/>
                <w:szCs w:val="24"/>
              </w:rPr>
              <w:t>项目</w:t>
            </w:r>
            <w:r>
              <w:rPr>
                <w:rFonts w:hint="eastAsia" w:ascii="Times New Roman" w:hAnsi="Times New Roman" w:cs="Times New Roman"/>
                <w:b w:val="0"/>
                <w:spacing w:val="0"/>
                <w:w w:val="100"/>
                <w:szCs w:val="24"/>
              </w:rPr>
              <w:t>烘干、筛分、热骨料仓物料总量为162760</w:t>
            </w:r>
            <w:r>
              <w:rPr>
                <w:rFonts w:ascii="Times New Roman" w:hAnsi="Times New Roman" w:cs="Times New Roman"/>
                <w:b w:val="0"/>
                <w:spacing w:val="0"/>
                <w:w w:val="100"/>
                <w:szCs w:val="24"/>
              </w:rPr>
              <w:t>t/a，</w:t>
            </w:r>
            <w:r>
              <w:rPr>
                <w:rFonts w:hint="eastAsia" w:ascii="Times New Roman" w:hAnsi="Times New Roman" w:cs="Times New Roman"/>
                <w:b w:val="0"/>
                <w:spacing w:val="0"/>
                <w:w w:val="100"/>
                <w:szCs w:val="24"/>
              </w:rPr>
              <w:t>则粉尘</w:t>
            </w:r>
            <w:r>
              <w:rPr>
                <w:rFonts w:ascii="Times New Roman" w:hAnsi="Times New Roman" w:cs="Times New Roman"/>
                <w:b w:val="0"/>
                <w:spacing w:val="0"/>
                <w:w w:val="100"/>
                <w:szCs w:val="24"/>
              </w:rPr>
              <w:t>产生量为</w:t>
            </w:r>
            <w:r>
              <w:rPr>
                <w:rFonts w:hint="eastAsia" w:ascii="Times New Roman" w:hAnsi="Times New Roman" w:cs="Times New Roman"/>
                <w:b w:val="0"/>
                <w:spacing w:val="0"/>
                <w:w w:val="100"/>
                <w:szCs w:val="24"/>
              </w:rPr>
              <w:t>40.69</w:t>
            </w:r>
            <w:r>
              <w:rPr>
                <w:rFonts w:ascii="Times New Roman" w:hAnsi="Times New Roman" w:cs="Times New Roman"/>
                <w:b w:val="0"/>
                <w:spacing w:val="0"/>
                <w:w w:val="100"/>
                <w:szCs w:val="24"/>
              </w:rPr>
              <w:t>t/a</w:t>
            </w:r>
            <w:r>
              <w:rPr>
                <w:rFonts w:hint="eastAsia" w:ascii="Times New Roman" w:hAnsi="Times New Roman" w:cs="Times New Roman"/>
                <w:b w:val="0"/>
                <w:spacing w:val="0"/>
                <w:w w:val="100"/>
                <w:szCs w:val="24"/>
              </w:rPr>
              <w:t>。</w:t>
            </w:r>
          </w:p>
          <w:p w14:paraId="20963097">
            <w:pPr>
              <w:pStyle w:val="4"/>
              <w:keepNext w:val="0"/>
              <w:keepLines w:val="0"/>
              <w:wordWrap w:val="0"/>
              <w:topLinePunct/>
              <w:ind w:firstLine="482"/>
              <w:rPr>
                <w:rFonts w:ascii="Times New Roman" w:hAnsi="Times New Roman" w:cs="Times New Roman"/>
                <w:b w:val="0"/>
                <w:spacing w:val="0"/>
                <w:w w:val="100"/>
                <w:szCs w:val="24"/>
              </w:rPr>
            </w:pPr>
            <w:r>
              <w:rPr>
                <w:rFonts w:hint="eastAsia" w:ascii="Times New Roman" w:hAnsi="Times New Roman" w:cs="Times New Roman"/>
                <w:bCs/>
                <w:spacing w:val="0"/>
                <w:w w:val="100"/>
                <w:szCs w:val="24"/>
              </w:rPr>
              <w:t>拟采取治理措施：</w:t>
            </w:r>
            <w:r>
              <w:rPr>
                <w:rFonts w:hint="eastAsia" w:ascii="Times New Roman" w:hAnsi="Times New Roman" w:cs="Times New Roman"/>
                <w:b w:val="0"/>
                <w:spacing w:val="0"/>
                <w:w w:val="100"/>
                <w:szCs w:val="24"/>
              </w:rPr>
              <w:t>烘干、筛分、热骨料仓粉尘经密闭负压引至蜗壳除尘+</w:t>
            </w:r>
            <w:r>
              <w:rPr>
                <w:rFonts w:ascii="Times New Roman" w:hAnsi="Times New Roman" w:cs="Times New Roman"/>
                <w:b w:val="0"/>
                <w:spacing w:val="0"/>
                <w:w w:val="100"/>
                <w:szCs w:val="24"/>
              </w:rPr>
              <w:t>布袋</w:t>
            </w:r>
            <w:r>
              <w:rPr>
                <w:rFonts w:hint="eastAsia" w:ascii="Times New Roman" w:hAnsi="Times New Roman" w:cs="Times New Roman"/>
                <w:b w:val="0"/>
                <w:spacing w:val="0"/>
                <w:w w:val="100"/>
                <w:szCs w:val="24"/>
              </w:rPr>
              <w:t>除尘器处理后经一根22</w:t>
            </w:r>
            <w:r>
              <w:rPr>
                <w:rFonts w:ascii="Times New Roman" w:hAnsi="Times New Roman" w:cs="Times New Roman"/>
                <w:b w:val="0"/>
                <w:spacing w:val="0"/>
                <w:w w:val="100"/>
                <w:szCs w:val="24"/>
              </w:rPr>
              <w:t>m高排气筒（DA001）排放，</w:t>
            </w:r>
            <w:r>
              <w:rPr>
                <w:rFonts w:hint="eastAsia" w:ascii="Times New Roman" w:hAnsi="Times New Roman" w:cs="Times New Roman"/>
                <w:b w:val="0"/>
                <w:spacing w:val="0"/>
                <w:w w:val="100"/>
                <w:szCs w:val="24"/>
              </w:rPr>
              <w:t>粉尘收集效率按照99.9%计，</w:t>
            </w:r>
            <w:r>
              <w:rPr>
                <w:rFonts w:ascii="Times New Roman" w:hAnsi="Times New Roman" w:cs="Times New Roman"/>
                <w:b w:val="0"/>
                <w:spacing w:val="0"/>
                <w:w w:val="100"/>
                <w:szCs w:val="24"/>
              </w:rPr>
              <w:t>除尘效率按照99%计。</w:t>
            </w:r>
          </w:p>
          <w:p w14:paraId="3CD2E72C">
            <w:pPr>
              <w:pStyle w:val="4"/>
              <w:keepNext w:val="0"/>
              <w:keepLines w:val="0"/>
              <w:wordWrap w:val="0"/>
              <w:topLinePunct/>
              <w:ind w:firstLine="482"/>
              <w:rPr>
                <w:rFonts w:ascii="Times New Roman" w:hAnsi="Times New Roman" w:cs="Times New Roman"/>
                <w:b w:val="0"/>
                <w:spacing w:val="0"/>
                <w:w w:val="100"/>
                <w:szCs w:val="24"/>
              </w:rPr>
            </w:pPr>
            <w:r>
              <w:rPr>
                <w:rFonts w:ascii="Times New Roman" w:hAnsi="Times New Roman" w:cs="Times New Roman"/>
                <w:bCs/>
                <w:spacing w:val="0"/>
                <w:w w:val="100"/>
                <w:szCs w:val="24"/>
              </w:rPr>
              <w:t>排放情况：</w:t>
            </w:r>
            <w:r>
              <w:rPr>
                <w:rFonts w:ascii="Times New Roman" w:hAnsi="Times New Roman" w:cs="Times New Roman"/>
                <w:b w:val="0"/>
                <w:spacing w:val="0"/>
                <w:w w:val="100"/>
                <w:szCs w:val="24"/>
              </w:rPr>
              <w:t>经计算，本项目</w:t>
            </w:r>
            <w:r>
              <w:rPr>
                <w:rFonts w:hint="eastAsia" w:ascii="Times New Roman" w:hAnsi="Times New Roman" w:cs="Times New Roman"/>
                <w:b w:val="0"/>
                <w:spacing w:val="0"/>
                <w:w w:val="100"/>
                <w:szCs w:val="24"/>
              </w:rPr>
              <w:t>烘干、筛分、热骨料仓</w:t>
            </w:r>
            <w:r>
              <w:rPr>
                <w:rFonts w:ascii="Times New Roman" w:hAnsi="Times New Roman" w:cs="Times New Roman"/>
                <w:b w:val="0"/>
                <w:spacing w:val="0"/>
                <w:w w:val="100"/>
                <w:szCs w:val="24"/>
              </w:rPr>
              <w:t>粉尘产生、治理及排放情况见下表。</w:t>
            </w:r>
          </w:p>
          <w:p w14:paraId="01FB666B">
            <w:pPr>
              <w:pStyle w:val="4"/>
              <w:keepNext w:val="0"/>
              <w:keepLines w:val="0"/>
              <w:wordWrap w:val="0"/>
              <w:topLinePunct/>
              <w:ind w:firstLine="0" w:firstLineChars="0"/>
              <w:jc w:val="center"/>
              <w:rPr>
                <w:rFonts w:ascii="Times New Roman" w:hAnsi="Times New Roman" w:cs="Times New Roman"/>
                <w:bCs/>
                <w:spacing w:val="0"/>
                <w:w w:val="100"/>
                <w:szCs w:val="24"/>
              </w:rPr>
            </w:pPr>
            <w:r>
              <w:rPr>
                <w:rFonts w:hint="eastAsia" w:ascii="Times New Roman" w:hAnsi="Times New Roman" w:cs="Times New Roman"/>
                <w:bCs/>
                <w:spacing w:val="0"/>
                <w:w w:val="100"/>
                <w:szCs w:val="24"/>
              </w:rPr>
              <w:t xml:space="preserve">   </w:t>
            </w:r>
            <w:r>
              <w:rPr>
                <w:rFonts w:ascii="Times New Roman" w:hAnsi="Times New Roman" w:cs="Times New Roman"/>
                <w:bCs/>
                <w:spacing w:val="0"/>
                <w:w w:val="100"/>
                <w:szCs w:val="24"/>
              </w:rPr>
              <w:t>表</w:t>
            </w:r>
            <w:r>
              <w:rPr>
                <w:rFonts w:hint="eastAsia" w:ascii="Times New Roman" w:hAnsi="Times New Roman" w:cs="Times New Roman"/>
                <w:bCs/>
                <w:spacing w:val="0"/>
                <w:w w:val="100"/>
                <w:szCs w:val="24"/>
              </w:rPr>
              <w:t>4-10  烘干、筛分、热骨料仓</w:t>
            </w:r>
            <w:r>
              <w:rPr>
                <w:rFonts w:ascii="Times New Roman" w:hAnsi="Times New Roman" w:cs="Times New Roman"/>
                <w:bCs/>
                <w:spacing w:val="0"/>
                <w:w w:val="100"/>
                <w:szCs w:val="24"/>
              </w:rPr>
              <w:t>粉尘产排情况一览表</w:t>
            </w:r>
          </w:p>
          <w:tbl>
            <w:tblPr>
              <w:tblStyle w:val="76"/>
              <w:tblW w:w="81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8"/>
              <w:gridCol w:w="429"/>
              <w:gridCol w:w="322"/>
              <w:gridCol w:w="571"/>
              <w:gridCol w:w="828"/>
              <w:gridCol w:w="933"/>
              <w:gridCol w:w="1427"/>
              <w:gridCol w:w="664"/>
              <w:gridCol w:w="828"/>
              <w:gridCol w:w="1016"/>
              <w:gridCol w:w="736"/>
            </w:tblGrid>
            <w:tr w14:paraId="338D2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1" w:type="pct"/>
                  <w:vMerge w:val="restart"/>
                  <w:tcBorders>
                    <w:tl2br w:val="nil"/>
                    <w:tr2bl w:val="nil"/>
                  </w:tcBorders>
                  <w:shd w:val="clear" w:color="auto" w:fill="FFFFFF"/>
                  <w:vAlign w:val="center"/>
                </w:tcPr>
                <w:p w14:paraId="2494CBC6">
                  <w:pPr>
                    <w:jc w:val="center"/>
                    <w:rPr>
                      <w:rFonts w:ascii="Times New Roman" w:hAnsi="Times New Roman" w:cs="Times New Roman"/>
                      <w:b/>
                      <w:bCs/>
                      <w:szCs w:val="21"/>
                    </w:rPr>
                  </w:pPr>
                  <w:r>
                    <w:rPr>
                      <w:rFonts w:ascii="Times New Roman" w:hAnsi="Times New Roman" w:cs="Times New Roman"/>
                      <w:b/>
                      <w:bCs/>
                      <w:szCs w:val="21"/>
                    </w:rPr>
                    <w:t>产污环节</w:t>
                  </w:r>
                </w:p>
              </w:tc>
              <w:tc>
                <w:tcPr>
                  <w:tcW w:w="262" w:type="pct"/>
                  <w:vMerge w:val="restart"/>
                  <w:tcBorders>
                    <w:tl2br w:val="nil"/>
                    <w:tr2bl w:val="nil"/>
                  </w:tcBorders>
                  <w:shd w:val="clear" w:color="auto" w:fill="FFFFFF"/>
                  <w:vAlign w:val="center"/>
                </w:tcPr>
                <w:p w14:paraId="7B5A278C">
                  <w:pPr>
                    <w:jc w:val="center"/>
                    <w:rPr>
                      <w:rFonts w:ascii="Times New Roman" w:hAnsi="Times New Roman" w:cs="Times New Roman"/>
                      <w:b/>
                      <w:bCs/>
                      <w:szCs w:val="21"/>
                    </w:rPr>
                  </w:pPr>
                  <w:r>
                    <w:rPr>
                      <w:rFonts w:ascii="Times New Roman" w:hAnsi="Times New Roman" w:cs="Times New Roman"/>
                      <w:b/>
                      <w:bCs/>
                      <w:szCs w:val="21"/>
                    </w:rPr>
                    <w:t>产污位置</w:t>
                  </w:r>
                </w:p>
              </w:tc>
              <w:tc>
                <w:tcPr>
                  <w:tcW w:w="197" w:type="pct"/>
                  <w:tcBorders>
                    <w:tl2br w:val="nil"/>
                    <w:tr2bl w:val="nil"/>
                  </w:tcBorders>
                  <w:shd w:val="clear" w:color="auto" w:fill="FFFFFF"/>
                  <w:vAlign w:val="center"/>
                </w:tcPr>
                <w:p w14:paraId="4CAC14AE">
                  <w:pPr>
                    <w:jc w:val="center"/>
                    <w:rPr>
                      <w:rFonts w:ascii="Times New Roman" w:hAnsi="Times New Roman" w:cs="Times New Roman"/>
                      <w:b/>
                      <w:bCs/>
                      <w:szCs w:val="21"/>
                    </w:rPr>
                  </w:pPr>
                </w:p>
              </w:tc>
              <w:tc>
                <w:tcPr>
                  <w:tcW w:w="1425" w:type="pct"/>
                  <w:gridSpan w:val="3"/>
                  <w:tcBorders>
                    <w:tl2br w:val="nil"/>
                    <w:tr2bl w:val="nil"/>
                  </w:tcBorders>
                  <w:shd w:val="clear" w:color="auto" w:fill="FFFFFF"/>
                  <w:vAlign w:val="center"/>
                </w:tcPr>
                <w:p w14:paraId="00A22391">
                  <w:pPr>
                    <w:jc w:val="center"/>
                    <w:rPr>
                      <w:rFonts w:ascii="Times New Roman" w:hAnsi="Times New Roman" w:cs="Times New Roman"/>
                      <w:b/>
                      <w:bCs/>
                      <w:szCs w:val="21"/>
                    </w:rPr>
                  </w:pPr>
                  <w:r>
                    <w:rPr>
                      <w:rFonts w:ascii="Times New Roman" w:hAnsi="Times New Roman" w:cs="Times New Roman"/>
                      <w:b/>
                      <w:bCs/>
                      <w:szCs w:val="21"/>
                    </w:rPr>
                    <w:t>产生情况</w:t>
                  </w:r>
                </w:p>
              </w:tc>
              <w:tc>
                <w:tcPr>
                  <w:tcW w:w="872" w:type="pct"/>
                  <w:vMerge w:val="restart"/>
                  <w:tcBorders>
                    <w:tl2br w:val="nil"/>
                    <w:tr2bl w:val="nil"/>
                  </w:tcBorders>
                  <w:shd w:val="clear" w:color="auto" w:fill="FFFFFF"/>
                  <w:vAlign w:val="center"/>
                </w:tcPr>
                <w:p w14:paraId="673B28AC">
                  <w:pPr>
                    <w:jc w:val="center"/>
                    <w:rPr>
                      <w:rFonts w:ascii="Times New Roman" w:hAnsi="Times New Roman" w:cs="Times New Roman"/>
                      <w:b/>
                      <w:bCs/>
                      <w:szCs w:val="21"/>
                    </w:rPr>
                  </w:pPr>
                  <w:r>
                    <w:rPr>
                      <w:rFonts w:ascii="Times New Roman" w:hAnsi="Times New Roman" w:cs="Times New Roman"/>
                      <w:b/>
                      <w:bCs/>
                      <w:szCs w:val="21"/>
                    </w:rPr>
                    <w:t>治理措施及效率</w:t>
                  </w:r>
                </w:p>
              </w:tc>
              <w:tc>
                <w:tcPr>
                  <w:tcW w:w="1533" w:type="pct"/>
                  <w:gridSpan w:val="3"/>
                  <w:tcBorders>
                    <w:tl2br w:val="nil"/>
                    <w:tr2bl w:val="nil"/>
                  </w:tcBorders>
                  <w:shd w:val="clear" w:color="auto" w:fill="FFFFFF"/>
                  <w:vAlign w:val="center"/>
                </w:tcPr>
                <w:p w14:paraId="639434C3">
                  <w:pPr>
                    <w:jc w:val="center"/>
                    <w:rPr>
                      <w:rFonts w:ascii="Times New Roman" w:hAnsi="Times New Roman" w:cs="Times New Roman"/>
                      <w:b/>
                      <w:bCs/>
                      <w:szCs w:val="21"/>
                    </w:rPr>
                  </w:pPr>
                  <w:r>
                    <w:rPr>
                      <w:rFonts w:ascii="Times New Roman" w:hAnsi="Times New Roman" w:cs="Times New Roman"/>
                      <w:b/>
                      <w:bCs/>
                      <w:szCs w:val="21"/>
                    </w:rPr>
                    <w:t>排放情况</w:t>
                  </w:r>
                </w:p>
              </w:tc>
              <w:tc>
                <w:tcPr>
                  <w:tcW w:w="447" w:type="pct"/>
                  <w:tcBorders>
                    <w:tl2br w:val="nil"/>
                    <w:tr2bl w:val="nil"/>
                  </w:tcBorders>
                  <w:shd w:val="clear" w:color="auto" w:fill="FFFFFF"/>
                  <w:vAlign w:val="center"/>
                </w:tcPr>
                <w:p w14:paraId="47B8FFD2">
                  <w:pPr>
                    <w:jc w:val="center"/>
                    <w:rPr>
                      <w:rFonts w:ascii="Times New Roman" w:hAnsi="Times New Roman" w:cs="Times New Roman"/>
                      <w:b/>
                      <w:bCs/>
                      <w:szCs w:val="21"/>
                    </w:rPr>
                  </w:pPr>
                  <w:r>
                    <w:rPr>
                      <w:rFonts w:ascii="Times New Roman" w:hAnsi="Times New Roman" w:cs="Times New Roman"/>
                      <w:b/>
                      <w:bCs/>
                      <w:szCs w:val="21"/>
                    </w:rPr>
                    <w:t>执行</w:t>
                  </w:r>
                </w:p>
                <w:p w14:paraId="1F3AF31B">
                  <w:pPr>
                    <w:jc w:val="center"/>
                    <w:rPr>
                      <w:rFonts w:ascii="Times New Roman" w:hAnsi="Times New Roman" w:cs="Times New Roman"/>
                      <w:b/>
                      <w:bCs/>
                      <w:szCs w:val="21"/>
                    </w:rPr>
                  </w:pPr>
                  <w:r>
                    <w:rPr>
                      <w:rFonts w:ascii="Times New Roman" w:hAnsi="Times New Roman" w:cs="Times New Roman"/>
                      <w:b/>
                      <w:bCs/>
                      <w:szCs w:val="21"/>
                    </w:rPr>
                    <w:t>标准</w:t>
                  </w:r>
                </w:p>
              </w:tc>
            </w:tr>
            <w:tr w14:paraId="00A4B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1" w:type="pct"/>
                  <w:vMerge w:val="continue"/>
                  <w:tcBorders>
                    <w:tl2br w:val="nil"/>
                    <w:tr2bl w:val="nil"/>
                  </w:tcBorders>
                  <w:shd w:val="clear" w:color="auto" w:fill="FFFFFF"/>
                  <w:vAlign w:val="center"/>
                </w:tcPr>
                <w:p w14:paraId="494A35BC">
                  <w:pPr>
                    <w:jc w:val="center"/>
                    <w:rPr>
                      <w:rFonts w:ascii="Times New Roman" w:hAnsi="Times New Roman" w:cs="Times New Roman"/>
                      <w:b/>
                      <w:bCs/>
                      <w:szCs w:val="21"/>
                    </w:rPr>
                  </w:pPr>
                </w:p>
              </w:tc>
              <w:tc>
                <w:tcPr>
                  <w:tcW w:w="262" w:type="pct"/>
                  <w:vMerge w:val="continue"/>
                  <w:tcBorders>
                    <w:tl2br w:val="nil"/>
                    <w:tr2bl w:val="nil"/>
                  </w:tcBorders>
                  <w:shd w:val="clear" w:color="auto" w:fill="FFFFFF"/>
                  <w:vAlign w:val="center"/>
                </w:tcPr>
                <w:p w14:paraId="3EFC57C5">
                  <w:pPr>
                    <w:jc w:val="center"/>
                    <w:rPr>
                      <w:rFonts w:ascii="Times New Roman" w:hAnsi="Times New Roman" w:cs="Times New Roman"/>
                      <w:b/>
                      <w:bCs/>
                      <w:szCs w:val="21"/>
                    </w:rPr>
                  </w:pPr>
                </w:p>
              </w:tc>
              <w:tc>
                <w:tcPr>
                  <w:tcW w:w="197" w:type="pct"/>
                  <w:tcBorders>
                    <w:tl2br w:val="nil"/>
                    <w:tr2bl w:val="nil"/>
                  </w:tcBorders>
                  <w:shd w:val="clear" w:color="auto" w:fill="FFFFFF"/>
                  <w:vAlign w:val="center"/>
                </w:tcPr>
                <w:p w14:paraId="71BFFEAC">
                  <w:pPr>
                    <w:jc w:val="center"/>
                    <w:rPr>
                      <w:rFonts w:ascii="Times New Roman" w:hAnsi="Times New Roman" w:cs="Times New Roman"/>
                      <w:b/>
                      <w:bCs/>
                      <w:szCs w:val="21"/>
                    </w:rPr>
                  </w:pPr>
                  <w:r>
                    <w:rPr>
                      <w:rFonts w:ascii="Times New Roman" w:hAnsi="Times New Roman" w:cs="Times New Roman"/>
                      <w:b/>
                      <w:bCs/>
                      <w:szCs w:val="21"/>
                    </w:rPr>
                    <w:t>排放形式</w:t>
                  </w:r>
                </w:p>
              </w:tc>
              <w:tc>
                <w:tcPr>
                  <w:tcW w:w="349" w:type="pct"/>
                  <w:tcBorders>
                    <w:tl2br w:val="nil"/>
                    <w:tr2bl w:val="nil"/>
                  </w:tcBorders>
                  <w:shd w:val="clear" w:color="auto" w:fill="FFFFFF"/>
                  <w:vAlign w:val="center"/>
                </w:tcPr>
                <w:p w14:paraId="6D9A1214">
                  <w:pPr>
                    <w:jc w:val="center"/>
                    <w:rPr>
                      <w:rFonts w:ascii="Times New Roman" w:hAnsi="Times New Roman" w:cs="Times New Roman"/>
                      <w:b/>
                      <w:bCs/>
                      <w:szCs w:val="21"/>
                    </w:rPr>
                  </w:pPr>
                  <w:r>
                    <w:rPr>
                      <w:rFonts w:ascii="Times New Roman" w:hAnsi="Times New Roman" w:cs="Times New Roman"/>
                      <w:b/>
                      <w:bCs/>
                      <w:szCs w:val="21"/>
                    </w:rPr>
                    <w:t>产生量</w:t>
                  </w:r>
                  <w:r>
                    <w:rPr>
                      <w:rFonts w:hint="eastAsia" w:ascii="Times New Roman" w:hAnsi="Times New Roman" w:cs="Times New Roman"/>
                      <w:b/>
                      <w:bCs/>
                      <w:szCs w:val="21"/>
                    </w:rPr>
                    <w:t>/</w:t>
                  </w:r>
                  <w:r>
                    <w:rPr>
                      <w:rFonts w:hint="eastAsia" w:ascii="Times New Roman" w:hAnsi="Times New Roman" w:cs="Times New Roman"/>
                      <w:b/>
                      <w:bCs/>
                      <w:color w:val="FF0000"/>
                      <w:szCs w:val="21"/>
                    </w:rPr>
                    <w:t>收集量</w:t>
                  </w:r>
                  <w:r>
                    <w:rPr>
                      <w:rFonts w:ascii="Times New Roman" w:hAnsi="Times New Roman" w:cs="Times New Roman"/>
                      <w:b/>
                      <w:bCs/>
                      <w:szCs w:val="21"/>
                    </w:rPr>
                    <w:t>（t/a）</w:t>
                  </w:r>
                </w:p>
              </w:tc>
              <w:tc>
                <w:tcPr>
                  <w:tcW w:w="506" w:type="pct"/>
                  <w:tcBorders>
                    <w:tl2br w:val="nil"/>
                    <w:tr2bl w:val="nil"/>
                  </w:tcBorders>
                  <w:shd w:val="clear" w:color="auto" w:fill="FFFFFF"/>
                  <w:vAlign w:val="center"/>
                </w:tcPr>
                <w:p w14:paraId="4AB4845F">
                  <w:pPr>
                    <w:jc w:val="center"/>
                    <w:rPr>
                      <w:rFonts w:ascii="Times New Roman" w:hAnsi="Times New Roman" w:cs="Times New Roman"/>
                      <w:b/>
                      <w:bCs/>
                      <w:szCs w:val="21"/>
                    </w:rPr>
                  </w:pPr>
                  <w:r>
                    <w:rPr>
                      <w:rFonts w:ascii="Times New Roman" w:hAnsi="Times New Roman" w:cs="Times New Roman"/>
                      <w:b/>
                      <w:bCs/>
                      <w:szCs w:val="21"/>
                    </w:rPr>
                    <w:t>产生</w:t>
                  </w:r>
                </w:p>
                <w:p w14:paraId="0A471B23">
                  <w:pPr>
                    <w:jc w:val="center"/>
                    <w:rPr>
                      <w:rFonts w:ascii="Times New Roman" w:hAnsi="Times New Roman" w:cs="Times New Roman"/>
                      <w:b/>
                      <w:bCs/>
                      <w:szCs w:val="21"/>
                    </w:rPr>
                  </w:pPr>
                  <w:r>
                    <w:rPr>
                      <w:rFonts w:ascii="Times New Roman" w:hAnsi="Times New Roman" w:cs="Times New Roman"/>
                      <w:b/>
                      <w:bCs/>
                      <w:szCs w:val="21"/>
                    </w:rPr>
                    <w:t>速率（kg/h）</w:t>
                  </w:r>
                </w:p>
              </w:tc>
              <w:tc>
                <w:tcPr>
                  <w:tcW w:w="569" w:type="pct"/>
                  <w:tcBorders>
                    <w:tl2br w:val="nil"/>
                    <w:tr2bl w:val="nil"/>
                  </w:tcBorders>
                  <w:shd w:val="clear" w:color="auto" w:fill="FFFFFF"/>
                  <w:vAlign w:val="center"/>
                </w:tcPr>
                <w:p w14:paraId="64E8D365">
                  <w:pPr>
                    <w:jc w:val="center"/>
                    <w:rPr>
                      <w:rFonts w:ascii="Times New Roman" w:hAnsi="Times New Roman" w:cs="Times New Roman"/>
                      <w:b/>
                      <w:bCs/>
                      <w:szCs w:val="21"/>
                    </w:rPr>
                  </w:pPr>
                  <w:r>
                    <w:rPr>
                      <w:rFonts w:ascii="Times New Roman" w:hAnsi="Times New Roman" w:cs="Times New Roman"/>
                      <w:b/>
                      <w:bCs/>
                      <w:szCs w:val="21"/>
                    </w:rPr>
                    <w:t>产生浓度（mg/m</w:t>
                  </w:r>
                  <w:r>
                    <w:rPr>
                      <w:rFonts w:ascii="Times New Roman" w:hAnsi="Times New Roman" w:cs="Times New Roman"/>
                      <w:b/>
                      <w:bCs/>
                      <w:szCs w:val="21"/>
                      <w:vertAlign w:val="superscript"/>
                    </w:rPr>
                    <w:t>3</w:t>
                  </w:r>
                  <w:r>
                    <w:rPr>
                      <w:rFonts w:ascii="Times New Roman" w:hAnsi="Times New Roman" w:cs="Times New Roman"/>
                      <w:b/>
                      <w:bCs/>
                      <w:szCs w:val="21"/>
                    </w:rPr>
                    <w:t>）</w:t>
                  </w:r>
                </w:p>
              </w:tc>
              <w:tc>
                <w:tcPr>
                  <w:tcW w:w="872" w:type="pct"/>
                  <w:vMerge w:val="continue"/>
                  <w:tcBorders>
                    <w:tl2br w:val="nil"/>
                    <w:tr2bl w:val="nil"/>
                  </w:tcBorders>
                  <w:shd w:val="clear" w:color="auto" w:fill="FFFFFF"/>
                  <w:vAlign w:val="center"/>
                </w:tcPr>
                <w:p w14:paraId="5302C70C">
                  <w:pPr>
                    <w:jc w:val="center"/>
                    <w:rPr>
                      <w:rFonts w:ascii="Times New Roman" w:hAnsi="Times New Roman" w:cs="Times New Roman"/>
                      <w:b/>
                      <w:bCs/>
                      <w:szCs w:val="21"/>
                    </w:rPr>
                  </w:pPr>
                </w:p>
              </w:tc>
              <w:tc>
                <w:tcPr>
                  <w:tcW w:w="406" w:type="pct"/>
                  <w:tcBorders>
                    <w:tl2br w:val="nil"/>
                    <w:tr2bl w:val="nil"/>
                  </w:tcBorders>
                  <w:shd w:val="clear" w:color="auto" w:fill="FFFFFF"/>
                  <w:vAlign w:val="center"/>
                </w:tcPr>
                <w:p w14:paraId="2C9AECC7">
                  <w:pPr>
                    <w:jc w:val="center"/>
                    <w:rPr>
                      <w:rFonts w:ascii="Times New Roman" w:hAnsi="Times New Roman" w:cs="Times New Roman"/>
                      <w:b/>
                      <w:bCs/>
                      <w:szCs w:val="21"/>
                    </w:rPr>
                  </w:pPr>
                  <w:r>
                    <w:rPr>
                      <w:rFonts w:ascii="Times New Roman" w:hAnsi="Times New Roman" w:cs="Times New Roman"/>
                      <w:b/>
                      <w:bCs/>
                      <w:szCs w:val="21"/>
                    </w:rPr>
                    <w:t>排放量（t/a）</w:t>
                  </w:r>
                </w:p>
              </w:tc>
              <w:tc>
                <w:tcPr>
                  <w:tcW w:w="506" w:type="pct"/>
                  <w:tcBorders>
                    <w:tl2br w:val="nil"/>
                    <w:tr2bl w:val="nil"/>
                  </w:tcBorders>
                  <w:shd w:val="clear" w:color="auto" w:fill="FFFFFF"/>
                  <w:vAlign w:val="center"/>
                </w:tcPr>
                <w:p w14:paraId="4E7A6AD4">
                  <w:pPr>
                    <w:jc w:val="center"/>
                    <w:rPr>
                      <w:rFonts w:ascii="Times New Roman" w:hAnsi="Times New Roman" w:cs="Times New Roman"/>
                      <w:b/>
                      <w:bCs/>
                      <w:szCs w:val="21"/>
                    </w:rPr>
                  </w:pPr>
                  <w:r>
                    <w:rPr>
                      <w:rFonts w:ascii="Times New Roman" w:hAnsi="Times New Roman" w:cs="Times New Roman"/>
                      <w:b/>
                      <w:bCs/>
                      <w:szCs w:val="21"/>
                    </w:rPr>
                    <w:t>排放</w:t>
                  </w:r>
                </w:p>
                <w:p w14:paraId="49612D5E">
                  <w:pPr>
                    <w:jc w:val="center"/>
                    <w:rPr>
                      <w:rFonts w:ascii="Times New Roman" w:hAnsi="Times New Roman" w:cs="Times New Roman"/>
                      <w:b/>
                      <w:bCs/>
                      <w:szCs w:val="21"/>
                    </w:rPr>
                  </w:pPr>
                  <w:r>
                    <w:rPr>
                      <w:rFonts w:ascii="Times New Roman" w:hAnsi="Times New Roman" w:cs="Times New Roman"/>
                      <w:b/>
                      <w:bCs/>
                      <w:szCs w:val="21"/>
                    </w:rPr>
                    <w:t>速率</w:t>
                  </w:r>
                </w:p>
                <w:p w14:paraId="30164DA2">
                  <w:pPr>
                    <w:jc w:val="center"/>
                    <w:rPr>
                      <w:rFonts w:ascii="Times New Roman" w:hAnsi="Times New Roman" w:cs="Times New Roman"/>
                      <w:b/>
                      <w:bCs/>
                      <w:szCs w:val="21"/>
                    </w:rPr>
                  </w:pPr>
                  <w:r>
                    <w:rPr>
                      <w:rFonts w:ascii="Times New Roman" w:hAnsi="Times New Roman" w:cs="Times New Roman"/>
                      <w:b/>
                      <w:bCs/>
                      <w:szCs w:val="21"/>
                    </w:rPr>
                    <w:t>（kg/h）</w:t>
                  </w:r>
                </w:p>
              </w:tc>
              <w:tc>
                <w:tcPr>
                  <w:tcW w:w="620" w:type="pct"/>
                  <w:tcBorders>
                    <w:tl2br w:val="nil"/>
                    <w:tr2bl w:val="nil"/>
                  </w:tcBorders>
                  <w:shd w:val="clear" w:color="auto" w:fill="FFFFFF"/>
                  <w:vAlign w:val="center"/>
                </w:tcPr>
                <w:p w14:paraId="62AD1B90">
                  <w:pPr>
                    <w:jc w:val="center"/>
                    <w:rPr>
                      <w:rFonts w:ascii="Times New Roman" w:hAnsi="Times New Roman" w:cs="Times New Roman"/>
                      <w:b/>
                      <w:bCs/>
                      <w:szCs w:val="21"/>
                    </w:rPr>
                  </w:pPr>
                  <w:r>
                    <w:rPr>
                      <w:rFonts w:ascii="Times New Roman" w:hAnsi="Times New Roman" w:cs="Times New Roman"/>
                      <w:b/>
                      <w:bCs/>
                      <w:szCs w:val="21"/>
                    </w:rPr>
                    <w:t>排放浓度（mg/m</w:t>
                  </w:r>
                  <w:r>
                    <w:rPr>
                      <w:rFonts w:ascii="Times New Roman" w:hAnsi="Times New Roman" w:cs="Times New Roman"/>
                      <w:b/>
                      <w:bCs/>
                      <w:szCs w:val="21"/>
                      <w:vertAlign w:val="superscript"/>
                    </w:rPr>
                    <w:t>3</w:t>
                  </w:r>
                  <w:r>
                    <w:rPr>
                      <w:rFonts w:ascii="Times New Roman" w:hAnsi="Times New Roman" w:cs="Times New Roman"/>
                      <w:b/>
                      <w:bCs/>
                      <w:szCs w:val="21"/>
                    </w:rPr>
                    <w:t>）</w:t>
                  </w:r>
                </w:p>
              </w:tc>
              <w:tc>
                <w:tcPr>
                  <w:tcW w:w="447" w:type="pct"/>
                  <w:tcBorders>
                    <w:tl2br w:val="nil"/>
                    <w:tr2bl w:val="nil"/>
                  </w:tcBorders>
                  <w:shd w:val="clear" w:color="auto" w:fill="FFFFFF"/>
                  <w:vAlign w:val="center"/>
                </w:tcPr>
                <w:p w14:paraId="260749BE">
                  <w:pPr>
                    <w:jc w:val="center"/>
                    <w:rPr>
                      <w:rFonts w:ascii="Times New Roman" w:hAnsi="Times New Roman" w:cs="Times New Roman"/>
                      <w:b/>
                      <w:bCs/>
                      <w:szCs w:val="21"/>
                    </w:rPr>
                  </w:pPr>
                  <w:r>
                    <w:rPr>
                      <w:rFonts w:ascii="Times New Roman" w:hAnsi="Times New Roman" w:cs="Times New Roman"/>
                      <w:b/>
                      <w:bCs/>
                      <w:szCs w:val="21"/>
                    </w:rPr>
                    <w:t>浓度(mg/m</w:t>
                  </w:r>
                  <w:r>
                    <w:rPr>
                      <w:rFonts w:ascii="Times New Roman" w:hAnsi="Times New Roman" w:cs="Times New Roman"/>
                      <w:b/>
                      <w:bCs/>
                      <w:szCs w:val="21"/>
                      <w:vertAlign w:val="superscript"/>
                    </w:rPr>
                    <w:t>3</w:t>
                  </w:r>
                  <w:r>
                    <w:rPr>
                      <w:rFonts w:ascii="Times New Roman" w:hAnsi="Times New Roman" w:cs="Times New Roman"/>
                      <w:b/>
                      <w:bCs/>
                      <w:szCs w:val="21"/>
                    </w:rPr>
                    <w:t>)</w:t>
                  </w:r>
                </w:p>
              </w:tc>
            </w:tr>
            <w:tr w14:paraId="1205D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1" w:type="pct"/>
                  <w:vMerge w:val="restart"/>
                  <w:tcBorders>
                    <w:tl2br w:val="nil"/>
                    <w:tr2bl w:val="nil"/>
                  </w:tcBorders>
                  <w:shd w:val="clear" w:color="auto" w:fill="FFFFFF"/>
                  <w:vAlign w:val="center"/>
                </w:tcPr>
                <w:p w14:paraId="4AF7D920">
                  <w:pPr>
                    <w:jc w:val="center"/>
                    <w:rPr>
                      <w:rFonts w:ascii="Times New Roman" w:hAnsi="Times New Roman" w:cs="Times New Roman"/>
                      <w:szCs w:val="21"/>
                    </w:rPr>
                  </w:pPr>
                  <w:r>
                    <w:rPr>
                      <w:rFonts w:hint="eastAsia" w:ascii="Times New Roman" w:hAnsi="Times New Roman" w:cs="Times New Roman"/>
                      <w:szCs w:val="21"/>
                    </w:rPr>
                    <w:t>烘干、筛分、热骨料仓</w:t>
                  </w:r>
                </w:p>
              </w:tc>
              <w:tc>
                <w:tcPr>
                  <w:tcW w:w="262" w:type="pct"/>
                  <w:vMerge w:val="restart"/>
                  <w:tcBorders>
                    <w:tl2br w:val="nil"/>
                    <w:tr2bl w:val="nil"/>
                  </w:tcBorders>
                  <w:shd w:val="clear" w:color="auto" w:fill="FFFFFF"/>
                  <w:vAlign w:val="center"/>
                </w:tcPr>
                <w:p w14:paraId="2151876E">
                  <w:pPr>
                    <w:jc w:val="center"/>
                    <w:rPr>
                      <w:rFonts w:ascii="Times New Roman" w:hAnsi="Times New Roman" w:cs="Times New Roman"/>
                      <w:szCs w:val="21"/>
                    </w:rPr>
                  </w:pPr>
                  <w:r>
                    <w:rPr>
                      <w:rFonts w:hint="eastAsia" w:ascii="Times New Roman" w:hAnsi="Times New Roman" w:cs="Times New Roman"/>
                      <w:szCs w:val="21"/>
                    </w:rPr>
                    <w:t>烘干、筛分、热骨料仓</w:t>
                  </w:r>
                </w:p>
              </w:tc>
              <w:tc>
                <w:tcPr>
                  <w:tcW w:w="197" w:type="pct"/>
                  <w:tcBorders>
                    <w:tl2br w:val="nil"/>
                    <w:tr2bl w:val="nil"/>
                  </w:tcBorders>
                  <w:shd w:val="clear" w:color="auto" w:fill="FFFFFF"/>
                  <w:vAlign w:val="center"/>
                </w:tcPr>
                <w:p w14:paraId="4FC54DFE">
                  <w:pPr>
                    <w:jc w:val="center"/>
                    <w:rPr>
                      <w:rFonts w:ascii="Times New Roman" w:hAnsi="Times New Roman" w:cs="Times New Roman"/>
                      <w:szCs w:val="21"/>
                    </w:rPr>
                  </w:pPr>
                  <w:r>
                    <w:rPr>
                      <w:rFonts w:ascii="Times New Roman" w:hAnsi="Times New Roman" w:cs="Times New Roman"/>
                      <w:szCs w:val="21"/>
                    </w:rPr>
                    <w:t>有组织</w:t>
                  </w:r>
                </w:p>
              </w:tc>
              <w:tc>
                <w:tcPr>
                  <w:tcW w:w="349" w:type="pct"/>
                  <w:tcBorders>
                    <w:tl2br w:val="nil"/>
                    <w:tr2bl w:val="nil"/>
                  </w:tcBorders>
                  <w:shd w:val="clear" w:color="auto" w:fill="FFFFFF"/>
                  <w:vAlign w:val="center"/>
                </w:tcPr>
                <w:p w14:paraId="5F4DEA9B">
                  <w:pPr>
                    <w:jc w:val="center"/>
                    <w:rPr>
                      <w:rFonts w:ascii="Times New Roman" w:hAnsi="Times New Roman" w:cs="Times New Roman"/>
                      <w:szCs w:val="21"/>
                    </w:rPr>
                  </w:pPr>
                  <w:r>
                    <w:rPr>
                      <w:rFonts w:hint="eastAsia" w:ascii="Times New Roman" w:hAnsi="Times New Roman" w:cs="Times New Roman"/>
                      <w:szCs w:val="21"/>
                    </w:rPr>
                    <w:t>40.65</w:t>
                  </w:r>
                </w:p>
              </w:tc>
              <w:tc>
                <w:tcPr>
                  <w:tcW w:w="506" w:type="pct"/>
                  <w:tcBorders>
                    <w:tl2br w:val="nil"/>
                    <w:tr2bl w:val="nil"/>
                  </w:tcBorders>
                  <w:shd w:val="clear" w:color="auto" w:fill="FFFFFF"/>
                  <w:vAlign w:val="center"/>
                </w:tcPr>
                <w:p w14:paraId="4B2E1446">
                  <w:pPr>
                    <w:jc w:val="center"/>
                    <w:rPr>
                      <w:rFonts w:ascii="Times New Roman" w:hAnsi="Times New Roman" w:cs="Times New Roman"/>
                      <w:szCs w:val="21"/>
                    </w:rPr>
                  </w:pPr>
                  <w:r>
                    <w:rPr>
                      <w:rFonts w:hint="eastAsia" w:ascii="Times New Roman" w:hAnsi="Times New Roman" w:cs="Times New Roman"/>
                      <w:szCs w:val="21"/>
                    </w:rPr>
                    <w:t>28.23</w:t>
                  </w:r>
                </w:p>
              </w:tc>
              <w:tc>
                <w:tcPr>
                  <w:tcW w:w="569" w:type="pct"/>
                  <w:tcBorders>
                    <w:tl2br w:val="nil"/>
                    <w:tr2bl w:val="nil"/>
                  </w:tcBorders>
                  <w:shd w:val="clear" w:color="auto" w:fill="FFFFFF"/>
                  <w:vAlign w:val="center"/>
                </w:tcPr>
                <w:p w14:paraId="41CCA4B6">
                  <w:pPr>
                    <w:jc w:val="center"/>
                    <w:rPr>
                      <w:rFonts w:ascii="Times New Roman" w:hAnsi="Times New Roman" w:cs="Times New Roman"/>
                      <w:szCs w:val="21"/>
                    </w:rPr>
                  </w:pPr>
                  <w:r>
                    <w:rPr>
                      <w:rFonts w:hint="eastAsia" w:ascii="Times New Roman" w:hAnsi="Times New Roman" w:cs="Times New Roman"/>
                      <w:szCs w:val="21"/>
                    </w:rPr>
                    <w:t>627</w:t>
                  </w:r>
                </w:p>
              </w:tc>
              <w:tc>
                <w:tcPr>
                  <w:tcW w:w="872" w:type="pct"/>
                  <w:tcBorders>
                    <w:tl2br w:val="nil"/>
                    <w:tr2bl w:val="nil"/>
                  </w:tcBorders>
                  <w:shd w:val="clear" w:color="auto" w:fill="FFFFFF"/>
                  <w:vAlign w:val="center"/>
                </w:tcPr>
                <w:p w14:paraId="62D7A771">
                  <w:pPr>
                    <w:wordWrap w:val="0"/>
                    <w:topLinePunct/>
                    <w:jc w:val="center"/>
                    <w:rPr>
                      <w:rFonts w:ascii="Times New Roman" w:hAnsi="Times New Roman" w:cs="Times New Roman"/>
                      <w:szCs w:val="21"/>
                    </w:rPr>
                  </w:pPr>
                  <w:r>
                    <w:rPr>
                      <w:rFonts w:ascii="Times New Roman" w:hAnsi="Times New Roman" w:cs="Times New Roman"/>
                      <w:szCs w:val="21"/>
                    </w:rPr>
                    <w:t>蜗壳除尘</w:t>
                  </w:r>
                  <w:r>
                    <w:rPr>
                      <w:rFonts w:hint="eastAsia" w:ascii="Times New Roman" w:hAnsi="Times New Roman" w:cs="Times New Roman"/>
                      <w:szCs w:val="21"/>
                    </w:rPr>
                    <w:t>+</w:t>
                  </w:r>
                  <w:r>
                    <w:rPr>
                      <w:rFonts w:ascii="Times New Roman" w:hAnsi="Times New Roman" w:cs="Times New Roman"/>
                      <w:szCs w:val="21"/>
                    </w:rPr>
                    <w:t>布袋除尘（</w:t>
                  </w:r>
                  <w:r>
                    <w:rPr>
                      <w:rFonts w:hint="eastAsia" w:ascii="Times New Roman" w:hAnsi="Times New Roman" w:cs="Times New Roman"/>
                      <w:szCs w:val="21"/>
                    </w:rPr>
                    <w:t>收集效率99.9%，</w:t>
                  </w:r>
                  <w:r>
                    <w:rPr>
                      <w:rFonts w:ascii="Times New Roman" w:hAnsi="Times New Roman" w:cs="Times New Roman"/>
                      <w:szCs w:val="21"/>
                    </w:rPr>
                    <w:t>处理效率99%，风量</w:t>
                  </w:r>
                  <w:r>
                    <w:rPr>
                      <w:rFonts w:hint="eastAsia" w:ascii="Times New Roman" w:hAnsi="Times New Roman" w:cs="Times New Roman"/>
                      <w:szCs w:val="21"/>
                    </w:rPr>
                    <w:t>45000</w:t>
                  </w:r>
                  <w:r>
                    <w:rPr>
                      <w:rFonts w:ascii="Times New Roman" w:hAnsi="Times New Roman" w:cs="Times New Roman"/>
                      <w:szCs w:val="21"/>
                    </w:rPr>
                    <w:t>m³/h）+</w:t>
                  </w:r>
                  <w:r>
                    <w:rPr>
                      <w:rFonts w:hint="eastAsia" w:ascii="Times New Roman" w:hAnsi="Times New Roman" w:cs="Times New Roman"/>
                      <w:szCs w:val="21"/>
                    </w:rPr>
                    <w:t>22</w:t>
                  </w:r>
                  <w:r>
                    <w:rPr>
                      <w:rFonts w:ascii="Times New Roman" w:hAnsi="Times New Roman" w:cs="Times New Roman"/>
                      <w:szCs w:val="21"/>
                    </w:rPr>
                    <w:t>m高排气筒（DA001）排放</w:t>
                  </w:r>
                </w:p>
              </w:tc>
              <w:tc>
                <w:tcPr>
                  <w:tcW w:w="406" w:type="pct"/>
                  <w:tcBorders>
                    <w:tl2br w:val="nil"/>
                    <w:tr2bl w:val="nil"/>
                  </w:tcBorders>
                  <w:shd w:val="clear" w:color="auto" w:fill="FFFFFF"/>
                  <w:vAlign w:val="center"/>
                </w:tcPr>
                <w:p w14:paraId="063F8547">
                  <w:pPr>
                    <w:jc w:val="center"/>
                    <w:rPr>
                      <w:rFonts w:ascii="Times New Roman" w:hAnsi="Times New Roman" w:cs="Times New Roman"/>
                      <w:szCs w:val="21"/>
                    </w:rPr>
                  </w:pPr>
                  <w:r>
                    <w:rPr>
                      <w:rFonts w:hint="eastAsia" w:ascii="Times New Roman" w:hAnsi="Times New Roman" w:cs="Times New Roman"/>
                      <w:szCs w:val="21"/>
                    </w:rPr>
                    <w:t>0.407</w:t>
                  </w:r>
                </w:p>
              </w:tc>
              <w:tc>
                <w:tcPr>
                  <w:tcW w:w="506" w:type="pct"/>
                  <w:tcBorders>
                    <w:tl2br w:val="nil"/>
                    <w:tr2bl w:val="nil"/>
                  </w:tcBorders>
                  <w:shd w:val="clear" w:color="auto" w:fill="FFFFFF"/>
                  <w:vAlign w:val="center"/>
                </w:tcPr>
                <w:p w14:paraId="4DE8A57F">
                  <w:pPr>
                    <w:jc w:val="center"/>
                    <w:rPr>
                      <w:rFonts w:ascii="Times New Roman" w:hAnsi="Times New Roman" w:cs="Times New Roman"/>
                      <w:szCs w:val="21"/>
                    </w:rPr>
                  </w:pPr>
                  <w:r>
                    <w:rPr>
                      <w:rFonts w:hint="eastAsia" w:ascii="Times New Roman" w:hAnsi="Times New Roman" w:cs="Times New Roman"/>
                      <w:szCs w:val="21"/>
                    </w:rPr>
                    <w:t>0.283</w:t>
                  </w:r>
                </w:p>
              </w:tc>
              <w:tc>
                <w:tcPr>
                  <w:tcW w:w="620" w:type="pct"/>
                  <w:tcBorders>
                    <w:tl2br w:val="nil"/>
                    <w:tr2bl w:val="nil"/>
                  </w:tcBorders>
                  <w:shd w:val="clear" w:color="auto" w:fill="FFFFFF"/>
                  <w:vAlign w:val="center"/>
                </w:tcPr>
                <w:p w14:paraId="7121D585">
                  <w:pPr>
                    <w:jc w:val="center"/>
                    <w:rPr>
                      <w:rFonts w:ascii="Times New Roman" w:hAnsi="Times New Roman" w:cs="Times New Roman"/>
                      <w:szCs w:val="21"/>
                    </w:rPr>
                  </w:pPr>
                  <w:r>
                    <w:rPr>
                      <w:rFonts w:hint="eastAsia" w:ascii="Times New Roman" w:hAnsi="Times New Roman" w:cs="Times New Roman"/>
                      <w:szCs w:val="21"/>
                    </w:rPr>
                    <w:t>6.29</w:t>
                  </w:r>
                </w:p>
              </w:tc>
              <w:tc>
                <w:tcPr>
                  <w:tcW w:w="447" w:type="pct"/>
                  <w:tcBorders>
                    <w:tl2br w:val="nil"/>
                    <w:tr2bl w:val="nil"/>
                  </w:tcBorders>
                  <w:shd w:val="clear" w:color="auto" w:fill="FFFFFF"/>
                  <w:vAlign w:val="center"/>
                </w:tcPr>
                <w:p w14:paraId="3A094E19">
                  <w:pPr>
                    <w:jc w:val="center"/>
                    <w:rPr>
                      <w:rFonts w:ascii="Times New Roman" w:hAnsi="Times New Roman" w:cs="Times New Roman"/>
                      <w:szCs w:val="21"/>
                    </w:rPr>
                  </w:pPr>
                  <w:r>
                    <w:rPr>
                      <w:rFonts w:ascii="Times New Roman" w:hAnsi="Times New Roman" w:cs="Times New Roman"/>
                      <w:szCs w:val="21"/>
                    </w:rPr>
                    <w:t>120</w:t>
                  </w:r>
                </w:p>
              </w:tc>
            </w:tr>
            <w:tr w14:paraId="37D73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1" w:type="pct"/>
                  <w:vMerge w:val="continue"/>
                  <w:tcBorders>
                    <w:tl2br w:val="nil"/>
                    <w:tr2bl w:val="nil"/>
                  </w:tcBorders>
                  <w:shd w:val="clear" w:color="auto" w:fill="FFFFFF"/>
                  <w:vAlign w:val="center"/>
                </w:tcPr>
                <w:p w14:paraId="04DA5162">
                  <w:pPr>
                    <w:jc w:val="center"/>
                    <w:rPr>
                      <w:rFonts w:ascii="Times New Roman" w:hAnsi="Times New Roman" w:cs="Times New Roman"/>
                      <w:szCs w:val="21"/>
                    </w:rPr>
                  </w:pPr>
                </w:p>
              </w:tc>
              <w:tc>
                <w:tcPr>
                  <w:tcW w:w="262" w:type="pct"/>
                  <w:vMerge w:val="continue"/>
                  <w:tcBorders>
                    <w:tl2br w:val="nil"/>
                    <w:tr2bl w:val="nil"/>
                  </w:tcBorders>
                  <w:shd w:val="clear" w:color="auto" w:fill="FFFFFF"/>
                  <w:vAlign w:val="center"/>
                </w:tcPr>
                <w:p w14:paraId="4670BD58">
                  <w:pPr>
                    <w:jc w:val="center"/>
                    <w:rPr>
                      <w:rFonts w:ascii="Times New Roman" w:hAnsi="Times New Roman" w:cs="Times New Roman"/>
                      <w:szCs w:val="21"/>
                    </w:rPr>
                  </w:pPr>
                </w:p>
              </w:tc>
              <w:tc>
                <w:tcPr>
                  <w:tcW w:w="197" w:type="pct"/>
                  <w:tcBorders>
                    <w:tl2br w:val="nil"/>
                    <w:tr2bl w:val="nil"/>
                  </w:tcBorders>
                  <w:shd w:val="clear" w:color="auto" w:fill="FFFFFF"/>
                  <w:vAlign w:val="center"/>
                </w:tcPr>
                <w:p w14:paraId="6E1CC144">
                  <w:pPr>
                    <w:jc w:val="center"/>
                    <w:rPr>
                      <w:rFonts w:ascii="Times New Roman" w:hAnsi="Times New Roman" w:cs="Times New Roman"/>
                      <w:szCs w:val="21"/>
                    </w:rPr>
                  </w:pPr>
                  <w:r>
                    <w:rPr>
                      <w:rFonts w:hint="eastAsia" w:ascii="Times New Roman" w:hAnsi="Times New Roman" w:cs="Times New Roman"/>
                      <w:szCs w:val="21"/>
                    </w:rPr>
                    <w:t>无组织</w:t>
                  </w:r>
                </w:p>
              </w:tc>
              <w:tc>
                <w:tcPr>
                  <w:tcW w:w="349" w:type="pct"/>
                  <w:tcBorders>
                    <w:tl2br w:val="nil"/>
                    <w:tr2bl w:val="nil"/>
                  </w:tcBorders>
                  <w:shd w:val="clear" w:color="auto" w:fill="FFFFFF"/>
                  <w:vAlign w:val="center"/>
                </w:tcPr>
                <w:p w14:paraId="602F47E9">
                  <w:pPr>
                    <w:jc w:val="center"/>
                    <w:rPr>
                      <w:rFonts w:ascii="Times New Roman" w:hAnsi="Times New Roman" w:cs="Times New Roman"/>
                      <w:szCs w:val="21"/>
                    </w:rPr>
                  </w:pPr>
                  <w:r>
                    <w:rPr>
                      <w:rFonts w:hint="eastAsia" w:ascii="Times New Roman" w:hAnsi="Times New Roman" w:cs="Times New Roman"/>
                      <w:szCs w:val="21"/>
                    </w:rPr>
                    <w:t>0.04</w:t>
                  </w:r>
                </w:p>
              </w:tc>
              <w:tc>
                <w:tcPr>
                  <w:tcW w:w="506" w:type="pct"/>
                  <w:tcBorders>
                    <w:tl2br w:val="nil"/>
                    <w:tr2bl w:val="nil"/>
                  </w:tcBorders>
                  <w:shd w:val="clear" w:color="auto" w:fill="FFFFFF"/>
                  <w:vAlign w:val="center"/>
                </w:tcPr>
                <w:p w14:paraId="10E69961">
                  <w:pPr>
                    <w:jc w:val="center"/>
                    <w:rPr>
                      <w:rFonts w:ascii="Times New Roman" w:hAnsi="Times New Roman" w:cs="Times New Roman"/>
                      <w:szCs w:val="21"/>
                    </w:rPr>
                  </w:pPr>
                  <w:r>
                    <w:rPr>
                      <w:rFonts w:hint="eastAsia" w:ascii="Times New Roman" w:hAnsi="Times New Roman" w:cs="Times New Roman"/>
                      <w:szCs w:val="21"/>
                    </w:rPr>
                    <w:t>0.028</w:t>
                  </w:r>
                </w:p>
              </w:tc>
              <w:tc>
                <w:tcPr>
                  <w:tcW w:w="569" w:type="pct"/>
                  <w:tcBorders>
                    <w:tl2br w:val="nil"/>
                    <w:tr2bl w:val="nil"/>
                  </w:tcBorders>
                  <w:shd w:val="clear" w:color="auto" w:fill="FFFFFF"/>
                  <w:vAlign w:val="center"/>
                </w:tcPr>
                <w:p w14:paraId="7996C8A5">
                  <w:pPr>
                    <w:jc w:val="center"/>
                    <w:rPr>
                      <w:rFonts w:ascii="Times New Roman" w:hAnsi="Times New Roman" w:cs="Times New Roman"/>
                      <w:szCs w:val="21"/>
                    </w:rPr>
                  </w:pPr>
                  <w:r>
                    <w:rPr>
                      <w:rFonts w:hint="eastAsia" w:ascii="Times New Roman" w:hAnsi="Times New Roman" w:cs="Times New Roman"/>
                      <w:szCs w:val="21"/>
                    </w:rPr>
                    <w:t>/</w:t>
                  </w:r>
                </w:p>
              </w:tc>
              <w:tc>
                <w:tcPr>
                  <w:tcW w:w="872" w:type="pct"/>
                  <w:tcBorders>
                    <w:tl2br w:val="nil"/>
                    <w:tr2bl w:val="nil"/>
                  </w:tcBorders>
                  <w:shd w:val="clear" w:color="auto" w:fill="FFFFFF"/>
                  <w:vAlign w:val="center"/>
                </w:tcPr>
                <w:p w14:paraId="289C5ACD">
                  <w:pPr>
                    <w:jc w:val="center"/>
                    <w:rPr>
                      <w:rFonts w:ascii="Times New Roman" w:hAnsi="Times New Roman" w:cs="Times New Roman"/>
                      <w:szCs w:val="21"/>
                    </w:rPr>
                  </w:pPr>
                  <w:r>
                    <w:rPr>
                      <w:rFonts w:hint="eastAsia" w:ascii="Times New Roman" w:hAnsi="Times New Roman" w:cs="Times New Roman"/>
                      <w:szCs w:val="21"/>
                    </w:rPr>
                    <w:t>未收集呈无组织排放的粉尘</w:t>
                  </w:r>
                </w:p>
              </w:tc>
              <w:tc>
                <w:tcPr>
                  <w:tcW w:w="406" w:type="pct"/>
                  <w:tcBorders>
                    <w:tl2br w:val="nil"/>
                    <w:tr2bl w:val="nil"/>
                  </w:tcBorders>
                  <w:shd w:val="clear" w:color="auto" w:fill="FFFFFF"/>
                  <w:vAlign w:val="center"/>
                </w:tcPr>
                <w:p w14:paraId="115443DE">
                  <w:pPr>
                    <w:jc w:val="center"/>
                    <w:rPr>
                      <w:rFonts w:ascii="Times New Roman" w:hAnsi="Times New Roman" w:cs="Times New Roman"/>
                      <w:szCs w:val="21"/>
                    </w:rPr>
                  </w:pPr>
                  <w:r>
                    <w:rPr>
                      <w:rFonts w:hint="eastAsia" w:ascii="Times New Roman" w:hAnsi="Times New Roman" w:cs="Times New Roman"/>
                      <w:szCs w:val="21"/>
                    </w:rPr>
                    <w:t>0.04</w:t>
                  </w:r>
                </w:p>
              </w:tc>
              <w:tc>
                <w:tcPr>
                  <w:tcW w:w="506" w:type="pct"/>
                  <w:tcBorders>
                    <w:tl2br w:val="nil"/>
                    <w:tr2bl w:val="nil"/>
                  </w:tcBorders>
                  <w:shd w:val="clear" w:color="auto" w:fill="FFFFFF"/>
                  <w:vAlign w:val="center"/>
                </w:tcPr>
                <w:p w14:paraId="68BC4382">
                  <w:pPr>
                    <w:jc w:val="center"/>
                    <w:rPr>
                      <w:rFonts w:ascii="Times New Roman" w:hAnsi="Times New Roman" w:cs="Times New Roman"/>
                      <w:szCs w:val="21"/>
                    </w:rPr>
                  </w:pPr>
                  <w:r>
                    <w:rPr>
                      <w:rFonts w:hint="eastAsia" w:ascii="Times New Roman" w:hAnsi="Times New Roman" w:cs="Times New Roman"/>
                      <w:szCs w:val="21"/>
                    </w:rPr>
                    <w:t>0.028</w:t>
                  </w:r>
                </w:p>
              </w:tc>
              <w:tc>
                <w:tcPr>
                  <w:tcW w:w="620" w:type="pct"/>
                  <w:tcBorders>
                    <w:tl2br w:val="nil"/>
                    <w:tr2bl w:val="nil"/>
                  </w:tcBorders>
                  <w:shd w:val="clear" w:color="auto" w:fill="FFFFFF"/>
                  <w:vAlign w:val="center"/>
                </w:tcPr>
                <w:p w14:paraId="1976C458">
                  <w:pPr>
                    <w:jc w:val="center"/>
                    <w:rPr>
                      <w:rFonts w:ascii="Times New Roman" w:hAnsi="Times New Roman" w:cs="Times New Roman"/>
                      <w:szCs w:val="21"/>
                    </w:rPr>
                  </w:pPr>
                  <w:r>
                    <w:rPr>
                      <w:rFonts w:hint="eastAsia" w:ascii="Times New Roman" w:hAnsi="Times New Roman" w:cs="Times New Roman"/>
                      <w:szCs w:val="21"/>
                    </w:rPr>
                    <w:t>/</w:t>
                  </w:r>
                </w:p>
              </w:tc>
              <w:tc>
                <w:tcPr>
                  <w:tcW w:w="447" w:type="pct"/>
                  <w:tcBorders>
                    <w:tl2br w:val="nil"/>
                    <w:tr2bl w:val="nil"/>
                  </w:tcBorders>
                  <w:shd w:val="clear" w:color="auto" w:fill="FFFFFF"/>
                  <w:vAlign w:val="center"/>
                </w:tcPr>
                <w:p w14:paraId="7C572FF1">
                  <w:pPr>
                    <w:jc w:val="center"/>
                    <w:rPr>
                      <w:rFonts w:ascii="Times New Roman" w:hAnsi="Times New Roman" w:cs="Times New Roman"/>
                      <w:szCs w:val="21"/>
                    </w:rPr>
                  </w:pPr>
                  <w:r>
                    <w:rPr>
                      <w:rFonts w:hint="eastAsia" w:ascii="Times New Roman" w:hAnsi="Times New Roman" w:cs="Times New Roman"/>
                      <w:szCs w:val="21"/>
                    </w:rPr>
                    <w:t>1.0</w:t>
                  </w:r>
                </w:p>
              </w:tc>
            </w:tr>
            <w:tr w14:paraId="2FA51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5000" w:type="pct"/>
                  <w:gridSpan w:val="11"/>
                  <w:tcBorders>
                    <w:tl2br w:val="nil"/>
                    <w:tr2bl w:val="nil"/>
                  </w:tcBorders>
                  <w:shd w:val="clear" w:color="auto" w:fill="FFFFFF"/>
                  <w:vAlign w:val="center"/>
                </w:tcPr>
                <w:p w14:paraId="568461B4">
                  <w:r>
                    <w:rPr>
                      <w:rFonts w:hint="eastAsia" w:ascii="Times New Roman" w:hAnsi="Times New Roman" w:cs="Times New Roman"/>
                      <w:szCs w:val="21"/>
                    </w:rPr>
                    <w:t>注：本项目全年运行180天，烘干、筛分、热骨料仓工序按照1440h/a计。</w:t>
                  </w:r>
                  <w:r>
                    <w:rPr>
                      <w:rFonts w:ascii="Times New Roman" w:hAnsi="Times New Roman" w:cs="Times New Roman"/>
                      <w:szCs w:val="21"/>
                    </w:rPr>
                    <w:t>M</w:t>
                  </w:r>
                  <w:r>
                    <w:rPr>
                      <w:rFonts w:hint="eastAsia" w:ascii="Times New Roman" w:hAnsi="Times New Roman" w:cs="Times New Roman"/>
                      <w:szCs w:val="21"/>
                      <w:vertAlign w:val="subscript"/>
                    </w:rPr>
                    <w:t>总</w:t>
                  </w:r>
                  <w:r>
                    <w:rPr>
                      <w:rFonts w:hint="eastAsia" w:ascii="Times New Roman" w:hAnsi="Times New Roman" w:cs="Times New Roman"/>
                      <w:szCs w:val="21"/>
                    </w:rPr>
                    <w:t>=40.69t/</w:t>
                  </w:r>
                  <w:r>
                    <w:rPr>
                      <w:rFonts w:ascii="Times New Roman" w:hAnsi="Times New Roman" w:cs="Times New Roman"/>
                      <w:szCs w:val="21"/>
                    </w:rPr>
                    <w:t>a</w:t>
                  </w:r>
                </w:p>
              </w:tc>
            </w:tr>
          </w:tbl>
          <w:p w14:paraId="6AD6D451">
            <w:pPr>
              <w:pStyle w:val="4"/>
              <w:keepNext w:val="0"/>
              <w:keepLines w:val="0"/>
              <w:wordWrap w:val="0"/>
              <w:topLinePunct/>
              <w:ind w:firstLine="480"/>
              <w:rPr>
                <w:rFonts w:ascii="Times New Roman" w:hAnsi="Times New Roman" w:cs="Times New Roman"/>
                <w:b w:val="0"/>
                <w:spacing w:val="0"/>
                <w:w w:val="100"/>
                <w:szCs w:val="24"/>
              </w:rPr>
            </w:pPr>
            <w:r>
              <w:rPr>
                <w:rFonts w:hint="eastAsia" w:ascii="Times New Roman" w:hAnsi="Times New Roman" w:cs="Times New Roman"/>
                <w:b w:val="0"/>
                <w:spacing w:val="0"/>
                <w:w w:val="100"/>
                <w:szCs w:val="24"/>
              </w:rPr>
              <w:t>本项目烘干滚筒燃烧器燃油废气与烘干、筛分、热骨料仓粉尘形成混合废气，共用一套废气处理装置，混合废气通过蜗壳除尘+布袋除尘器处理后通过22m高排气筒DA001排放。</w:t>
            </w:r>
          </w:p>
          <w:p w14:paraId="4E9C2827">
            <w:pPr>
              <w:pStyle w:val="4"/>
              <w:keepNext w:val="0"/>
              <w:keepLines w:val="0"/>
              <w:wordWrap w:val="0"/>
              <w:topLinePunct/>
              <w:ind w:firstLine="0" w:firstLineChars="0"/>
              <w:jc w:val="center"/>
              <w:rPr>
                <w:rFonts w:ascii="Times New Roman" w:hAnsi="Times New Roman" w:cs="Times New Roman"/>
                <w:bCs/>
                <w:spacing w:val="0"/>
                <w:w w:val="100"/>
                <w:szCs w:val="24"/>
              </w:rPr>
            </w:pPr>
            <w:r>
              <w:rPr>
                <w:rFonts w:hint="eastAsia" w:ascii="Times New Roman" w:hAnsi="Times New Roman" w:cs="Times New Roman"/>
                <w:bCs/>
                <w:spacing w:val="0"/>
                <w:w w:val="100"/>
                <w:szCs w:val="24"/>
              </w:rPr>
              <w:t xml:space="preserve"> </w:t>
            </w:r>
          </w:p>
          <w:p w14:paraId="57BD3C67">
            <w:pPr>
              <w:pStyle w:val="4"/>
              <w:keepNext w:val="0"/>
              <w:keepLines w:val="0"/>
              <w:wordWrap w:val="0"/>
              <w:topLinePunct/>
              <w:ind w:firstLine="0" w:firstLineChars="0"/>
              <w:jc w:val="center"/>
              <w:rPr>
                <w:rFonts w:ascii="Times New Roman" w:hAnsi="Times New Roman" w:cs="Times New Roman"/>
                <w:bCs/>
                <w:spacing w:val="0"/>
                <w:w w:val="100"/>
                <w:szCs w:val="24"/>
              </w:rPr>
            </w:pPr>
          </w:p>
          <w:p w14:paraId="11C32C43">
            <w:pPr>
              <w:pStyle w:val="4"/>
              <w:keepNext w:val="0"/>
              <w:keepLines w:val="0"/>
              <w:wordWrap w:val="0"/>
              <w:topLinePunct/>
              <w:ind w:firstLine="0" w:firstLineChars="0"/>
              <w:jc w:val="center"/>
              <w:rPr>
                <w:rFonts w:ascii="Times New Roman" w:hAnsi="Times New Roman" w:cs="Times New Roman"/>
                <w:bCs/>
                <w:spacing w:val="0"/>
                <w:w w:val="100"/>
                <w:szCs w:val="24"/>
              </w:rPr>
            </w:pPr>
            <w:r>
              <w:rPr>
                <w:rFonts w:hint="eastAsia" w:ascii="Times New Roman" w:hAnsi="Times New Roman" w:cs="Times New Roman"/>
                <w:bCs/>
                <w:spacing w:val="0"/>
                <w:w w:val="100"/>
                <w:szCs w:val="24"/>
              </w:rPr>
              <w:t xml:space="preserve"> </w:t>
            </w:r>
            <w:r>
              <w:rPr>
                <w:rFonts w:ascii="Times New Roman" w:hAnsi="Times New Roman" w:cs="Times New Roman"/>
                <w:bCs/>
                <w:spacing w:val="0"/>
                <w:w w:val="100"/>
                <w:szCs w:val="24"/>
              </w:rPr>
              <w:t>表</w:t>
            </w:r>
            <w:r>
              <w:rPr>
                <w:rFonts w:hint="eastAsia" w:ascii="Times New Roman" w:hAnsi="Times New Roman" w:cs="Times New Roman"/>
                <w:bCs/>
                <w:spacing w:val="0"/>
                <w:w w:val="100"/>
                <w:szCs w:val="24"/>
              </w:rPr>
              <w:t xml:space="preserve">4-11  </w:t>
            </w:r>
            <w:r>
              <w:rPr>
                <w:rFonts w:ascii="Times New Roman" w:hAnsi="Times New Roman" w:cs="Times New Roman"/>
                <w:bCs/>
                <w:spacing w:val="0"/>
                <w:w w:val="100"/>
                <w:szCs w:val="24"/>
              </w:rPr>
              <w:t>DA001</w:t>
            </w:r>
            <w:r>
              <w:rPr>
                <w:rFonts w:hint="eastAsia" w:ascii="Times New Roman" w:hAnsi="Times New Roman" w:cs="Times New Roman"/>
                <w:bCs/>
                <w:spacing w:val="0"/>
                <w:w w:val="100"/>
                <w:szCs w:val="24"/>
              </w:rPr>
              <w:t>排气筒排放</w:t>
            </w:r>
            <w:r>
              <w:rPr>
                <w:rFonts w:ascii="Times New Roman" w:hAnsi="Times New Roman" w:cs="Times New Roman"/>
                <w:bCs/>
                <w:spacing w:val="0"/>
                <w:w w:val="100"/>
                <w:szCs w:val="24"/>
              </w:rPr>
              <w:t>情况一览表</w:t>
            </w:r>
          </w:p>
          <w:tbl>
            <w:tblPr>
              <w:tblStyle w:val="76"/>
              <w:tblW w:w="81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1"/>
              <w:gridCol w:w="884"/>
              <w:gridCol w:w="839"/>
              <w:gridCol w:w="869"/>
              <w:gridCol w:w="1645"/>
              <w:gridCol w:w="664"/>
              <w:gridCol w:w="828"/>
              <w:gridCol w:w="1016"/>
              <w:gridCol w:w="736"/>
            </w:tblGrid>
            <w:tr w14:paraId="22986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428" w:type="pct"/>
                  <w:vMerge w:val="restart"/>
                  <w:tcBorders>
                    <w:tl2br w:val="nil"/>
                    <w:tr2bl w:val="nil"/>
                  </w:tcBorders>
                  <w:shd w:val="clear" w:color="auto" w:fill="FFFFFF"/>
                  <w:vAlign w:val="center"/>
                </w:tcPr>
                <w:p w14:paraId="0785CEF3">
                  <w:pPr>
                    <w:jc w:val="center"/>
                    <w:rPr>
                      <w:rFonts w:ascii="Times New Roman" w:hAnsi="Times New Roman" w:cs="Times New Roman"/>
                      <w:b/>
                      <w:bCs/>
                      <w:szCs w:val="21"/>
                    </w:rPr>
                  </w:pPr>
                  <w:r>
                    <w:rPr>
                      <w:rFonts w:hint="eastAsia" w:ascii="Times New Roman" w:hAnsi="Times New Roman" w:cs="Times New Roman"/>
                      <w:b/>
                      <w:bCs/>
                      <w:szCs w:val="21"/>
                    </w:rPr>
                    <w:t>排气筒编号</w:t>
                  </w:r>
                </w:p>
              </w:tc>
              <w:tc>
                <w:tcPr>
                  <w:tcW w:w="540" w:type="pct"/>
                  <w:vMerge w:val="restart"/>
                  <w:tcBorders>
                    <w:tl2br w:val="nil"/>
                    <w:tr2bl w:val="nil"/>
                  </w:tcBorders>
                  <w:shd w:val="clear" w:color="auto" w:fill="FFFFFF"/>
                  <w:vAlign w:val="center"/>
                </w:tcPr>
                <w:p w14:paraId="3360F421">
                  <w:pPr>
                    <w:jc w:val="center"/>
                    <w:rPr>
                      <w:rFonts w:ascii="Times New Roman" w:hAnsi="Times New Roman" w:cs="Times New Roman"/>
                      <w:b/>
                      <w:bCs/>
                      <w:szCs w:val="21"/>
                    </w:rPr>
                  </w:pPr>
                  <w:r>
                    <w:rPr>
                      <w:rFonts w:ascii="Times New Roman" w:hAnsi="Times New Roman" w:cs="Times New Roman"/>
                      <w:b/>
                      <w:bCs/>
                      <w:szCs w:val="21"/>
                    </w:rPr>
                    <w:t>产污位置</w:t>
                  </w:r>
                </w:p>
              </w:tc>
              <w:tc>
                <w:tcPr>
                  <w:tcW w:w="513" w:type="pct"/>
                  <w:vMerge w:val="restart"/>
                  <w:tcBorders>
                    <w:tl2br w:val="nil"/>
                    <w:tr2bl w:val="nil"/>
                  </w:tcBorders>
                  <w:shd w:val="clear" w:color="auto" w:fill="FFFFFF"/>
                  <w:vAlign w:val="center"/>
                </w:tcPr>
                <w:p w14:paraId="29826424">
                  <w:pPr>
                    <w:jc w:val="center"/>
                    <w:rPr>
                      <w:rFonts w:ascii="Times New Roman" w:hAnsi="Times New Roman" w:cs="Times New Roman"/>
                      <w:b/>
                      <w:bCs/>
                      <w:szCs w:val="21"/>
                    </w:rPr>
                  </w:pPr>
                  <w:r>
                    <w:rPr>
                      <w:rFonts w:ascii="Times New Roman" w:hAnsi="Times New Roman" w:cs="Times New Roman"/>
                      <w:b/>
                      <w:bCs/>
                      <w:szCs w:val="21"/>
                    </w:rPr>
                    <w:t>排放</w:t>
                  </w:r>
                </w:p>
                <w:p w14:paraId="0A487DDE">
                  <w:pPr>
                    <w:jc w:val="center"/>
                    <w:rPr>
                      <w:rFonts w:ascii="Times New Roman" w:hAnsi="Times New Roman" w:cs="Times New Roman"/>
                      <w:b/>
                      <w:bCs/>
                      <w:szCs w:val="21"/>
                    </w:rPr>
                  </w:pPr>
                  <w:r>
                    <w:rPr>
                      <w:rFonts w:ascii="Times New Roman" w:hAnsi="Times New Roman" w:cs="Times New Roman"/>
                      <w:b/>
                      <w:bCs/>
                      <w:szCs w:val="21"/>
                    </w:rPr>
                    <w:t>形式</w:t>
                  </w:r>
                </w:p>
              </w:tc>
              <w:tc>
                <w:tcPr>
                  <w:tcW w:w="531" w:type="pct"/>
                  <w:vMerge w:val="restart"/>
                  <w:tcBorders>
                    <w:tl2br w:val="nil"/>
                    <w:tr2bl w:val="nil"/>
                  </w:tcBorders>
                  <w:shd w:val="clear" w:color="auto" w:fill="FFFFFF"/>
                  <w:vAlign w:val="center"/>
                </w:tcPr>
                <w:p w14:paraId="1A115763">
                  <w:pPr>
                    <w:jc w:val="center"/>
                    <w:rPr>
                      <w:rFonts w:ascii="Times New Roman" w:hAnsi="Times New Roman" w:cs="Times New Roman"/>
                      <w:b/>
                      <w:bCs/>
                      <w:szCs w:val="21"/>
                    </w:rPr>
                  </w:pPr>
                  <w:r>
                    <w:rPr>
                      <w:rFonts w:hint="eastAsia" w:ascii="Times New Roman" w:hAnsi="Times New Roman" w:cs="Times New Roman"/>
                      <w:b/>
                      <w:bCs/>
                      <w:szCs w:val="21"/>
                    </w:rPr>
                    <w:t>污染物</w:t>
                  </w:r>
                </w:p>
              </w:tc>
              <w:tc>
                <w:tcPr>
                  <w:tcW w:w="1005" w:type="pct"/>
                  <w:vMerge w:val="restart"/>
                  <w:tcBorders>
                    <w:tl2br w:val="nil"/>
                    <w:tr2bl w:val="nil"/>
                  </w:tcBorders>
                  <w:shd w:val="clear" w:color="auto" w:fill="FFFFFF"/>
                  <w:vAlign w:val="center"/>
                </w:tcPr>
                <w:p w14:paraId="26522B1C">
                  <w:pPr>
                    <w:jc w:val="center"/>
                    <w:rPr>
                      <w:rFonts w:ascii="Times New Roman" w:hAnsi="Times New Roman" w:cs="Times New Roman"/>
                      <w:b/>
                      <w:bCs/>
                      <w:szCs w:val="21"/>
                    </w:rPr>
                  </w:pPr>
                  <w:r>
                    <w:rPr>
                      <w:rFonts w:ascii="Times New Roman" w:hAnsi="Times New Roman" w:cs="Times New Roman"/>
                      <w:b/>
                      <w:bCs/>
                      <w:szCs w:val="21"/>
                    </w:rPr>
                    <w:t>治理措施</w:t>
                  </w:r>
                </w:p>
              </w:tc>
              <w:tc>
                <w:tcPr>
                  <w:tcW w:w="1533" w:type="pct"/>
                  <w:gridSpan w:val="3"/>
                  <w:tcBorders>
                    <w:tl2br w:val="nil"/>
                    <w:tr2bl w:val="nil"/>
                  </w:tcBorders>
                  <w:shd w:val="clear" w:color="auto" w:fill="FFFFFF"/>
                  <w:vAlign w:val="center"/>
                </w:tcPr>
                <w:p w14:paraId="394CA937">
                  <w:pPr>
                    <w:jc w:val="center"/>
                    <w:rPr>
                      <w:rFonts w:ascii="Times New Roman" w:hAnsi="Times New Roman" w:cs="Times New Roman"/>
                      <w:b/>
                      <w:bCs/>
                      <w:szCs w:val="21"/>
                    </w:rPr>
                  </w:pPr>
                  <w:r>
                    <w:rPr>
                      <w:rFonts w:ascii="Times New Roman" w:hAnsi="Times New Roman" w:cs="Times New Roman"/>
                      <w:b/>
                      <w:bCs/>
                      <w:szCs w:val="21"/>
                    </w:rPr>
                    <w:t>排放情况</w:t>
                  </w:r>
                </w:p>
              </w:tc>
              <w:tc>
                <w:tcPr>
                  <w:tcW w:w="447" w:type="pct"/>
                  <w:tcBorders>
                    <w:tl2br w:val="nil"/>
                    <w:tr2bl w:val="nil"/>
                  </w:tcBorders>
                  <w:shd w:val="clear" w:color="auto" w:fill="FFFFFF"/>
                  <w:vAlign w:val="center"/>
                </w:tcPr>
                <w:p w14:paraId="4D0466DD">
                  <w:pPr>
                    <w:jc w:val="center"/>
                    <w:rPr>
                      <w:rFonts w:ascii="Times New Roman" w:hAnsi="Times New Roman" w:cs="Times New Roman"/>
                      <w:b/>
                      <w:bCs/>
                      <w:szCs w:val="21"/>
                    </w:rPr>
                  </w:pPr>
                  <w:r>
                    <w:rPr>
                      <w:rFonts w:ascii="Times New Roman" w:hAnsi="Times New Roman" w:cs="Times New Roman"/>
                      <w:b/>
                      <w:bCs/>
                      <w:szCs w:val="21"/>
                    </w:rPr>
                    <w:t>执行</w:t>
                  </w:r>
                </w:p>
                <w:p w14:paraId="3CEB1BDB">
                  <w:pPr>
                    <w:jc w:val="center"/>
                    <w:rPr>
                      <w:rFonts w:ascii="Times New Roman" w:hAnsi="Times New Roman" w:cs="Times New Roman"/>
                      <w:b/>
                      <w:bCs/>
                      <w:szCs w:val="21"/>
                    </w:rPr>
                  </w:pPr>
                  <w:r>
                    <w:rPr>
                      <w:rFonts w:ascii="Times New Roman" w:hAnsi="Times New Roman" w:cs="Times New Roman"/>
                      <w:b/>
                      <w:bCs/>
                      <w:szCs w:val="21"/>
                    </w:rPr>
                    <w:t>标准</w:t>
                  </w:r>
                </w:p>
              </w:tc>
            </w:tr>
            <w:tr w14:paraId="53B07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jc w:val="center"/>
              </w:trPr>
              <w:tc>
                <w:tcPr>
                  <w:tcW w:w="428" w:type="pct"/>
                  <w:vMerge w:val="continue"/>
                  <w:tcBorders>
                    <w:tl2br w:val="nil"/>
                    <w:tr2bl w:val="nil"/>
                  </w:tcBorders>
                  <w:shd w:val="clear" w:color="auto" w:fill="FFFFFF"/>
                  <w:vAlign w:val="center"/>
                </w:tcPr>
                <w:p w14:paraId="4B85F04A">
                  <w:pPr>
                    <w:jc w:val="center"/>
                    <w:rPr>
                      <w:rFonts w:ascii="Times New Roman" w:hAnsi="Times New Roman" w:cs="Times New Roman"/>
                      <w:b/>
                      <w:bCs/>
                      <w:szCs w:val="21"/>
                    </w:rPr>
                  </w:pPr>
                </w:p>
              </w:tc>
              <w:tc>
                <w:tcPr>
                  <w:tcW w:w="540" w:type="pct"/>
                  <w:vMerge w:val="continue"/>
                  <w:tcBorders>
                    <w:tl2br w:val="nil"/>
                    <w:tr2bl w:val="nil"/>
                  </w:tcBorders>
                  <w:shd w:val="clear" w:color="auto" w:fill="FFFFFF"/>
                  <w:vAlign w:val="center"/>
                </w:tcPr>
                <w:p w14:paraId="6C603506">
                  <w:pPr>
                    <w:jc w:val="center"/>
                    <w:rPr>
                      <w:rFonts w:ascii="Times New Roman" w:hAnsi="Times New Roman" w:cs="Times New Roman"/>
                      <w:b/>
                      <w:bCs/>
                      <w:szCs w:val="21"/>
                    </w:rPr>
                  </w:pPr>
                </w:p>
              </w:tc>
              <w:tc>
                <w:tcPr>
                  <w:tcW w:w="513" w:type="pct"/>
                  <w:vMerge w:val="continue"/>
                  <w:tcBorders>
                    <w:tl2br w:val="nil"/>
                    <w:tr2bl w:val="nil"/>
                  </w:tcBorders>
                  <w:shd w:val="clear" w:color="auto" w:fill="FFFFFF"/>
                  <w:vAlign w:val="center"/>
                </w:tcPr>
                <w:p w14:paraId="41DF27D5">
                  <w:pPr>
                    <w:jc w:val="center"/>
                    <w:rPr>
                      <w:rFonts w:ascii="Times New Roman" w:hAnsi="Times New Roman" w:cs="Times New Roman"/>
                      <w:b/>
                      <w:bCs/>
                      <w:szCs w:val="21"/>
                    </w:rPr>
                  </w:pPr>
                </w:p>
              </w:tc>
              <w:tc>
                <w:tcPr>
                  <w:tcW w:w="531" w:type="pct"/>
                  <w:vMerge w:val="continue"/>
                  <w:tcBorders>
                    <w:tl2br w:val="nil"/>
                    <w:tr2bl w:val="nil"/>
                  </w:tcBorders>
                  <w:shd w:val="clear" w:color="auto" w:fill="FFFFFF"/>
                  <w:vAlign w:val="center"/>
                </w:tcPr>
                <w:p w14:paraId="2907EB93">
                  <w:pPr>
                    <w:jc w:val="center"/>
                    <w:rPr>
                      <w:rFonts w:ascii="Times New Roman" w:hAnsi="Times New Roman" w:cs="Times New Roman"/>
                      <w:b/>
                      <w:bCs/>
                      <w:szCs w:val="21"/>
                    </w:rPr>
                  </w:pPr>
                </w:p>
              </w:tc>
              <w:tc>
                <w:tcPr>
                  <w:tcW w:w="1005" w:type="pct"/>
                  <w:vMerge w:val="continue"/>
                  <w:tcBorders>
                    <w:tl2br w:val="nil"/>
                    <w:tr2bl w:val="nil"/>
                  </w:tcBorders>
                  <w:shd w:val="clear" w:color="auto" w:fill="FFFFFF"/>
                  <w:vAlign w:val="center"/>
                </w:tcPr>
                <w:p w14:paraId="2FE52E09">
                  <w:pPr>
                    <w:jc w:val="center"/>
                    <w:rPr>
                      <w:rFonts w:ascii="Times New Roman" w:hAnsi="Times New Roman" w:cs="Times New Roman"/>
                      <w:b/>
                      <w:bCs/>
                      <w:szCs w:val="21"/>
                    </w:rPr>
                  </w:pPr>
                </w:p>
              </w:tc>
              <w:tc>
                <w:tcPr>
                  <w:tcW w:w="406" w:type="pct"/>
                  <w:tcBorders>
                    <w:tl2br w:val="nil"/>
                    <w:tr2bl w:val="nil"/>
                  </w:tcBorders>
                  <w:shd w:val="clear" w:color="auto" w:fill="FFFFFF"/>
                  <w:vAlign w:val="center"/>
                </w:tcPr>
                <w:p w14:paraId="0623DBA0">
                  <w:pPr>
                    <w:jc w:val="center"/>
                    <w:rPr>
                      <w:rFonts w:ascii="Times New Roman" w:hAnsi="Times New Roman" w:cs="Times New Roman"/>
                      <w:b/>
                      <w:bCs/>
                      <w:szCs w:val="21"/>
                    </w:rPr>
                  </w:pPr>
                  <w:r>
                    <w:rPr>
                      <w:rFonts w:ascii="Times New Roman" w:hAnsi="Times New Roman" w:cs="Times New Roman"/>
                      <w:b/>
                      <w:bCs/>
                      <w:szCs w:val="21"/>
                    </w:rPr>
                    <w:t>排放量（t/a）</w:t>
                  </w:r>
                </w:p>
              </w:tc>
              <w:tc>
                <w:tcPr>
                  <w:tcW w:w="506" w:type="pct"/>
                  <w:tcBorders>
                    <w:tl2br w:val="nil"/>
                    <w:tr2bl w:val="nil"/>
                  </w:tcBorders>
                  <w:shd w:val="clear" w:color="auto" w:fill="FFFFFF"/>
                  <w:vAlign w:val="center"/>
                </w:tcPr>
                <w:p w14:paraId="28AD4020">
                  <w:pPr>
                    <w:jc w:val="center"/>
                    <w:rPr>
                      <w:rFonts w:ascii="Times New Roman" w:hAnsi="Times New Roman" w:cs="Times New Roman"/>
                      <w:b/>
                      <w:bCs/>
                      <w:szCs w:val="21"/>
                    </w:rPr>
                  </w:pPr>
                  <w:r>
                    <w:rPr>
                      <w:rFonts w:ascii="Times New Roman" w:hAnsi="Times New Roman" w:cs="Times New Roman"/>
                      <w:b/>
                      <w:bCs/>
                      <w:szCs w:val="21"/>
                    </w:rPr>
                    <w:t>排放</w:t>
                  </w:r>
                </w:p>
                <w:p w14:paraId="1981CB8B">
                  <w:pPr>
                    <w:jc w:val="center"/>
                    <w:rPr>
                      <w:rFonts w:ascii="Times New Roman" w:hAnsi="Times New Roman" w:cs="Times New Roman"/>
                      <w:b/>
                      <w:bCs/>
                      <w:szCs w:val="21"/>
                    </w:rPr>
                  </w:pPr>
                  <w:r>
                    <w:rPr>
                      <w:rFonts w:ascii="Times New Roman" w:hAnsi="Times New Roman" w:cs="Times New Roman"/>
                      <w:b/>
                      <w:bCs/>
                      <w:szCs w:val="21"/>
                    </w:rPr>
                    <w:t>速率</w:t>
                  </w:r>
                </w:p>
                <w:p w14:paraId="236A44A7">
                  <w:pPr>
                    <w:jc w:val="center"/>
                    <w:rPr>
                      <w:rFonts w:ascii="Times New Roman" w:hAnsi="Times New Roman" w:cs="Times New Roman"/>
                      <w:b/>
                      <w:bCs/>
                      <w:szCs w:val="21"/>
                    </w:rPr>
                  </w:pPr>
                  <w:r>
                    <w:rPr>
                      <w:rFonts w:ascii="Times New Roman" w:hAnsi="Times New Roman" w:cs="Times New Roman"/>
                      <w:b/>
                      <w:bCs/>
                      <w:szCs w:val="21"/>
                    </w:rPr>
                    <w:t>（kg/h）</w:t>
                  </w:r>
                </w:p>
              </w:tc>
              <w:tc>
                <w:tcPr>
                  <w:tcW w:w="620" w:type="pct"/>
                  <w:tcBorders>
                    <w:tl2br w:val="nil"/>
                    <w:tr2bl w:val="nil"/>
                  </w:tcBorders>
                  <w:shd w:val="clear" w:color="auto" w:fill="FFFFFF"/>
                  <w:vAlign w:val="center"/>
                </w:tcPr>
                <w:p w14:paraId="3ED87423">
                  <w:pPr>
                    <w:jc w:val="center"/>
                    <w:rPr>
                      <w:rFonts w:ascii="Times New Roman" w:hAnsi="Times New Roman" w:cs="Times New Roman"/>
                      <w:b/>
                      <w:bCs/>
                      <w:szCs w:val="21"/>
                    </w:rPr>
                  </w:pPr>
                  <w:r>
                    <w:rPr>
                      <w:rFonts w:ascii="Times New Roman" w:hAnsi="Times New Roman" w:cs="Times New Roman"/>
                      <w:b/>
                      <w:bCs/>
                      <w:szCs w:val="21"/>
                    </w:rPr>
                    <w:t>排放浓度（mg/m</w:t>
                  </w:r>
                  <w:r>
                    <w:rPr>
                      <w:rFonts w:ascii="Times New Roman" w:hAnsi="Times New Roman" w:cs="Times New Roman"/>
                      <w:b/>
                      <w:bCs/>
                      <w:szCs w:val="21"/>
                      <w:vertAlign w:val="superscript"/>
                    </w:rPr>
                    <w:t>3</w:t>
                  </w:r>
                  <w:r>
                    <w:rPr>
                      <w:rFonts w:ascii="Times New Roman" w:hAnsi="Times New Roman" w:cs="Times New Roman"/>
                      <w:b/>
                      <w:bCs/>
                      <w:szCs w:val="21"/>
                    </w:rPr>
                    <w:t>）</w:t>
                  </w:r>
                </w:p>
              </w:tc>
              <w:tc>
                <w:tcPr>
                  <w:tcW w:w="447" w:type="pct"/>
                  <w:tcBorders>
                    <w:tl2br w:val="nil"/>
                    <w:tr2bl w:val="nil"/>
                  </w:tcBorders>
                  <w:shd w:val="clear" w:color="auto" w:fill="FFFFFF"/>
                  <w:vAlign w:val="center"/>
                </w:tcPr>
                <w:p w14:paraId="10EC48C5">
                  <w:pPr>
                    <w:jc w:val="center"/>
                    <w:rPr>
                      <w:rFonts w:ascii="Times New Roman" w:hAnsi="Times New Roman" w:cs="Times New Roman"/>
                      <w:b/>
                      <w:bCs/>
                      <w:szCs w:val="21"/>
                    </w:rPr>
                  </w:pPr>
                  <w:r>
                    <w:rPr>
                      <w:rFonts w:ascii="Times New Roman" w:hAnsi="Times New Roman" w:cs="Times New Roman"/>
                      <w:b/>
                      <w:bCs/>
                      <w:szCs w:val="21"/>
                    </w:rPr>
                    <w:t>浓度(mg/m</w:t>
                  </w:r>
                  <w:r>
                    <w:rPr>
                      <w:rFonts w:ascii="Times New Roman" w:hAnsi="Times New Roman" w:cs="Times New Roman"/>
                      <w:b/>
                      <w:bCs/>
                      <w:szCs w:val="21"/>
                      <w:vertAlign w:val="superscript"/>
                    </w:rPr>
                    <w:t>3</w:t>
                  </w:r>
                  <w:r>
                    <w:rPr>
                      <w:rFonts w:ascii="Times New Roman" w:hAnsi="Times New Roman" w:cs="Times New Roman"/>
                      <w:b/>
                      <w:bCs/>
                      <w:szCs w:val="21"/>
                    </w:rPr>
                    <w:t>)</w:t>
                  </w:r>
                </w:p>
              </w:tc>
            </w:tr>
            <w:tr w14:paraId="62B19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jc w:val="center"/>
              </w:trPr>
              <w:tc>
                <w:tcPr>
                  <w:tcW w:w="428" w:type="pct"/>
                  <w:vMerge w:val="restart"/>
                  <w:tcBorders>
                    <w:tl2br w:val="nil"/>
                    <w:tr2bl w:val="nil"/>
                  </w:tcBorders>
                  <w:shd w:val="clear" w:color="auto" w:fill="FFFFFF"/>
                  <w:vAlign w:val="center"/>
                </w:tcPr>
                <w:p w14:paraId="32CC5A8C">
                  <w:pPr>
                    <w:jc w:val="center"/>
                    <w:rPr>
                      <w:rFonts w:ascii="Times New Roman" w:hAnsi="Times New Roman" w:cs="Times New Roman"/>
                      <w:szCs w:val="21"/>
                    </w:rPr>
                  </w:pPr>
                  <w:r>
                    <w:rPr>
                      <w:rFonts w:ascii="Times New Roman" w:hAnsi="Times New Roman" w:cs="Times New Roman"/>
                      <w:szCs w:val="21"/>
                    </w:rPr>
                    <w:t>DA001</w:t>
                  </w:r>
                </w:p>
              </w:tc>
              <w:tc>
                <w:tcPr>
                  <w:tcW w:w="540" w:type="pct"/>
                  <w:vMerge w:val="restart"/>
                  <w:tcBorders>
                    <w:tl2br w:val="nil"/>
                    <w:tr2bl w:val="nil"/>
                  </w:tcBorders>
                  <w:shd w:val="clear" w:color="auto" w:fill="FFFFFF"/>
                  <w:vAlign w:val="center"/>
                </w:tcPr>
                <w:p w14:paraId="64BA6B6C">
                  <w:pPr>
                    <w:wordWrap w:val="0"/>
                    <w:topLinePunct/>
                    <w:jc w:val="center"/>
                    <w:rPr>
                      <w:rFonts w:ascii="Times New Roman" w:hAnsi="Times New Roman" w:cs="Times New Roman"/>
                      <w:szCs w:val="21"/>
                    </w:rPr>
                  </w:pPr>
                  <w:r>
                    <w:rPr>
                      <w:rFonts w:hint="eastAsia" w:ascii="Times New Roman" w:hAnsi="Times New Roman" w:cs="Times New Roman"/>
                      <w:szCs w:val="21"/>
                    </w:rPr>
                    <w:t>烘干滚筒燃烧器；烘干、筛分、热骨料仓</w:t>
                  </w:r>
                </w:p>
              </w:tc>
              <w:tc>
                <w:tcPr>
                  <w:tcW w:w="513" w:type="pct"/>
                  <w:vMerge w:val="restart"/>
                  <w:tcBorders>
                    <w:tl2br w:val="nil"/>
                    <w:tr2bl w:val="nil"/>
                  </w:tcBorders>
                  <w:shd w:val="clear" w:color="auto" w:fill="FFFFFF"/>
                  <w:vAlign w:val="center"/>
                </w:tcPr>
                <w:p w14:paraId="5EB801C6">
                  <w:pPr>
                    <w:jc w:val="center"/>
                    <w:rPr>
                      <w:rFonts w:ascii="Times New Roman" w:hAnsi="Times New Roman" w:cs="Times New Roman"/>
                      <w:szCs w:val="21"/>
                    </w:rPr>
                  </w:pPr>
                  <w:r>
                    <w:rPr>
                      <w:rFonts w:ascii="Times New Roman" w:hAnsi="Times New Roman" w:cs="Times New Roman"/>
                      <w:szCs w:val="21"/>
                    </w:rPr>
                    <w:t>有组织</w:t>
                  </w:r>
                </w:p>
              </w:tc>
              <w:tc>
                <w:tcPr>
                  <w:tcW w:w="531" w:type="pct"/>
                  <w:tcBorders>
                    <w:bottom w:val="single" w:color="auto" w:sz="4" w:space="0"/>
                    <w:tl2br w:val="nil"/>
                    <w:tr2bl w:val="nil"/>
                  </w:tcBorders>
                  <w:shd w:val="clear" w:color="auto" w:fill="FFFFFF"/>
                  <w:vAlign w:val="center"/>
                </w:tcPr>
                <w:p w14:paraId="5428E637">
                  <w:pPr>
                    <w:jc w:val="center"/>
                    <w:rPr>
                      <w:rFonts w:ascii="Times New Roman" w:hAnsi="Times New Roman" w:cs="Times New Roman"/>
                      <w:szCs w:val="21"/>
                    </w:rPr>
                  </w:pPr>
                  <w:r>
                    <w:rPr>
                      <w:rFonts w:hint="eastAsia" w:ascii="Times New Roman" w:hAnsi="Times New Roman" w:cs="Times New Roman"/>
                      <w:szCs w:val="21"/>
                    </w:rPr>
                    <w:t>颗粒物</w:t>
                  </w:r>
                </w:p>
              </w:tc>
              <w:tc>
                <w:tcPr>
                  <w:tcW w:w="1005" w:type="pct"/>
                  <w:vMerge w:val="restart"/>
                  <w:tcBorders>
                    <w:tl2br w:val="nil"/>
                    <w:tr2bl w:val="nil"/>
                  </w:tcBorders>
                  <w:shd w:val="clear" w:color="auto" w:fill="FFFFFF"/>
                  <w:vAlign w:val="center"/>
                </w:tcPr>
                <w:p w14:paraId="4014AB4A">
                  <w:pPr>
                    <w:wordWrap w:val="0"/>
                    <w:topLinePunct/>
                    <w:jc w:val="center"/>
                    <w:rPr>
                      <w:rFonts w:ascii="Times New Roman" w:hAnsi="Times New Roman" w:cs="Times New Roman"/>
                      <w:szCs w:val="21"/>
                    </w:rPr>
                  </w:pPr>
                  <w:r>
                    <w:rPr>
                      <w:rFonts w:ascii="Times New Roman" w:hAnsi="Times New Roman" w:cs="Times New Roman"/>
                      <w:szCs w:val="21"/>
                    </w:rPr>
                    <w:t>蜗壳除尘</w:t>
                  </w:r>
                  <w:r>
                    <w:rPr>
                      <w:rFonts w:hint="eastAsia" w:ascii="Times New Roman" w:hAnsi="Times New Roman" w:cs="Times New Roman"/>
                      <w:szCs w:val="21"/>
                    </w:rPr>
                    <w:t>+</w:t>
                  </w:r>
                  <w:r>
                    <w:rPr>
                      <w:rFonts w:ascii="Times New Roman" w:hAnsi="Times New Roman" w:cs="Times New Roman"/>
                      <w:szCs w:val="21"/>
                    </w:rPr>
                    <w:t>布袋除尘+</w:t>
                  </w:r>
                  <w:r>
                    <w:rPr>
                      <w:rFonts w:hint="eastAsia" w:ascii="Times New Roman" w:hAnsi="Times New Roman" w:cs="Times New Roman"/>
                      <w:szCs w:val="21"/>
                    </w:rPr>
                    <w:t>22</w:t>
                  </w:r>
                  <w:r>
                    <w:rPr>
                      <w:rFonts w:ascii="Times New Roman" w:hAnsi="Times New Roman" w:cs="Times New Roman"/>
                      <w:szCs w:val="21"/>
                    </w:rPr>
                    <w:t>m高排气筒（DA001）排放</w:t>
                  </w:r>
                </w:p>
              </w:tc>
              <w:tc>
                <w:tcPr>
                  <w:tcW w:w="406" w:type="pct"/>
                  <w:tcBorders>
                    <w:bottom w:val="single" w:color="auto" w:sz="4" w:space="0"/>
                    <w:tl2br w:val="nil"/>
                    <w:tr2bl w:val="nil"/>
                  </w:tcBorders>
                  <w:shd w:val="clear" w:color="auto" w:fill="FFFFFF"/>
                  <w:vAlign w:val="center"/>
                </w:tcPr>
                <w:p w14:paraId="73FC1184">
                  <w:pPr>
                    <w:jc w:val="center"/>
                    <w:rPr>
                      <w:rFonts w:ascii="Times New Roman" w:hAnsi="Times New Roman" w:cs="Times New Roman"/>
                      <w:szCs w:val="21"/>
                    </w:rPr>
                  </w:pPr>
                  <w:r>
                    <w:rPr>
                      <w:rFonts w:hint="eastAsia" w:ascii="Times New Roman" w:hAnsi="Times New Roman" w:cs="Times New Roman"/>
                      <w:szCs w:val="21"/>
                    </w:rPr>
                    <w:t>0.40739</w:t>
                  </w:r>
                </w:p>
              </w:tc>
              <w:tc>
                <w:tcPr>
                  <w:tcW w:w="506" w:type="pct"/>
                  <w:tcBorders>
                    <w:bottom w:val="single" w:color="auto" w:sz="4" w:space="0"/>
                    <w:tl2br w:val="nil"/>
                    <w:tr2bl w:val="nil"/>
                  </w:tcBorders>
                  <w:shd w:val="clear" w:color="auto" w:fill="FFFFFF"/>
                  <w:vAlign w:val="center"/>
                </w:tcPr>
                <w:p w14:paraId="2838FAC7">
                  <w:pPr>
                    <w:jc w:val="center"/>
                    <w:rPr>
                      <w:rFonts w:ascii="Times New Roman" w:hAnsi="Times New Roman" w:cs="Times New Roman"/>
                      <w:szCs w:val="21"/>
                    </w:rPr>
                  </w:pPr>
                  <w:r>
                    <w:rPr>
                      <w:rFonts w:hint="eastAsia" w:ascii="Times New Roman" w:hAnsi="Times New Roman" w:cs="Times New Roman"/>
                      <w:szCs w:val="21"/>
                    </w:rPr>
                    <w:t>0.283</w:t>
                  </w:r>
                </w:p>
              </w:tc>
              <w:tc>
                <w:tcPr>
                  <w:tcW w:w="620" w:type="pct"/>
                  <w:tcBorders>
                    <w:bottom w:val="single" w:color="auto" w:sz="4" w:space="0"/>
                    <w:tl2br w:val="nil"/>
                    <w:tr2bl w:val="nil"/>
                  </w:tcBorders>
                  <w:shd w:val="clear" w:color="auto" w:fill="FFFFFF"/>
                  <w:vAlign w:val="center"/>
                </w:tcPr>
                <w:p w14:paraId="2CF967A8">
                  <w:pPr>
                    <w:jc w:val="center"/>
                    <w:rPr>
                      <w:rFonts w:ascii="Times New Roman" w:hAnsi="Times New Roman" w:cs="Times New Roman"/>
                      <w:szCs w:val="21"/>
                    </w:rPr>
                  </w:pPr>
                  <w:r>
                    <w:rPr>
                      <w:rFonts w:hint="eastAsia" w:ascii="Times New Roman" w:hAnsi="Times New Roman" w:cs="Times New Roman"/>
                      <w:szCs w:val="21"/>
                    </w:rPr>
                    <w:t>6.29</w:t>
                  </w:r>
                </w:p>
              </w:tc>
              <w:tc>
                <w:tcPr>
                  <w:tcW w:w="447" w:type="pct"/>
                  <w:tcBorders>
                    <w:bottom w:val="single" w:color="auto" w:sz="4" w:space="0"/>
                    <w:tl2br w:val="nil"/>
                    <w:tr2bl w:val="nil"/>
                  </w:tcBorders>
                  <w:shd w:val="clear" w:color="auto" w:fill="FFFFFF"/>
                  <w:vAlign w:val="center"/>
                </w:tcPr>
                <w:p w14:paraId="770A56D1">
                  <w:pPr>
                    <w:jc w:val="center"/>
                    <w:rPr>
                      <w:rFonts w:ascii="Times New Roman" w:hAnsi="Times New Roman" w:cs="Times New Roman"/>
                      <w:color w:val="FF0000"/>
                      <w:szCs w:val="21"/>
                    </w:rPr>
                  </w:pPr>
                  <w:r>
                    <w:rPr>
                      <w:rFonts w:hint="eastAsia" w:ascii="Times New Roman" w:hAnsi="Times New Roman" w:cs="Times New Roman"/>
                      <w:color w:val="FF0000"/>
                      <w:szCs w:val="21"/>
                    </w:rPr>
                    <w:t>120</w:t>
                  </w:r>
                </w:p>
              </w:tc>
            </w:tr>
            <w:tr w14:paraId="04DF8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36" w:hRule="atLeast"/>
                <w:jc w:val="center"/>
              </w:trPr>
              <w:tc>
                <w:tcPr>
                  <w:tcW w:w="428" w:type="pct"/>
                  <w:vMerge w:val="continue"/>
                  <w:tcBorders>
                    <w:tl2br w:val="nil"/>
                    <w:tr2bl w:val="nil"/>
                  </w:tcBorders>
                  <w:shd w:val="clear" w:color="auto" w:fill="FFFFFF"/>
                  <w:vAlign w:val="center"/>
                </w:tcPr>
                <w:p w14:paraId="522F4582">
                  <w:pPr>
                    <w:jc w:val="center"/>
                    <w:rPr>
                      <w:rFonts w:ascii="Times New Roman" w:hAnsi="Times New Roman" w:cs="Times New Roman"/>
                      <w:szCs w:val="21"/>
                    </w:rPr>
                  </w:pPr>
                </w:p>
              </w:tc>
              <w:tc>
                <w:tcPr>
                  <w:tcW w:w="540" w:type="pct"/>
                  <w:vMerge w:val="continue"/>
                  <w:tcBorders>
                    <w:tl2br w:val="nil"/>
                    <w:tr2bl w:val="nil"/>
                  </w:tcBorders>
                  <w:shd w:val="clear" w:color="auto" w:fill="FFFFFF"/>
                  <w:vAlign w:val="center"/>
                </w:tcPr>
                <w:p w14:paraId="7A8A73A0">
                  <w:pPr>
                    <w:jc w:val="center"/>
                    <w:rPr>
                      <w:rFonts w:ascii="Times New Roman" w:hAnsi="Times New Roman" w:cs="Times New Roman"/>
                      <w:szCs w:val="21"/>
                    </w:rPr>
                  </w:pPr>
                </w:p>
              </w:tc>
              <w:tc>
                <w:tcPr>
                  <w:tcW w:w="513" w:type="pct"/>
                  <w:vMerge w:val="continue"/>
                  <w:tcBorders>
                    <w:tl2br w:val="nil"/>
                    <w:tr2bl w:val="nil"/>
                  </w:tcBorders>
                  <w:shd w:val="clear" w:color="auto" w:fill="FFFFFF"/>
                  <w:vAlign w:val="center"/>
                </w:tcPr>
                <w:p w14:paraId="2C82B471">
                  <w:pPr>
                    <w:jc w:val="center"/>
                    <w:rPr>
                      <w:rFonts w:ascii="Times New Roman" w:hAnsi="Times New Roman" w:cs="Times New Roman"/>
                      <w:szCs w:val="21"/>
                    </w:rPr>
                  </w:pPr>
                </w:p>
              </w:tc>
              <w:tc>
                <w:tcPr>
                  <w:tcW w:w="531" w:type="pct"/>
                  <w:tcBorders>
                    <w:top w:val="single" w:color="auto" w:sz="4" w:space="0"/>
                    <w:bottom w:val="single" w:color="auto" w:sz="4" w:space="0"/>
                    <w:tl2br w:val="nil"/>
                    <w:tr2bl w:val="nil"/>
                  </w:tcBorders>
                  <w:shd w:val="clear" w:color="auto" w:fill="FFFFFF"/>
                  <w:vAlign w:val="center"/>
                </w:tcPr>
                <w:p w14:paraId="2D511B82">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bCs/>
                      <w:szCs w:val="21"/>
                    </w:rPr>
                    <w:t>SO</w:t>
                  </w:r>
                  <w:r>
                    <w:rPr>
                      <w:rFonts w:ascii="Times New Roman" w:hAnsi="Times New Roman" w:eastAsia="宋体" w:cs="Times New Roman"/>
                      <w:bCs/>
                      <w:szCs w:val="21"/>
                      <w:vertAlign w:val="subscript"/>
                    </w:rPr>
                    <w:t>2</w:t>
                  </w:r>
                </w:p>
              </w:tc>
              <w:tc>
                <w:tcPr>
                  <w:tcW w:w="1005" w:type="pct"/>
                  <w:vMerge w:val="continue"/>
                  <w:tcBorders>
                    <w:tl2br w:val="nil"/>
                    <w:tr2bl w:val="nil"/>
                  </w:tcBorders>
                  <w:shd w:val="clear" w:color="auto" w:fill="FFFFFF"/>
                  <w:vAlign w:val="center"/>
                </w:tcPr>
                <w:p w14:paraId="1B991682">
                  <w:pPr>
                    <w:jc w:val="center"/>
                    <w:rPr>
                      <w:rFonts w:ascii="Times New Roman" w:hAnsi="Times New Roman" w:cs="Times New Roman"/>
                      <w:szCs w:val="21"/>
                    </w:rPr>
                  </w:pPr>
                </w:p>
              </w:tc>
              <w:tc>
                <w:tcPr>
                  <w:tcW w:w="665" w:type="dxa"/>
                  <w:tcBorders>
                    <w:top w:val="single" w:color="auto" w:sz="4" w:space="0"/>
                    <w:bottom w:val="single" w:color="auto" w:sz="4" w:space="0"/>
                    <w:tl2br w:val="nil"/>
                    <w:tr2bl w:val="nil"/>
                  </w:tcBorders>
                  <w:shd w:val="clear" w:color="auto" w:fill="FFFFFF"/>
                  <w:vAlign w:val="center"/>
                </w:tcPr>
                <w:p w14:paraId="5B012941">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0.0029</w:t>
                  </w:r>
                </w:p>
              </w:tc>
              <w:tc>
                <w:tcPr>
                  <w:tcW w:w="829" w:type="dxa"/>
                  <w:tcBorders>
                    <w:top w:val="single" w:color="auto" w:sz="4" w:space="0"/>
                    <w:bottom w:val="single" w:color="auto" w:sz="4" w:space="0"/>
                    <w:tl2br w:val="nil"/>
                    <w:tr2bl w:val="nil"/>
                  </w:tcBorders>
                  <w:shd w:val="clear" w:color="auto" w:fill="FFFFFF"/>
                  <w:vAlign w:val="center"/>
                </w:tcPr>
                <w:p w14:paraId="56988D03">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0.002</w:t>
                  </w:r>
                </w:p>
              </w:tc>
              <w:tc>
                <w:tcPr>
                  <w:tcW w:w="1015" w:type="dxa"/>
                  <w:tcBorders>
                    <w:top w:val="single" w:color="auto" w:sz="4" w:space="0"/>
                    <w:bottom w:val="single" w:color="auto" w:sz="4" w:space="0"/>
                    <w:tl2br w:val="nil"/>
                    <w:tr2bl w:val="nil"/>
                  </w:tcBorders>
                  <w:shd w:val="clear" w:color="auto" w:fill="FFFFFF"/>
                  <w:vAlign w:val="center"/>
                </w:tcPr>
                <w:p w14:paraId="3566833B">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1.08</w:t>
                  </w:r>
                </w:p>
              </w:tc>
              <w:tc>
                <w:tcPr>
                  <w:tcW w:w="732" w:type="dxa"/>
                  <w:tcBorders>
                    <w:top w:val="single" w:color="auto" w:sz="4" w:space="0"/>
                    <w:bottom w:val="single" w:color="auto" w:sz="4" w:space="0"/>
                    <w:tl2br w:val="nil"/>
                    <w:tr2bl w:val="nil"/>
                  </w:tcBorders>
                  <w:shd w:val="clear" w:color="auto" w:fill="FFFFFF"/>
                  <w:vAlign w:val="center"/>
                </w:tcPr>
                <w:p w14:paraId="38C551CA">
                  <w:pPr>
                    <w:adjustRightInd w:val="0"/>
                    <w:spacing w:line="240" w:lineRule="exact"/>
                    <w:jc w:val="center"/>
                    <w:textAlignment w:val="baseline"/>
                    <w:rPr>
                      <w:rFonts w:ascii="Times New Roman" w:hAnsi="Times New Roman" w:cs="Times New Roman"/>
                      <w:color w:val="FF0000"/>
                      <w:szCs w:val="21"/>
                    </w:rPr>
                  </w:pPr>
                  <w:r>
                    <w:rPr>
                      <w:rFonts w:hint="eastAsia" w:ascii="Times New Roman" w:hAnsi="Times New Roman" w:eastAsia="宋体" w:cs="Times New Roman"/>
                      <w:color w:val="FF0000"/>
                      <w:szCs w:val="21"/>
                    </w:rPr>
                    <w:t>550</w:t>
                  </w:r>
                </w:p>
              </w:tc>
            </w:tr>
            <w:tr w14:paraId="16FB0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428" w:type="pct"/>
                  <w:vMerge w:val="continue"/>
                  <w:tcBorders>
                    <w:tl2br w:val="nil"/>
                    <w:tr2bl w:val="nil"/>
                  </w:tcBorders>
                  <w:shd w:val="clear" w:color="auto" w:fill="FFFFFF"/>
                  <w:vAlign w:val="center"/>
                </w:tcPr>
                <w:p w14:paraId="0E3E81F4">
                  <w:pPr>
                    <w:jc w:val="center"/>
                    <w:rPr>
                      <w:rFonts w:ascii="Times New Roman" w:hAnsi="Times New Roman" w:cs="Times New Roman"/>
                      <w:szCs w:val="21"/>
                    </w:rPr>
                  </w:pPr>
                </w:p>
              </w:tc>
              <w:tc>
                <w:tcPr>
                  <w:tcW w:w="540" w:type="pct"/>
                  <w:vMerge w:val="continue"/>
                  <w:tcBorders>
                    <w:tl2br w:val="nil"/>
                    <w:tr2bl w:val="nil"/>
                  </w:tcBorders>
                  <w:shd w:val="clear" w:color="auto" w:fill="FFFFFF"/>
                  <w:vAlign w:val="center"/>
                </w:tcPr>
                <w:p w14:paraId="0F0C1EB9">
                  <w:pPr>
                    <w:jc w:val="center"/>
                    <w:rPr>
                      <w:rFonts w:ascii="Times New Roman" w:hAnsi="Times New Roman" w:cs="Times New Roman"/>
                      <w:szCs w:val="21"/>
                    </w:rPr>
                  </w:pPr>
                </w:p>
              </w:tc>
              <w:tc>
                <w:tcPr>
                  <w:tcW w:w="513" w:type="pct"/>
                  <w:vMerge w:val="continue"/>
                  <w:tcBorders>
                    <w:tl2br w:val="nil"/>
                    <w:tr2bl w:val="nil"/>
                  </w:tcBorders>
                  <w:shd w:val="clear" w:color="auto" w:fill="FFFFFF"/>
                  <w:vAlign w:val="center"/>
                </w:tcPr>
                <w:p w14:paraId="5F0351B5">
                  <w:pPr>
                    <w:jc w:val="center"/>
                    <w:rPr>
                      <w:rFonts w:ascii="Times New Roman" w:hAnsi="Times New Roman" w:cs="Times New Roman"/>
                      <w:szCs w:val="21"/>
                    </w:rPr>
                  </w:pPr>
                </w:p>
              </w:tc>
              <w:tc>
                <w:tcPr>
                  <w:tcW w:w="531" w:type="pct"/>
                  <w:tcBorders>
                    <w:top w:val="single" w:color="auto" w:sz="4" w:space="0"/>
                    <w:bottom w:val="single" w:color="auto" w:sz="4" w:space="0"/>
                    <w:tl2br w:val="nil"/>
                    <w:tr2bl w:val="nil"/>
                  </w:tcBorders>
                  <w:shd w:val="clear" w:color="auto" w:fill="FFFFFF"/>
                  <w:vAlign w:val="center"/>
                </w:tcPr>
                <w:p w14:paraId="1D6276EE">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bCs/>
                      <w:szCs w:val="21"/>
                    </w:rPr>
                    <w:t>NO</w:t>
                  </w:r>
                  <w:r>
                    <w:rPr>
                      <w:rFonts w:ascii="Times New Roman" w:hAnsi="Times New Roman" w:eastAsia="宋体" w:cs="Times New Roman"/>
                      <w:bCs/>
                      <w:szCs w:val="21"/>
                      <w:vertAlign w:val="subscript"/>
                    </w:rPr>
                    <w:t>x</w:t>
                  </w:r>
                </w:p>
              </w:tc>
              <w:tc>
                <w:tcPr>
                  <w:tcW w:w="1005" w:type="pct"/>
                  <w:vMerge w:val="continue"/>
                  <w:tcBorders>
                    <w:tl2br w:val="nil"/>
                    <w:tr2bl w:val="nil"/>
                  </w:tcBorders>
                  <w:shd w:val="clear" w:color="auto" w:fill="FFFFFF"/>
                  <w:vAlign w:val="center"/>
                </w:tcPr>
                <w:p w14:paraId="65794AB2">
                  <w:pPr>
                    <w:jc w:val="center"/>
                    <w:rPr>
                      <w:rFonts w:ascii="Times New Roman" w:hAnsi="Times New Roman" w:cs="Times New Roman"/>
                      <w:szCs w:val="21"/>
                    </w:rPr>
                  </w:pPr>
                </w:p>
              </w:tc>
              <w:tc>
                <w:tcPr>
                  <w:tcW w:w="665" w:type="dxa"/>
                  <w:tcBorders>
                    <w:top w:val="single" w:color="auto" w:sz="4" w:space="0"/>
                    <w:bottom w:val="single" w:color="auto" w:sz="4" w:space="0"/>
                    <w:tl2br w:val="nil"/>
                    <w:tr2bl w:val="nil"/>
                  </w:tcBorders>
                  <w:shd w:val="clear" w:color="auto" w:fill="FFFFFF"/>
                  <w:vAlign w:val="center"/>
                </w:tcPr>
                <w:p w14:paraId="79337E61">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0.454</w:t>
                  </w:r>
                </w:p>
              </w:tc>
              <w:tc>
                <w:tcPr>
                  <w:tcW w:w="829" w:type="dxa"/>
                  <w:tcBorders>
                    <w:top w:val="single" w:color="auto" w:sz="4" w:space="0"/>
                    <w:bottom w:val="single" w:color="auto" w:sz="4" w:space="0"/>
                    <w:tl2br w:val="nil"/>
                    <w:tr2bl w:val="nil"/>
                  </w:tcBorders>
                  <w:shd w:val="clear" w:color="auto" w:fill="FFFFFF"/>
                  <w:vAlign w:val="center"/>
                </w:tcPr>
                <w:p w14:paraId="478448C6">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0.316</w:t>
                  </w:r>
                </w:p>
              </w:tc>
              <w:tc>
                <w:tcPr>
                  <w:tcW w:w="1015" w:type="dxa"/>
                  <w:tcBorders>
                    <w:top w:val="single" w:color="auto" w:sz="4" w:space="0"/>
                    <w:bottom w:val="single" w:color="auto" w:sz="4" w:space="0"/>
                    <w:tl2br w:val="nil"/>
                    <w:tr2bl w:val="nil"/>
                  </w:tcBorders>
                  <w:shd w:val="clear" w:color="auto" w:fill="FFFFFF"/>
                  <w:vAlign w:val="center"/>
                </w:tcPr>
                <w:p w14:paraId="38E89F62">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169.99</w:t>
                  </w:r>
                </w:p>
              </w:tc>
              <w:tc>
                <w:tcPr>
                  <w:tcW w:w="732" w:type="dxa"/>
                  <w:tcBorders>
                    <w:top w:val="single" w:color="auto" w:sz="4" w:space="0"/>
                    <w:bottom w:val="single" w:color="auto" w:sz="4" w:space="0"/>
                    <w:tl2br w:val="nil"/>
                    <w:tr2bl w:val="nil"/>
                  </w:tcBorders>
                  <w:shd w:val="clear" w:color="auto" w:fill="FFFFFF"/>
                  <w:vAlign w:val="center"/>
                </w:tcPr>
                <w:p w14:paraId="4F374911">
                  <w:pPr>
                    <w:adjustRightInd w:val="0"/>
                    <w:spacing w:line="240" w:lineRule="exact"/>
                    <w:jc w:val="center"/>
                    <w:textAlignment w:val="baseline"/>
                    <w:rPr>
                      <w:rFonts w:ascii="Times New Roman" w:hAnsi="Times New Roman" w:cs="Times New Roman"/>
                      <w:color w:val="FF0000"/>
                      <w:szCs w:val="21"/>
                    </w:rPr>
                  </w:pPr>
                  <w:r>
                    <w:rPr>
                      <w:rFonts w:hint="eastAsia" w:ascii="Times New Roman" w:hAnsi="Times New Roman" w:eastAsia="宋体" w:cs="Times New Roman"/>
                      <w:color w:val="FF0000"/>
                      <w:szCs w:val="21"/>
                    </w:rPr>
                    <w:t>240</w:t>
                  </w:r>
                </w:p>
              </w:tc>
            </w:tr>
            <w:tr w14:paraId="4EB2E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000" w:type="pct"/>
                  <w:gridSpan w:val="9"/>
                  <w:tcBorders>
                    <w:tl2br w:val="nil"/>
                    <w:tr2bl w:val="nil"/>
                  </w:tcBorders>
                  <w:shd w:val="clear" w:color="auto" w:fill="FFFFFF"/>
                  <w:vAlign w:val="center"/>
                </w:tcPr>
                <w:p w14:paraId="369D6184">
                  <w:pPr>
                    <w:adjustRightInd w:val="0"/>
                    <w:spacing w:line="240" w:lineRule="exact"/>
                    <w:textAlignment w:val="baseline"/>
                    <w:rPr>
                      <w:rFonts w:ascii="Times New Roman" w:hAnsi="Times New Roman" w:eastAsia="宋体" w:cs="Times New Roman"/>
                      <w:szCs w:val="21"/>
                    </w:rPr>
                  </w:pPr>
                  <w:r>
                    <w:rPr>
                      <w:rFonts w:hint="eastAsia" w:ascii="Times New Roman" w:hAnsi="Times New Roman" w:eastAsia="宋体" w:cs="Times New Roman"/>
                      <w:szCs w:val="21"/>
                    </w:rPr>
                    <w:t>注：混合废气颗粒物排放从严执行，排放浓度为120mg</w:t>
                  </w:r>
                  <w:r>
                    <w:rPr>
                      <w:rFonts w:ascii="Times New Roman" w:hAnsi="Times New Roman" w:eastAsia="宋体" w:cs="Times New Roman"/>
                      <w:szCs w:val="21"/>
                    </w:rPr>
                    <w:t>/</w:t>
                  </w:r>
                  <w:r>
                    <w:rPr>
                      <w:rFonts w:hint="eastAsia" w:ascii="Times New Roman" w:hAnsi="Times New Roman" w:eastAsia="宋体" w:cs="Times New Roman"/>
                      <w:szCs w:val="21"/>
                    </w:rPr>
                    <w:t>m</w:t>
                  </w:r>
                  <w:r>
                    <w:rPr>
                      <w:rFonts w:hint="eastAsia" w:ascii="Times New Roman" w:hAnsi="Times New Roman" w:eastAsia="宋体" w:cs="Times New Roman"/>
                      <w:szCs w:val="21"/>
                      <w:vertAlign w:val="superscript"/>
                    </w:rPr>
                    <w:t>3</w:t>
                  </w:r>
                </w:p>
              </w:tc>
            </w:tr>
          </w:tbl>
          <w:p w14:paraId="40955259">
            <w:pPr>
              <w:pStyle w:val="4"/>
              <w:keepNext w:val="0"/>
              <w:keepLines w:val="0"/>
              <w:wordWrap w:val="0"/>
              <w:topLinePunct/>
              <w:ind w:firstLine="482"/>
              <w:rPr>
                <w:rFonts w:ascii="Times New Roman" w:hAnsi="Times New Roman" w:cs="Times New Roman"/>
                <w:bCs/>
                <w:color w:val="auto"/>
                <w:spacing w:val="0"/>
                <w:w w:val="100"/>
                <w:szCs w:val="24"/>
              </w:rPr>
            </w:pPr>
            <w:r>
              <w:rPr>
                <w:rFonts w:hint="eastAsia" w:ascii="Times New Roman" w:hAnsi="Times New Roman" w:cs="Times New Roman"/>
                <w:bCs/>
                <w:color w:val="auto"/>
                <w:spacing w:val="0"/>
                <w:w w:val="100"/>
                <w:szCs w:val="24"/>
              </w:rPr>
              <w:t>2.2.8搅拌粉尘、搅拌罐沥青烟气、成品出料沥青烟气及沥青储罐呼吸废气（</w:t>
            </w:r>
            <w:r>
              <w:rPr>
                <w:rFonts w:ascii="Times New Roman" w:hAnsi="Times New Roman" w:cs="Times New Roman"/>
                <w:bCs/>
                <w:color w:val="auto"/>
                <w:spacing w:val="0"/>
                <w:w w:val="100"/>
                <w:szCs w:val="24"/>
              </w:rPr>
              <w:t>DA002</w:t>
            </w:r>
            <w:r>
              <w:rPr>
                <w:rFonts w:hint="eastAsia" w:ascii="Times New Roman" w:hAnsi="Times New Roman" w:cs="Times New Roman"/>
                <w:bCs/>
                <w:color w:val="auto"/>
                <w:spacing w:val="0"/>
                <w:w w:val="100"/>
                <w:szCs w:val="24"/>
              </w:rPr>
              <w:t>）</w:t>
            </w:r>
          </w:p>
          <w:p w14:paraId="3B84F2D4">
            <w:pPr>
              <w:pStyle w:val="4"/>
              <w:keepNext w:val="0"/>
              <w:keepLines w:val="0"/>
              <w:wordWrap w:val="0"/>
              <w:topLinePunct/>
              <w:ind w:firstLine="480"/>
              <w:rPr>
                <w:rFonts w:ascii="Times New Roman" w:hAnsi="Times New Roman" w:cs="Times New Roman"/>
                <w:b w:val="0"/>
                <w:spacing w:val="0"/>
                <w:w w:val="100"/>
                <w:szCs w:val="24"/>
              </w:rPr>
            </w:pPr>
            <w:r>
              <w:rPr>
                <w:rFonts w:hint="eastAsia" w:ascii="Times New Roman" w:hAnsi="Times New Roman" w:cs="Times New Roman"/>
                <w:b w:val="0"/>
                <w:spacing w:val="0"/>
                <w:w w:val="100"/>
                <w:szCs w:val="24"/>
              </w:rPr>
              <w:t>（1）搅拌粉尘</w:t>
            </w:r>
          </w:p>
          <w:p w14:paraId="76648854">
            <w:pPr>
              <w:pStyle w:val="4"/>
              <w:keepNext w:val="0"/>
              <w:keepLines w:val="0"/>
              <w:wordWrap w:val="0"/>
              <w:topLinePunct/>
              <w:ind w:firstLine="482"/>
              <w:rPr>
                <w:rFonts w:ascii="Times New Roman" w:hAnsi="Times New Roman" w:cs="Times New Roman"/>
                <w:b w:val="0"/>
                <w:spacing w:val="0"/>
                <w:w w:val="100"/>
                <w:szCs w:val="24"/>
              </w:rPr>
            </w:pPr>
            <w:r>
              <w:rPr>
                <w:rFonts w:hint="eastAsia" w:ascii="Times New Roman" w:hAnsi="Times New Roman" w:cs="Times New Roman"/>
                <w:bCs/>
                <w:spacing w:val="0"/>
                <w:w w:val="100"/>
                <w:szCs w:val="24"/>
              </w:rPr>
              <w:t>源强核算：</w:t>
            </w:r>
            <w:r>
              <w:rPr>
                <w:rFonts w:hint="eastAsia" w:ascii="Times New Roman" w:hAnsi="Times New Roman" w:cs="Times New Roman"/>
                <w:b w:val="0"/>
                <w:spacing w:val="0"/>
                <w:w w:val="100"/>
                <w:szCs w:val="24"/>
              </w:rPr>
              <w:t>搅拌粉尘主要集中于沥青喷入前的“干拌”阶段。此时高温骨料与矿粉在搅拌罐内受强制搅拌与投料落差冲击，微细颗粒因剧烈摩擦碰撞且无液态沥青粘附包裹而大量悬浮。该阶段瞬时产生的高浓度粉尘由搅拌罐维持的微负压系统抽吸收集，构成除尘系统的主要负荷；待液态沥青喷入并充分包裹物料后（湿拌阶段），产尘量急剧下降。</w:t>
            </w:r>
          </w:p>
          <w:p w14:paraId="09CEEC24">
            <w:pPr>
              <w:pStyle w:val="4"/>
              <w:keepNext w:val="0"/>
              <w:keepLines w:val="0"/>
              <w:wordWrap w:val="0"/>
              <w:topLinePunct/>
              <w:ind w:firstLine="480"/>
              <w:rPr>
                <w:rFonts w:ascii="Times New Roman" w:hAnsi="Times New Roman" w:cs="Times New Roman"/>
                <w:b w:val="0"/>
                <w:spacing w:val="0"/>
                <w:w w:val="100"/>
                <w:szCs w:val="24"/>
              </w:rPr>
            </w:pPr>
            <w:r>
              <w:rPr>
                <w:rFonts w:hint="eastAsia" w:ascii="Times New Roman" w:hAnsi="Times New Roman" w:cs="Times New Roman"/>
                <w:b w:val="0"/>
                <w:spacing w:val="0"/>
                <w:w w:val="100"/>
                <w:szCs w:val="24"/>
              </w:rPr>
              <w:t>参照</w:t>
            </w:r>
            <w:r>
              <w:rPr>
                <w:rFonts w:ascii="Times New Roman" w:hAnsi="Times New Roman" w:cs="Times New Roman"/>
                <w:b w:val="0"/>
                <w:spacing w:val="0"/>
                <w:w w:val="100"/>
                <w:szCs w:val="24"/>
              </w:rPr>
              <w:t>《逸散性工业粉尘控制技术》</w:t>
            </w:r>
            <w:r>
              <w:rPr>
                <w:rFonts w:hint="eastAsia" w:ascii="Times New Roman" w:hAnsi="Times New Roman" w:cs="Times New Roman"/>
                <w:b w:val="0"/>
                <w:spacing w:val="0"/>
                <w:w w:val="100"/>
                <w:szCs w:val="24"/>
              </w:rPr>
              <w:t>“</w:t>
            </w:r>
            <w:r>
              <w:rPr>
                <w:rFonts w:ascii="Times New Roman" w:hAnsi="Times New Roman" w:cs="Times New Roman"/>
                <w:b w:val="0"/>
                <w:spacing w:val="0"/>
                <w:w w:val="100"/>
                <w:szCs w:val="24"/>
              </w:rPr>
              <w:t>第</w:t>
            </w:r>
            <w:r>
              <w:rPr>
                <w:rFonts w:hint="eastAsia" w:ascii="Times New Roman" w:hAnsi="Times New Roman" w:cs="Times New Roman"/>
                <w:b w:val="0"/>
                <w:spacing w:val="0"/>
                <w:w w:val="100"/>
                <w:szCs w:val="24"/>
              </w:rPr>
              <w:t>二十二章 混凝土分批搅拌厂 表22-1，装水泥、砂和粒料入搅拌机（集中搅拌）粉尘产生系数为0.02kg/t-装料”，本</w:t>
            </w:r>
            <w:r>
              <w:rPr>
                <w:rFonts w:ascii="Times New Roman" w:hAnsi="Times New Roman" w:cs="Times New Roman"/>
                <w:b w:val="0"/>
                <w:spacing w:val="0"/>
                <w:w w:val="100"/>
                <w:szCs w:val="24"/>
              </w:rPr>
              <w:t>项目</w:t>
            </w:r>
            <w:r>
              <w:rPr>
                <w:rFonts w:hint="eastAsia" w:ascii="Times New Roman" w:hAnsi="Times New Roman" w:cs="Times New Roman"/>
                <w:b w:val="0"/>
                <w:spacing w:val="0"/>
                <w:w w:val="100"/>
                <w:szCs w:val="24"/>
              </w:rPr>
              <w:t>进入搅拌工序的物料量为167260t（不含沥青），则搅拌粉尘</w:t>
            </w:r>
            <w:r>
              <w:rPr>
                <w:rFonts w:ascii="Times New Roman" w:hAnsi="Times New Roman" w:cs="Times New Roman"/>
                <w:b w:val="0"/>
                <w:spacing w:val="0"/>
                <w:w w:val="100"/>
                <w:szCs w:val="24"/>
              </w:rPr>
              <w:t>产生量为</w:t>
            </w:r>
            <w:r>
              <w:rPr>
                <w:rFonts w:hint="eastAsia" w:ascii="Times New Roman" w:hAnsi="Times New Roman" w:cs="Times New Roman"/>
                <w:b w:val="0"/>
                <w:spacing w:val="0"/>
                <w:w w:val="100"/>
                <w:szCs w:val="24"/>
              </w:rPr>
              <w:t>3.35</w:t>
            </w:r>
            <w:r>
              <w:rPr>
                <w:rFonts w:ascii="Times New Roman" w:hAnsi="Times New Roman" w:cs="Times New Roman"/>
                <w:b w:val="0"/>
                <w:spacing w:val="0"/>
                <w:w w:val="100"/>
                <w:szCs w:val="24"/>
              </w:rPr>
              <w:t>t/a</w:t>
            </w:r>
            <w:r>
              <w:rPr>
                <w:rFonts w:hint="eastAsia" w:ascii="Times New Roman" w:hAnsi="Times New Roman" w:cs="Times New Roman"/>
                <w:b w:val="0"/>
                <w:spacing w:val="0"/>
                <w:w w:val="100"/>
                <w:szCs w:val="24"/>
              </w:rPr>
              <w:t>。</w:t>
            </w:r>
          </w:p>
          <w:p w14:paraId="6245CAA9">
            <w:pPr>
              <w:pStyle w:val="4"/>
              <w:keepNext w:val="0"/>
              <w:keepLines w:val="0"/>
              <w:wordWrap w:val="0"/>
              <w:topLinePunct/>
              <w:ind w:firstLine="482"/>
              <w:rPr>
                <w:rFonts w:ascii="Times New Roman" w:hAnsi="Times New Roman" w:cs="Times New Roman"/>
                <w:b w:val="0"/>
                <w:color w:val="auto"/>
                <w:spacing w:val="0"/>
                <w:w w:val="100"/>
                <w:szCs w:val="24"/>
              </w:rPr>
            </w:pPr>
            <w:r>
              <w:rPr>
                <w:rFonts w:hint="eastAsia" w:ascii="Times New Roman" w:hAnsi="Times New Roman" w:cs="Times New Roman"/>
                <w:bCs/>
                <w:spacing w:val="0"/>
                <w:w w:val="100"/>
                <w:szCs w:val="24"/>
              </w:rPr>
              <w:t>拟采取治理措施：</w:t>
            </w:r>
            <w:r>
              <w:rPr>
                <w:rFonts w:hint="eastAsia" w:ascii="Times New Roman" w:hAnsi="Times New Roman" w:cs="Times New Roman"/>
                <w:b w:val="0"/>
                <w:color w:val="auto"/>
                <w:spacing w:val="0"/>
                <w:w w:val="100"/>
                <w:szCs w:val="24"/>
              </w:rPr>
              <w:t>密闭负压引至洗涤塔+电捕焦油器+等离子光解净化除尘器+活性炭吸附装置处理后通过25m高排气筒DA002排放</w:t>
            </w:r>
            <w:r>
              <w:rPr>
                <w:rFonts w:ascii="Times New Roman" w:hAnsi="Times New Roman" w:cs="Times New Roman"/>
                <w:b w:val="0"/>
                <w:color w:val="auto"/>
                <w:spacing w:val="0"/>
                <w:w w:val="100"/>
                <w:szCs w:val="24"/>
              </w:rPr>
              <w:t>。</w:t>
            </w:r>
          </w:p>
          <w:p w14:paraId="2A7CAE55">
            <w:pPr>
              <w:pStyle w:val="4"/>
              <w:keepNext w:val="0"/>
              <w:keepLines w:val="0"/>
              <w:wordWrap w:val="0"/>
              <w:topLinePunct/>
              <w:ind w:firstLine="482"/>
              <w:rPr>
                <w:rFonts w:ascii="Times New Roman" w:hAnsi="Times New Roman" w:cs="Times New Roman"/>
                <w:b w:val="0"/>
                <w:spacing w:val="0"/>
                <w:w w:val="100"/>
                <w:szCs w:val="24"/>
              </w:rPr>
            </w:pPr>
            <w:r>
              <w:rPr>
                <w:rFonts w:ascii="Times New Roman" w:hAnsi="Times New Roman" w:cs="Times New Roman"/>
                <w:bCs/>
                <w:spacing w:val="0"/>
                <w:w w:val="100"/>
                <w:szCs w:val="24"/>
              </w:rPr>
              <w:t>排放情况：</w:t>
            </w:r>
            <w:r>
              <w:rPr>
                <w:rFonts w:ascii="Times New Roman" w:hAnsi="Times New Roman" w:cs="Times New Roman"/>
                <w:b w:val="0"/>
                <w:spacing w:val="0"/>
                <w:w w:val="100"/>
                <w:szCs w:val="24"/>
              </w:rPr>
              <w:t>经计算，</w:t>
            </w:r>
            <w:r>
              <w:rPr>
                <w:rFonts w:hint="eastAsia" w:ascii="Times New Roman" w:hAnsi="Times New Roman" w:cs="Times New Roman"/>
                <w:b w:val="0"/>
                <w:spacing w:val="0"/>
                <w:w w:val="100"/>
                <w:szCs w:val="24"/>
              </w:rPr>
              <w:t>搅拌</w:t>
            </w:r>
            <w:r>
              <w:rPr>
                <w:rFonts w:ascii="Times New Roman" w:hAnsi="Times New Roman" w:cs="Times New Roman"/>
                <w:b w:val="0"/>
                <w:spacing w:val="0"/>
                <w:w w:val="100"/>
                <w:szCs w:val="24"/>
              </w:rPr>
              <w:t>粉尘产生、治理及排放情况见下表。</w:t>
            </w:r>
          </w:p>
          <w:p w14:paraId="0C38ACCD">
            <w:pPr>
              <w:pStyle w:val="4"/>
              <w:keepNext w:val="0"/>
              <w:keepLines w:val="0"/>
              <w:wordWrap w:val="0"/>
              <w:topLinePunct/>
              <w:ind w:firstLine="0" w:firstLineChars="0"/>
              <w:jc w:val="center"/>
              <w:rPr>
                <w:rFonts w:ascii="Times New Roman" w:hAnsi="Times New Roman" w:cs="Times New Roman"/>
                <w:bCs/>
                <w:spacing w:val="0"/>
                <w:w w:val="100"/>
                <w:szCs w:val="24"/>
              </w:rPr>
            </w:pPr>
            <w:r>
              <w:rPr>
                <w:rFonts w:hint="eastAsia" w:ascii="Times New Roman" w:hAnsi="Times New Roman" w:cs="Times New Roman"/>
                <w:bCs/>
                <w:spacing w:val="0"/>
                <w:w w:val="100"/>
                <w:szCs w:val="24"/>
              </w:rPr>
              <w:t xml:space="preserve">   </w:t>
            </w:r>
            <w:r>
              <w:rPr>
                <w:rFonts w:ascii="Times New Roman" w:hAnsi="Times New Roman" w:cs="Times New Roman"/>
                <w:bCs/>
                <w:spacing w:val="0"/>
                <w:w w:val="100"/>
                <w:szCs w:val="24"/>
              </w:rPr>
              <w:t>表</w:t>
            </w:r>
            <w:r>
              <w:rPr>
                <w:rFonts w:hint="eastAsia" w:ascii="Times New Roman" w:hAnsi="Times New Roman" w:cs="Times New Roman"/>
                <w:bCs/>
                <w:spacing w:val="0"/>
                <w:w w:val="100"/>
                <w:szCs w:val="24"/>
              </w:rPr>
              <w:t>4-12 搅拌</w:t>
            </w:r>
            <w:r>
              <w:rPr>
                <w:rFonts w:ascii="Times New Roman" w:hAnsi="Times New Roman" w:cs="Times New Roman"/>
                <w:bCs/>
                <w:spacing w:val="0"/>
                <w:w w:val="100"/>
                <w:szCs w:val="24"/>
              </w:rPr>
              <w:t>粉尘产排情况一览表</w:t>
            </w:r>
          </w:p>
          <w:tbl>
            <w:tblPr>
              <w:tblStyle w:val="76"/>
              <w:tblW w:w="81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
              <w:gridCol w:w="429"/>
              <w:gridCol w:w="322"/>
              <w:gridCol w:w="571"/>
              <w:gridCol w:w="828"/>
              <w:gridCol w:w="977"/>
              <w:gridCol w:w="1579"/>
              <w:gridCol w:w="622"/>
              <w:gridCol w:w="756"/>
              <w:gridCol w:w="933"/>
              <w:gridCol w:w="738"/>
            </w:tblGrid>
            <w:tr w14:paraId="7CA20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1" w:type="pct"/>
                  <w:vMerge w:val="restart"/>
                  <w:tcBorders>
                    <w:tl2br w:val="nil"/>
                    <w:tr2bl w:val="nil"/>
                  </w:tcBorders>
                  <w:shd w:val="clear" w:color="auto" w:fill="FFFFFF"/>
                  <w:vAlign w:val="center"/>
                </w:tcPr>
                <w:p w14:paraId="7549F79B">
                  <w:pPr>
                    <w:jc w:val="center"/>
                    <w:rPr>
                      <w:rFonts w:ascii="Times New Roman" w:hAnsi="Times New Roman" w:cs="Times New Roman"/>
                      <w:b/>
                      <w:bCs/>
                      <w:szCs w:val="21"/>
                    </w:rPr>
                  </w:pPr>
                  <w:r>
                    <w:rPr>
                      <w:rFonts w:ascii="Times New Roman" w:hAnsi="Times New Roman" w:cs="Times New Roman"/>
                      <w:b/>
                      <w:bCs/>
                      <w:szCs w:val="21"/>
                    </w:rPr>
                    <w:t>产污环节</w:t>
                  </w:r>
                </w:p>
              </w:tc>
              <w:tc>
                <w:tcPr>
                  <w:tcW w:w="262" w:type="pct"/>
                  <w:vMerge w:val="restart"/>
                  <w:tcBorders>
                    <w:tl2br w:val="nil"/>
                    <w:tr2bl w:val="nil"/>
                  </w:tcBorders>
                  <w:shd w:val="clear" w:color="auto" w:fill="FFFFFF"/>
                  <w:vAlign w:val="center"/>
                </w:tcPr>
                <w:p w14:paraId="31ACEBEC">
                  <w:pPr>
                    <w:jc w:val="center"/>
                    <w:rPr>
                      <w:rFonts w:ascii="Times New Roman" w:hAnsi="Times New Roman" w:cs="Times New Roman"/>
                      <w:b/>
                      <w:bCs/>
                      <w:szCs w:val="21"/>
                    </w:rPr>
                  </w:pPr>
                  <w:r>
                    <w:rPr>
                      <w:rFonts w:ascii="Times New Roman" w:hAnsi="Times New Roman" w:cs="Times New Roman"/>
                      <w:b/>
                      <w:bCs/>
                      <w:szCs w:val="21"/>
                    </w:rPr>
                    <w:t>产污位置</w:t>
                  </w:r>
                </w:p>
              </w:tc>
              <w:tc>
                <w:tcPr>
                  <w:tcW w:w="197" w:type="pct"/>
                  <w:tcBorders>
                    <w:tl2br w:val="nil"/>
                    <w:tr2bl w:val="nil"/>
                  </w:tcBorders>
                  <w:shd w:val="clear" w:color="auto" w:fill="FFFFFF"/>
                  <w:vAlign w:val="center"/>
                </w:tcPr>
                <w:p w14:paraId="51E384E4">
                  <w:pPr>
                    <w:jc w:val="center"/>
                    <w:rPr>
                      <w:rFonts w:ascii="Times New Roman" w:hAnsi="Times New Roman" w:cs="Times New Roman"/>
                      <w:b/>
                      <w:bCs/>
                      <w:szCs w:val="21"/>
                    </w:rPr>
                  </w:pPr>
                </w:p>
              </w:tc>
              <w:tc>
                <w:tcPr>
                  <w:tcW w:w="1452" w:type="pct"/>
                  <w:gridSpan w:val="3"/>
                  <w:tcBorders>
                    <w:tl2br w:val="nil"/>
                    <w:tr2bl w:val="nil"/>
                  </w:tcBorders>
                  <w:shd w:val="clear" w:color="auto" w:fill="FFFFFF"/>
                  <w:vAlign w:val="center"/>
                </w:tcPr>
                <w:p w14:paraId="206DF599">
                  <w:pPr>
                    <w:jc w:val="center"/>
                    <w:rPr>
                      <w:rFonts w:ascii="Times New Roman" w:hAnsi="Times New Roman" w:cs="Times New Roman"/>
                      <w:b/>
                      <w:bCs/>
                      <w:szCs w:val="21"/>
                    </w:rPr>
                  </w:pPr>
                  <w:r>
                    <w:rPr>
                      <w:rFonts w:ascii="Times New Roman" w:hAnsi="Times New Roman" w:cs="Times New Roman"/>
                      <w:b/>
                      <w:bCs/>
                      <w:szCs w:val="21"/>
                    </w:rPr>
                    <w:t>产生情况</w:t>
                  </w:r>
                </w:p>
              </w:tc>
              <w:tc>
                <w:tcPr>
                  <w:tcW w:w="965" w:type="pct"/>
                  <w:vMerge w:val="restart"/>
                  <w:tcBorders>
                    <w:tl2br w:val="nil"/>
                    <w:tr2bl w:val="nil"/>
                  </w:tcBorders>
                  <w:shd w:val="clear" w:color="auto" w:fill="FFFFFF"/>
                  <w:vAlign w:val="center"/>
                </w:tcPr>
                <w:p w14:paraId="3573AF19">
                  <w:pPr>
                    <w:jc w:val="center"/>
                    <w:rPr>
                      <w:rFonts w:ascii="Times New Roman" w:hAnsi="Times New Roman" w:cs="Times New Roman"/>
                      <w:b/>
                      <w:bCs/>
                      <w:szCs w:val="21"/>
                    </w:rPr>
                  </w:pPr>
                  <w:r>
                    <w:rPr>
                      <w:rFonts w:ascii="Times New Roman" w:hAnsi="Times New Roman" w:cs="Times New Roman"/>
                      <w:b/>
                      <w:bCs/>
                      <w:szCs w:val="21"/>
                    </w:rPr>
                    <w:t>治理措施及效率</w:t>
                  </w:r>
                </w:p>
              </w:tc>
              <w:tc>
                <w:tcPr>
                  <w:tcW w:w="1412" w:type="pct"/>
                  <w:gridSpan w:val="3"/>
                  <w:tcBorders>
                    <w:tl2br w:val="nil"/>
                    <w:tr2bl w:val="nil"/>
                  </w:tcBorders>
                  <w:shd w:val="clear" w:color="auto" w:fill="FFFFFF"/>
                  <w:vAlign w:val="center"/>
                </w:tcPr>
                <w:p w14:paraId="3211149F">
                  <w:pPr>
                    <w:jc w:val="center"/>
                    <w:rPr>
                      <w:rFonts w:ascii="Times New Roman" w:hAnsi="Times New Roman" w:cs="Times New Roman"/>
                      <w:b/>
                      <w:bCs/>
                      <w:szCs w:val="21"/>
                    </w:rPr>
                  </w:pPr>
                  <w:r>
                    <w:rPr>
                      <w:rFonts w:ascii="Times New Roman" w:hAnsi="Times New Roman" w:cs="Times New Roman"/>
                      <w:b/>
                      <w:bCs/>
                      <w:szCs w:val="21"/>
                    </w:rPr>
                    <w:t>排放情况</w:t>
                  </w:r>
                </w:p>
              </w:tc>
              <w:tc>
                <w:tcPr>
                  <w:tcW w:w="448" w:type="pct"/>
                  <w:tcBorders>
                    <w:tl2br w:val="nil"/>
                    <w:tr2bl w:val="nil"/>
                  </w:tcBorders>
                  <w:shd w:val="clear" w:color="auto" w:fill="FFFFFF"/>
                  <w:vAlign w:val="center"/>
                </w:tcPr>
                <w:p w14:paraId="5450D6A0">
                  <w:pPr>
                    <w:jc w:val="center"/>
                    <w:rPr>
                      <w:rFonts w:ascii="Times New Roman" w:hAnsi="Times New Roman" w:cs="Times New Roman"/>
                      <w:b/>
                      <w:bCs/>
                      <w:szCs w:val="21"/>
                    </w:rPr>
                  </w:pPr>
                  <w:r>
                    <w:rPr>
                      <w:rFonts w:ascii="Times New Roman" w:hAnsi="Times New Roman" w:cs="Times New Roman"/>
                      <w:b/>
                      <w:bCs/>
                      <w:szCs w:val="21"/>
                    </w:rPr>
                    <w:t>执行</w:t>
                  </w:r>
                </w:p>
                <w:p w14:paraId="3C46A12D">
                  <w:pPr>
                    <w:jc w:val="center"/>
                    <w:rPr>
                      <w:rFonts w:ascii="Times New Roman" w:hAnsi="Times New Roman" w:cs="Times New Roman"/>
                      <w:b/>
                      <w:bCs/>
                      <w:szCs w:val="21"/>
                    </w:rPr>
                  </w:pPr>
                  <w:r>
                    <w:rPr>
                      <w:rFonts w:ascii="Times New Roman" w:hAnsi="Times New Roman" w:cs="Times New Roman"/>
                      <w:b/>
                      <w:bCs/>
                      <w:szCs w:val="21"/>
                    </w:rPr>
                    <w:t>标准</w:t>
                  </w:r>
                </w:p>
              </w:tc>
            </w:tr>
            <w:tr w14:paraId="23548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61" w:type="pct"/>
                  <w:vMerge w:val="continue"/>
                  <w:tcBorders>
                    <w:tl2br w:val="nil"/>
                    <w:tr2bl w:val="nil"/>
                  </w:tcBorders>
                  <w:shd w:val="clear" w:color="auto" w:fill="FFFFFF"/>
                  <w:vAlign w:val="center"/>
                </w:tcPr>
                <w:p w14:paraId="6F1F7A9C">
                  <w:pPr>
                    <w:jc w:val="center"/>
                    <w:rPr>
                      <w:rFonts w:ascii="Times New Roman" w:hAnsi="Times New Roman" w:cs="Times New Roman"/>
                      <w:b/>
                      <w:bCs/>
                      <w:szCs w:val="21"/>
                    </w:rPr>
                  </w:pPr>
                </w:p>
              </w:tc>
              <w:tc>
                <w:tcPr>
                  <w:tcW w:w="262" w:type="pct"/>
                  <w:vMerge w:val="continue"/>
                  <w:tcBorders>
                    <w:tl2br w:val="nil"/>
                    <w:tr2bl w:val="nil"/>
                  </w:tcBorders>
                  <w:shd w:val="clear" w:color="auto" w:fill="FFFFFF"/>
                  <w:vAlign w:val="center"/>
                </w:tcPr>
                <w:p w14:paraId="25AFA696">
                  <w:pPr>
                    <w:jc w:val="center"/>
                    <w:rPr>
                      <w:rFonts w:ascii="Times New Roman" w:hAnsi="Times New Roman" w:cs="Times New Roman"/>
                      <w:b/>
                      <w:bCs/>
                      <w:szCs w:val="21"/>
                    </w:rPr>
                  </w:pPr>
                </w:p>
              </w:tc>
              <w:tc>
                <w:tcPr>
                  <w:tcW w:w="197" w:type="pct"/>
                  <w:tcBorders>
                    <w:tl2br w:val="nil"/>
                    <w:tr2bl w:val="nil"/>
                  </w:tcBorders>
                  <w:shd w:val="clear" w:color="auto" w:fill="FFFFFF"/>
                  <w:vAlign w:val="center"/>
                </w:tcPr>
                <w:p w14:paraId="5E96A254">
                  <w:pPr>
                    <w:jc w:val="center"/>
                    <w:rPr>
                      <w:rFonts w:ascii="Times New Roman" w:hAnsi="Times New Roman" w:cs="Times New Roman"/>
                      <w:b/>
                      <w:bCs/>
                      <w:szCs w:val="21"/>
                    </w:rPr>
                  </w:pPr>
                  <w:r>
                    <w:rPr>
                      <w:rFonts w:ascii="Times New Roman" w:hAnsi="Times New Roman" w:cs="Times New Roman"/>
                      <w:b/>
                      <w:bCs/>
                      <w:szCs w:val="21"/>
                    </w:rPr>
                    <w:t>排放形式</w:t>
                  </w:r>
                </w:p>
              </w:tc>
              <w:tc>
                <w:tcPr>
                  <w:tcW w:w="349" w:type="pct"/>
                  <w:tcBorders>
                    <w:tl2br w:val="nil"/>
                    <w:tr2bl w:val="nil"/>
                  </w:tcBorders>
                  <w:shd w:val="clear" w:color="auto" w:fill="FFFFFF"/>
                  <w:vAlign w:val="center"/>
                </w:tcPr>
                <w:p w14:paraId="53DE688D">
                  <w:pPr>
                    <w:jc w:val="center"/>
                    <w:rPr>
                      <w:rFonts w:ascii="Times New Roman" w:hAnsi="Times New Roman" w:cs="Times New Roman"/>
                      <w:b/>
                      <w:bCs/>
                      <w:szCs w:val="21"/>
                    </w:rPr>
                  </w:pPr>
                  <w:r>
                    <w:rPr>
                      <w:rFonts w:ascii="Times New Roman" w:hAnsi="Times New Roman" w:cs="Times New Roman"/>
                      <w:b/>
                      <w:bCs/>
                      <w:szCs w:val="21"/>
                    </w:rPr>
                    <w:t>产生量（t/a）</w:t>
                  </w:r>
                </w:p>
              </w:tc>
              <w:tc>
                <w:tcPr>
                  <w:tcW w:w="506" w:type="pct"/>
                  <w:tcBorders>
                    <w:tl2br w:val="nil"/>
                    <w:tr2bl w:val="nil"/>
                  </w:tcBorders>
                  <w:shd w:val="clear" w:color="auto" w:fill="FFFFFF"/>
                  <w:vAlign w:val="center"/>
                </w:tcPr>
                <w:p w14:paraId="165DC29D">
                  <w:pPr>
                    <w:jc w:val="center"/>
                    <w:rPr>
                      <w:rFonts w:ascii="Times New Roman" w:hAnsi="Times New Roman" w:cs="Times New Roman"/>
                      <w:b/>
                      <w:bCs/>
                      <w:szCs w:val="21"/>
                    </w:rPr>
                  </w:pPr>
                  <w:r>
                    <w:rPr>
                      <w:rFonts w:ascii="Times New Roman" w:hAnsi="Times New Roman" w:cs="Times New Roman"/>
                      <w:b/>
                      <w:bCs/>
                      <w:szCs w:val="21"/>
                    </w:rPr>
                    <w:t>产生</w:t>
                  </w:r>
                </w:p>
                <w:p w14:paraId="25FFCF43">
                  <w:pPr>
                    <w:jc w:val="center"/>
                    <w:rPr>
                      <w:rFonts w:ascii="Times New Roman" w:hAnsi="Times New Roman" w:cs="Times New Roman"/>
                      <w:b/>
                      <w:bCs/>
                      <w:szCs w:val="21"/>
                    </w:rPr>
                  </w:pPr>
                  <w:r>
                    <w:rPr>
                      <w:rFonts w:ascii="Times New Roman" w:hAnsi="Times New Roman" w:cs="Times New Roman"/>
                      <w:b/>
                      <w:bCs/>
                      <w:szCs w:val="21"/>
                    </w:rPr>
                    <w:t>速率（kg/h）</w:t>
                  </w:r>
                </w:p>
              </w:tc>
              <w:tc>
                <w:tcPr>
                  <w:tcW w:w="596" w:type="pct"/>
                  <w:tcBorders>
                    <w:tl2br w:val="nil"/>
                    <w:tr2bl w:val="nil"/>
                  </w:tcBorders>
                  <w:shd w:val="clear" w:color="auto" w:fill="FFFFFF"/>
                  <w:vAlign w:val="center"/>
                </w:tcPr>
                <w:p w14:paraId="61BF0917">
                  <w:pPr>
                    <w:jc w:val="center"/>
                    <w:rPr>
                      <w:rFonts w:ascii="Times New Roman" w:hAnsi="Times New Roman" w:cs="Times New Roman"/>
                      <w:b/>
                      <w:bCs/>
                      <w:szCs w:val="21"/>
                    </w:rPr>
                  </w:pPr>
                  <w:r>
                    <w:rPr>
                      <w:rFonts w:ascii="Times New Roman" w:hAnsi="Times New Roman" w:cs="Times New Roman"/>
                      <w:b/>
                      <w:bCs/>
                      <w:szCs w:val="21"/>
                    </w:rPr>
                    <w:t>产生浓度（mg/m</w:t>
                  </w:r>
                  <w:r>
                    <w:rPr>
                      <w:rFonts w:ascii="Times New Roman" w:hAnsi="Times New Roman" w:cs="Times New Roman"/>
                      <w:b/>
                      <w:bCs/>
                      <w:szCs w:val="21"/>
                      <w:vertAlign w:val="superscript"/>
                    </w:rPr>
                    <w:t>3</w:t>
                  </w:r>
                  <w:r>
                    <w:rPr>
                      <w:rFonts w:ascii="Times New Roman" w:hAnsi="Times New Roman" w:cs="Times New Roman"/>
                      <w:b/>
                      <w:bCs/>
                      <w:szCs w:val="21"/>
                    </w:rPr>
                    <w:t>）</w:t>
                  </w:r>
                </w:p>
              </w:tc>
              <w:tc>
                <w:tcPr>
                  <w:tcW w:w="965" w:type="pct"/>
                  <w:vMerge w:val="continue"/>
                  <w:tcBorders>
                    <w:tl2br w:val="nil"/>
                    <w:tr2bl w:val="nil"/>
                  </w:tcBorders>
                  <w:shd w:val="clear" w:color="auto" w:fill="FFFFFF"/>
                  <w:vAlign w:val="center"/>
                </w:tcPr>
                <w:p w14:paraId="78CCA9B1">
                  <w:pPr>
                    <w:jc w:val="center"/>
                    <w:rPr>
                      <w:rFonts w:ascii="Times New Roman" w:hAnsi="Times New Roman" w:cs="Times New Roman"/>
                      <w:b/>
                      <w:bCs/>
                      <w:szCs w:val="21"/>
                    </w:rPr>
                  </w:pPr>
                </w:p>
              </w:tc>
              <w:tc>
                <w:tcPr>
                  <w:tcW w:w="380" w:type="pct"/>
                  <w:tcBorders>
                    <w:tl2br w:val="nil"/>
                    <w:tr2bl w:val="nil"/>
                  </w:tcBorders>
                  <w:shd w:val="clear" w:color="auto" w:fill="FFFFFF"/>
                  <w:vAlign w:val="center"/>
                </w:tcPr>
                <w:p w14:paraId="5E96F28B">
                  <w:pPr>
                    <w:jc w:val="center"/>
                    <w:rPr>
                      <w:rFonts w:ascii="Times New Roman" w:hAnsi="Times New Roman" w:cs="Times New Roman"/>
                      <w:b/>
                      <w:bCs/>
                      <w:szCs w:val="21"/>
                    </w:rPr>
                  </w:pPr>
                  <w:r>
                    <w:rPr>
                      <w:rFonts w:ascii="Times New Roman" w:hAnsi="Times New Roman" w:cs="Times New Roman"/>
                      <w:b/>
                      <w:bCs/>
                      <w:szCs w:val="21"/>
                    </w:rPr>
                    <w:t>排放量（t/a）</w:t>
                  </w:r>
                </w:p>
              </w:tc>
              <w:tc>
                <w:tcPr>
                  <w:tcW w:w="462" w:type="pct"/>
                  <w:tcBorders>
                    <w:tl2br w:val="nil"/>
                    <w:tr2bl w:val="nil"/>
                  </w:tcBorders>
                  <w:shd w:val="clear" w:color="auto" w:fill="FFFFFF"/>
                  <w:vAlign w:val="center"/>
                </w:tcPr>
                <w:p w14:paraId="5FE3B974">
                  <w:pPr>
                    <w:jc w:val="center"/>
                    <w:rPr>
                      <w:rFonts w:ascii="Times New Roman" w:hAnsi="Times New Roman" w:cs="Times New Roman"/>
                      <w:b/>
                      <w:bCs/>
                      <w:szCs w:val="21"/>
                    </w:rPr>
                  </w:pPr>
                  <w:r>
                    <w:rPr>
                      <w:rFonts w:ascii="Times New Roman" w:hAnsi="Times New Roman" w:cs="Times New Roman"/>
                      <w:b/>
                      <w:bCs/>
                      <w:szCs w:val="21"/>
                    </w:rPr>
                    <w:t>排放</w:t>
                  </w:r>
                </w:p>
                <w:p w14:paraId="3E4E73C1">
                  <w:pPr>
                    <w:jc w:val="center"/>
                    <w:rPr>
                      <w:rFonts w:ascii="Times New Roman" w:hAnsi="Times New Roman" w:cs="Times New Roman"/>
                      <w:b/>
                      <w:bCs/>
                      <w:szCs w:val="21"/>
                    </w:rPr>
                  </w:pPr>
                  <w:r>
                    <w:rPr>
                      <w:rFonts w:ascii="Times New Roman" w:hAnsi="Times New Roman" w:cs="Times New Roman"/>
                      <w:b/>
                      <w:bCs/>
                      <w:szCs w:val="21"/>
                    </w:rPr>
                    <w:t>速率</w:t>
                  </w:r>
                </w:p>
                <w:p w14:paraId="62BB7A12">
                  <w:pPr>
                    <w:jc w:val="center"/>
                    <w:rPr>
                      <w:rFonts w:ascii="Times New Roman" w:hAnsi="Times New Roman" w:cs="Times New Roman"/>
                      <w:b/>
                      <w:bCs/>
                      <w:szCs w:val="21"/>
                    </w:rPr>
                  </w:pPr>
                  <w:r>
                    <w:rPr>
                      <w:rFonts w:ascii="Times New Roman" w:hAnsi="Times New Roman" w:cs="Times New Roman"/>
                      <w:b/>
                      <w:bCs/>
                      <w:szCs w:val="21"/>
                    </w:rPr>
                    <w:t>（kg/h）</w:t>
                  </w:r>
                </w:p>
              </w:tc>
              <w:tc>
                <w:tcPr>
                  <w:tcW w:w="569" w:type="pct"/>
                  <w:tcBorders>
                    <w:tl2br w:val="nil"/>
                    <w:tr2bl w:val="nil"/>
                  </w:tcBorders>
                  <w:shd w:val="clear" w:color="auto" w:fill="FFFFFF"/>
                  <w:vAlign w:val="center"/>
                </w:tcPr>
                <w:p w14:paraId="4D46DEE7">
                  <w:pPr>
                    <w:jc w:val="center"/>
                    <w:rPr>
                      <w:rFonts w:ascii="Times New Roman" w:hAnsi="Times New Roman" w:cs="Times New Roman"/>
                      <w:b/>
                      <w:bCs/>
                      <w:szCs w:val="21"/>
                    </w:rPr>
                  </w:pPr>
                  <w:r>
                    <w:rPr>
                      <w:rFonts w:ascii="Times New Roman" w:hAnsi="Times New Roman" w:cs="Times New Roman"/>
                      <w:b/>
                      <w:bCs/>
                      <w:szCs w:val="21"/>
                    </w:rPr>
                    <w:t>排放</w:t>
                  </w:r>
                </w:p>
                <w:p w14:paraId="32E22002">
                  <w:pPr>
                    <w:jc w:val="center"/>
                    <w:rPr>
                      <w:rFonts w:ascii="Times New Roman" w:hAnsi="Times New Roman" w:cs="Times New Roman"/>
                      <w:b/>
                      <w:bCs/>
                      <w:szCs w:val="21"/>
                    </w:rPr>
                  </w:pPr>
                  <w:r>
                    <w:rPr>
                      <w:rFonts w:ascii="Times New Roman" w:hAnsi="Times New Roman" w:cs="Times New Roman"/>
                      <w:b/>
                      <w:bCs/>
                      <w:szCs w:val="21"/>
                    </w:rPr>
                    <w:t>浓度（mg/m</w:t>
                  </w:r>
                  <w:r>
                    <w:rPr>
                      <w:rFonts w:ascii="Times New Roman" w:hAnsi="Times New Roman" w:cs="Times New Roman"/>
                      <w:b/>
                      <w:bCs/>
                      <w:szCs w:val="21"/>
                      <w:vertAlign w:val="superscript"/>
                    </w:rPr>
                    <w:t>3</w:t>
                  </w:r>
                  <w:r>
                    <w:rPr>
                      <w:rFonts w:ascii="Times New Roman" w:hAnsi="Times New Roman" w:cs="Times New Roman"/>
                      <w:b/>
                      <w:bCs/>
                      <w:szCs w:val="21"/>
                    </w:rPr>
                    <w:t>）</w:t>
                  </w:r>
                </w:p>
              </w:tc>
              <w:tc>
                <w:tcPr>
                  <w:tcW w:w="448" w:type="pct"/>
                  <w:tcBorders>
                    <w:tl2br w:val="nil"/>
                    <w:tr2bl w:val="nil"/>
                  </w:tcBorders>
                  <w:shd w:val="clear" w:color="auto" w:fill="FFFFFF"/>
                  <w:vAlign w:val="center"/>
                </w:tcPr>
                <w:p w14:paraId="27F2A945">
                  <w:pPr>
                    <w:jc w:val="center"/>
                    <w:rPr>
                      <w:rFonts w:ascii="Times New Roman" w:hAnsi="Times New Roman" w:cs="Times New Roman"/>
                      <w:b/>
                      <w:bCs/>
                      <w:szCs w:val="21"/>
                    </w:rPr>
                  </w:pPr>
                  <w:r>
                    <w:rPr>
                      <w:rFonts w:ascii="Times New Roman" w:hAnsi="Times New Roman" w:cs="Times New Roman"/>
                      <w:b/>
                      <w:bCs/>
                      <w:szCs w:val="21"/>
                    </w:rPr>
                    <w:t>浓度(mg/m</w:t>
                  </w:r>
                  <w:r>
                    <w:rPr>
                      <w:rFonts w:ascii="Times New Roman" w:hAnsi="Times New Roman" w:cs="Times New Roman"/>
                      <w:b/>
                      <w:bCs/>
                      <w:szCs w:val="21"/>
                      <w:vertAlign w:val="superscript"/>
                    </w:rPr>
                    <w:t>3</w:t>
                  </w:r>
                  <w:r>
                    <w:rPr>
                      <w:rFonts w:ascii="Times New Roman" w:hAnsi="Times New Roman" w:cs="Times New Roman"/>
                      <w:b/>
                      <w:bCs/>
                      <w:szCs w:val="21"/>
                    </w:rPr>
                    <w:t>)</w:t>
                  </w:r>
                </w:p>
              </w:tc>
            </w:tr>
            <w:tr w14:paraId="59E96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1" w:type="pct"/>
                  <w:tcBorders>
                    <w:tl2br w:val="nil"/>
                    <w:tr2bl w:val="nil"/>
                  </w:tcBorders>
                  <w:shd w:val="clear" w:color="auto" w:fill="FFFFFF"/>
                  <w:vAlign w:val="center"/>
                </w:tcPr>
                <w:p w14:paraId="7DAEC678">
                  <w:pPr>
                    <w:jc w:val="center"/>
                    <w:rPr>
                      <w:rFonts w:ascii="Times New Roman" w:hAnsi="Times New Roman" w:cs="Times New Roman"/>
                      <w:szCs w:val="21"/>
                    </w:rPr>
                  </w:pPr>
                  <w:r>
                    <w:rPr>
                      <w:rFonts w:hint="eastAsia" w:ascii="Times New Roman" w:hAnsi="Times New Roman" w:cs="Times New Roman"/>
                      <w:szCs w:val="21"/>
                    </w:rPr>
                    <w:t>搅拌工序</w:t>
                  </w:r>
                </w:p>
              </w:tc>
              <w:tc>
                <w:tcPr>
                  <w:tcW w:w="262" w:type="pct"/>
                  <w:tcBorders>
                    <w:tl2br w:val="nil"/>
                    <w:tr2bl w:val="nil"/>
                  </w:tcBorders>
                  <w:shd w:val="clear" w:color="auto" w:fill="FFFFFF"/>
                  <w:vAlign w:val="center"/>
                </w:tcPr>
                <w:p w14:paraId="3500E527">
                  <w:pPr>
                    <w:jc w:val="center"/>
                    <w:rPr>
                      <w:rFonts w:ascii="Times New Roman" w:hAnsi="Times New Roman" w:cs="Times New Roman"/>
                      <w:szCs w:val="21"/>
                    </w:rPr>
                  </w:pPr>
                  <w:r>
                    <w:rPr>
                      <w:rFonts w:hint="eastAsia" w:ascii="Times New Roman" w:hAnsi="Times New Roman" w:cs="Times New Roman"/>
                      <w:szCs w:val="21"/>
                    </w:rPr>
                    <w:t>搅拌罐</w:t>
                  </w:r>
                </w:p>
              </w:tc>
              <w:tc>
                <w:tcPr>
                  <w:tcW w:w="197" w:type="pct"/>
                  <w:tcBorders>
                    <w:tl2br w:val="nil"/>
                    <w:tr2bl w:val="nil"/>
                  </w:tcBorders>
                  <w:shd w:val="clear" w:color="auto" w:fill="FFFFFF"/>
                  <w:vAlign w:val="center"/>
                </w:tcPr>
                <w:p w14:paraId="7E63D0DF">
                  <w:pPr>
                    <w:jc w:val="center"/>
                    <w:rPr>
                      <w:rFonts w:ascii="Times New Roman" w:hAnsi="Times New Roman" w:cs="Times New Roman"/>
                      <w:szCs w:val="21"/>
                    </w:rPr>
                  </w:pPr>
                  <w:r>
                    <w:rPr>
                      <w:rFonts w:ascii="Times New Roman" w:hAnsi="Times New Roman" w:cs="Times New Roman"/>
                      <w:szCs w:val="21"/>
                    </w:rPr>
                    <w:t>有组织</w:t>
                  </w:r>
                </w:p>
              </w:tc>
              <w:tc>
                <w:tcPr>
                  <w:tcW w:w="349" w:type="pct"/>
                  <w:tcBorders>
                    <w:tl2br w:val="nil"/>
                    <w:tr2bl w:val="nil"/>
                  </w:tcBorders>
                  <w:shd w:val="clear" w:color="auto" w:fill="FFFFFF"/>
                  <w:vAlign w:val="center"/>
                </w:tcPr>
                <w:p w14:paraId="5650F4B2">
                  <w:pPr>
                    <w:jc w:val="center"/>
                    <w:rPr>
                      <w:rFonts w:ascii="Times New Roman" w:hAnsi="Times New Roman" w:cs="Times New Roman"/>
                      <w:szCs w:val="21"/>
                    </w:rPr>
                  </w:pPr>
                  <w:r>
                    <w:rPr>
                      <w:rFonts w:hint="eastAsia" w:ascii="Times New Roman" w:hAnsi="Times New Roman" w:cs="Times New Roman"/>
                      <w:szCs w:val="21"/>
                    </w:rPr>
                    <w:t>3.35</w:t>
                  </w:r>
                </w:p>
              </w:tc>
              <w:tc>
                <w:tcPr>
                  <w:tcW w:w="506" w:type="pct"/>
                  <w:tcBorders>
                    <w:tl2br w:val="nil"/>
                    <w:tr2bl w:val="nil"/>
                  </w:tcBorders>
                  <w:shd w:val="clear" w:color="auto" w:fill="FFFFFF"/>
                  <w:vAlign w:val="center"/>
                </w:tcPr>
                <w:p w14:paraId="7AC829E7">
                  <w:pPr>
                    <w:jc w:val="center"/>
                    <w:rPr>
                      <w:rFonts w:ascii="Times New Roman" w:hAnsi="Times New Roman" w:cs="Times New Roman"/>
                      <w:szCs w:val="21"/>
                    </w:rPr>
                  </w:pPr>
                  <w:r>
                    <w:rPr>
                      <w:rFonts w:hint="eastAsia" w:ascii="Times New Roman" w:hAnsi="Times New Roman" w:cs="Times New Roman"/>
                      <w:szCs w:val="21"/>
                    </w:rPr>
                    <w:t>2.33</w:t>
                  </w:r>
                </w:p>
              </w:tc>
              <w:tc>
                <w:tcPr>
                  <w:tcW w:w="596" w:type="pct"/>
                  <w:tcBorders>
                    <w:tl2br w:val="nil"/>
                    <w:tr2bl w:val="nil"/>
                  </w:tcBorders>
                  <w:shd w:val="clear" w:color="auto" w:fill="FFFFFF"/>
                  <w:vAlign w:val="center"/>
                </w:tcPr>
                <w:p w14:paraId="6BFC6991">
                  <w:pPr>
                    <w:jc w:val="center"/>
                    <w:rPr>
                      <w:rFonts w:ascii="Times New Roman" w:hAnsi="Times New Roman" w:cs="Times New Roman"/>
                      <w:szCs w:val="21"/>
                    </w:rPr>
                  </w:pPr>
                  <w:r>
                    <w:rPr>
                      <w:rFonts w:hint="eastAsia" w:ascii="Times New Roman" w:hAnsi="Times New Roman" w:cs="Times New Roman"/>
                      <w:szCs w:val="21"/>
                    </w:rPr>
                    <w:t>106.73</w:t>
                  </w:r>
                </w:p>
              </w:tc>
              <w:tc>
                <w:tcPr>
                  <w:tcW w:w="965" w:type="pct"/>
                  <w:tcBorders>
                    <w:tl2br w:val="nil"/>
                    <w:tr2bl w:val="nil"/>
                  </w:tcBorders>
                  <w:shd w:val="clear" w:color="auto" w:fill="FFFFFF"/>
                  <w:vAlign w:val="center"/>
                </w:tcPr>
                <w:p w14:paraId="4D6ADA2F">
                  <w:pPr>
                    <w:wordWrap w:val="0"/>
                    <w:topLinePunct/>
                    <w:jc w:val="center"/>
                    <w:rPr>
                      <w:rFonts w:ascii="Times New Roman" w:hAnsi="Times New Roman" w:cs="Times New Roman"/>
                      <w:szCs w:val="21"/>
                    </w:rPr>
                  </w:pPr>
                  <w:r>
                    <w:rPr>
                      <w:rFonts w:hint="eastAsia" w:ascii="Times New Roman" w:hAnsi="Times New Roman" w:cs="Times New Roman"/>
                      <w:szCs w:val="21"/>
                    </w:rPr>
                    <w:t>密闭负压引至洗涤塔+电捕焦油器+等离子光解净化除尘器+活性炭吸附装置处理后通过25m高排气筒DA002排放。治理效率取99%，离心通用风机流量21830m</w:t>
                  </w:r>
                  <w:r>
                    <w:rPr>
                      <w:rFonts w:hint="eastAsia" w:ascii="Times New Roman" w:hAnsi="Times New Roman" w:cs="Times New Roman"/>
                      <w:szCs w:val="21"/>
                      <w:vertAlign w:val="superscript"/>
                    </w:rPr>
                    <w:t>3</w:t>
                  </w:r>
                  <w:r>
                    <w:rPr>
                      <w:rFonts w:ascii="Times New Roman" w:hAnsi="Times New Roman" w:cs="Times New Roman"/>
                      <w:szCs w:val="21"/>
                    </w:rPr>
                    <w:t>/h</w:t>
                  </w:r>
                  <w:r>
                    <w:rPr>
                      <w:rFonts w:hint="eastAsia" w:ascii="Times New Roman" w:hAnsi="Times New Roman" w:cs="Times New Roman"/>
                      <w:szCs w:val="21"/>
                    </w:rPr>
                    <w:t>（最小流量）。</w:t>
                  </w:r>
                </w:p>
              </w:tc>
              <w:tc>
                <w:tcPr>
                  <w:tcW w:w="380" w:type="pct"/>
                  <w:tcBorders>
                    <w:tl2br w:val="nil"/>
                    <w:tr2bl w:val="nil"/>
                  </w:tcBorders>
                  <w:shd w:val="clear" w:color="auto" w:fill="FFFFFF"/>
                  <w:vAlign w:val="center"/>
                </w:tcPr>
                <w:p w14:paraId="17411651">
                  <w:pPr>
                    <w:jc w:val="center"/>
                    <w:rPr>
                      <w:rFonts w:ascii="Times New Roman" w:hAnsi="Times New Roman" w:cs="Times New Roman"/>
                      <w:szCs w:val="21"/>
                    </w:rPr>
                  </w:pPr>
                  <w:r>
                    <w:rPr>
                      <w:rFonts w:hint="eastAsia" w:ascii="Times New Roman" w:hAnsi="Times New Roman" w:cs="Times New Roman"/>
                      <w:szCs w:val="21"/>
                    </w:rPr>
                    <w:t>0.0335</w:t>
                  </w:r>
                </w:p>
              </w:tc>
              <w:tc>
                <w:tcPr>
                  <w:tcW w:w="462" w:type="pct"/>
                  <w:tcBorders>
                    <w:tl2br w:val="nil"/>
                    <w:tr2bl w:val="nil"/>
                  </w:tcBorders>
                  <w:shd w:val="clear" w:color="auto" w:fill="FFFFFF"/>
                  <w:vAlign w:val="center"/>
                </w:tcPr>
                <w:p w14:paraId="3701E1B7">
                  <w:pPr>
                    <w:jc w:val="center"/>
                    <w:rPr>
                      <w:rFonts w:ascii="Times New Roman" w:hAnsi="Times New Roman" w:cs="Times New Roman"/>
                      <w:szCs w:val="21"/>
                    </w:rPr>
                  </w:pPr>
                  <w:r>
                    <w:rPr>
                      <w:rFonts w:hint="eastAsia" w:ascii="Times New Roman" w:hAnsi="Times New Roman" w:cs="Times New Roman"/>
                      <w:szCs w:val="21"/>
                    </w:rPr>
                    <w:t>0.023</w:t>
                  </w:r>
                </w:p>
              </w:tc>
              <w:tc>
                <w:tcPr>
                  <w:tcW w:w="569" w:type="pct"/>
                  <w:tcBorders>
                    <w:tl2br w:val="nil"/>
                    <w:tr2bl w:val="nil"/>
                  </w:tcBorders>
                  <w:shd w:val="clear" w:color="auto" w:fill="FFFFFF"/>
                  <w:vAlign w:val="center"/>
                </w:tcPr>
                <w:p w14:paraId="5E3CFD79">
                  <w:pPr>
                    <w:jc w:val="center"/>
                    <w:rPr>
                      <w:rFonts w:ascii="Times New Roman" w:hAnsi="Times New Roman" w:cs="Times New Roman"/>
                      <w:szCs w:val="21"/>
                    </w:rPr>
                  </w:pPr>
                  <w:r>
                    <w:rPr>
                      <w:rFonts w:hint="eastAsia" w:ascii="Times New Roman" w:hAnsi="Times New Roman" w:cs="Times New Roman"/>
                      <w:szCs w:val="21"/>
                    </w:rPr>
                    <w:t>1.05</w:t>
                  </w:r>
                </w:p>
              </w:tc>
              <w:tc>
                <w:tcPr>
                  <w:tcW w:w="448" w:type="pct"/>
                  <w:tcBorders>
                    <w:tl2br w:val="nil"/>
                    <w:tr2bl w:val="nil"/>
                  </w:tcBorders>
                  <w:shd w:val="clear" w:color="auto" w:fill="FFFFFF"/>
                  <w:vAlign w:val="center"/>
                </w:tcPr>
                <w:p w14:paraId="64D4FC8C">
                  <w:pPr>
                    <w:jc w:val="center"/>
                    <w:rPr>
                      <w:rFonts w:ascii="Times New Roman" w:hAnsi="Times New Roman" w:cs="Times New Roman"/>
                      <w:szCs w:val="21"/>
                    </w:rPr>
                  </w:pPr>
                  <w:r>
                    <w:rPr>
                      <w:rFonts w:ascii="Times New Roman" w:hAnsi="Times New Roman" w:cs="Times New Roman"/>
                      <w:szCs w:val="21"/>
                    </w:rPr>
                    <w:t>120</w:t>
                  </w:r>
                </w:p>
              </w:tc>
            </w:tr>
            <w:tr w14:paraId="5AB86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5000" w:type="pct"/>
                  <w:gridSpan w:val="11"/>
                  <w:tcBorders>
                    <w:tl2br w:val="nil"/>
                    <w:tr2bl w:val="nil"/>
                  </w:tcBorders>
                  <w:shd w:val="clear" w:color="auto" w:fill="FFFFFF"/>
                  <w:vAlign w:val="center"/>
                </w:tcPr>
                <w:p w14:paraId="6B4BEC62">
                  <w:pPr>
                    <w:rPr>
                      <w:rFonts w:ascii="Times New Roman" w:hAnsi="Times New Roman" w:cs="Times New Roman"/>
                      <w:szCs w:val="21"/>
                    </w:rPr>
                  </w:pPr>
                  <w:r>
                    <w:rPr>
                      <w:rFonts w:hint="eastAsia" w:ascii="Times New Roman" w:hAnsi="Times New Roman" w:cs="Times New Roman"/>
                      <w:szCs w:val="21"/>
                    </w:rPr>
                    <w:t>注：本项目全年运行180天，搅拌工序按照1440h/a计。</w:t>
                  </w:r>
                  <w:r>
                    <w:rPr>
                      <w:rFonts w:hint="eastAsia" w:ascii="Times New Roman" w:hAnsi="宋体" w:eastAsia="宋体" w:cs="Times New Roman"/>
                      <w:szCs w:val="21"/>
                    </w:rPr>
                    <w:t>风机流量来源于建设单位订购设备清单。</w:t>
                  </w:r>
                </w:p>
              </w:tc>
            </w:tr>
          </w:tbl>
          <w:p w14:paraId="6EDBDD4A">
            <w:pPr>
              <w:pStyle w:val="4"/>
              <w:keepNext w:val="0"/>
              <w:keepLines w:val="0"/>
              <w:wordWrap w:val="0"/>
              <w:topLinePunct/>
              <w:ind w:firstLine="480"/>
              <w:rPr>
                <w:rFonts w:ascii="Times New Roman" w:hAnsi="Times New Roman" w:cs="Times New Roman"/>
                <w:b w:val="0"/>
                <w:spacing w:val="0"/>
                <w:w w:val="100"/>
                <w:szCs w:val="24"/>
              </w:rPr>
            </w:pPr>
            <w:r>
              <w:rPr>
                <w:rFonts w:hint="eastAsia" w:ascii="Times New Roman" w:hAnsi="Times New Roman" w:cs="Times New Roman"/>
                <w:b w:val="0"/>
                <w:spacing w:val="0"/>
                <w:w w:val="100"/>
                <w:szCs w:val="24"/>
              </w:rPr>
              <w:t>（2）沥青烟气</w:t>
            </w:r>
          </w:p>
          <w:p w14:paraId="03C54F15">
            <w:pPr>
              <w:pStyle w:val="4"/>
              <w:keepNext w:val="0"/>
              <w:keepLines w:val="0"/>
              <w:wordWrap w:val="0"/>
              <w:topLinePunct/>
              <w:ind w:firstLine="480"/>
              <w:rPr>
                <w:rFonts w:ascii="Times New Roman" w:hAnsi="Times New Roman" w:cs="Times New Roman"/>
                <w:b w:val="0"/>
                <w:color w:val="auto"/>
                <w:spacing w:val="0"/>
                <w:w w:val="100"/>
                <w:szCs w:val="24"/>
              </w:rPr>
            </w:pPr>
            <w:r>
              <w:rPr>
                <w:rFonts w:ascii="Times New Roman" w:hAnsi="Times New Roman" w:cs="Times New Roman"/>
                <w:b w:val="0"/>
                <w:color w:val="auto"/>
                <w:spacing w:val="0"/>
                <w:w w:val="100"/>
                <w:szCs w:val="24"/>
              </w:rPr>
              <w:t>本项目所用石油沥青先经</w:t>
            </w:r>
            <w:r>
              <w:rPr>
                <w:rFonts w:hint="eastAsia" w:ascii="Times New Roman" w:hAnsi="Times New Roman" w:cs="Times New Roman"/>
                <w:b w:val="0"/>
                <w:color w:val="auto"/>
                <w:spacing w:val="0"/>
                <w:w w:val="100"/>
                <w:szCs w:val="24"/>
              </w:rPr>
              <w:t>有机热载体炉（</w:t>
            </w:r>
            <w:r>
              <w:rPr>
                <w:rFonts w:ascii="Times New Roman" w:hAnsi="Times New Roman" w:cs="Times New Roman"/>
                <w:b w:val="0"/>
                <w:color w:val="auto"/>
                <w:spacing w:val="0"/>
                <w:w w:val="100"/>
                <w:szCs w:val="24"/>
              </w:rPr>
              <w:t>导热油炉</w:t>
            </w:r>
            <w:r>
              <w:rPr>
                <w:rFonts w:hint="eastAsia" w:ascii="Times New Roman" w:hAnsi="Times New Roman" w:cs="Times New Roman"/>
                <w:b w:val="0"/>
                <w:color w:val="auto"/>
                <w:spacing w:val="0"/>
                <w:w w:val="100"/>
                <w:szCs w:val="24"/>
              </w:rPr>
              <w:t>）</w:t>
            </w:r>
            <w:r>
              <w:rPr>
                <w:rFonts w:ascii="Times New Roman" w:hAnsi="Times New Roman" w:cs="Times New Roman"/>
                <w:b w:val="0"/>
                <w:color w:val="auto"/>
                <w:spacing w:val="0"/>
                <w:w w:val="100"/>
                <w:szCs w:val="24"/>
              </w:rPr>
              <w:t>间接加热保温，再由沥青泵通过密闭管道输送至搅拌系统，在此过程中，沥青烟气主要产生于储罐的大小呼吸、混合搅拌及成品出料等环节。</w:t>
            </w:r>
          </w:p>
          <w:p w14:paraId="43777B05">
            <w:pPr>
              <w:pStyle w:val="4"/>
              <w:keepNext w:val="0"/>
              <w:keepLines w:val="0"/>
              <w:wordWrap w:val="0"/>
              <w:topLinePunct/>
              <w:ind w:firstLine="480"/>
              <w:rPr>
                <w:rFonts w:ascii="Times New Roman" w:hAnsi="Times New Roman" w:cs="Times New Roman"/>
                <w:b w:val="0"/>
                <w:color w:val="auto"/>
                <w:spacing w:val="0"/>
                <w:w w:val="100"/>
                <w:szCs w:val="24"/>
              </w:rPr>
            </w:pPr>
            <w:r>
              <w:rPr>
                <w:rFonts w:hint="eastAsia" w:ascii="Times New Roman" w:hAnsi="Times New Roman" w:cs="Times New Roman"/>
                <w:b w:val="0"/>
                <w:color w:val="auto"/>
                <w:spacing w:val="0"/>
                <w:w w:val="100"/>
                <w:szCs w:val="24"/>
              </w:rPr>
              <w:t>沥青烟气系指石油沥青及沥青制品在生产、加工或施工过程中排放的液态烃类有机颗粒物（气溶胶）及少量气态烃类物质的混合烟气。其主要成分为复杂的烃类混合物，富含多环芳烃（PAHs）类物质，其中以苯并[a]芘（BaP）最具代表性。苯并[a]芘为高活性间接致癌物、诱变剂及致畸物，国际癌症研究机构（IARC）已将其明确列为1类致癌物（对人类致癌）。其纯品常温下为浅黄色针状结晶，熔点约为179°C，常压下沸点约为495°C，极难溶于水，易溶于苯、甲苯、氯仿等有机溶剂。大气中的多环芳烃是诱发呼吸道癌症发病率升高的重要危险因素之一，沥青烟气中的苯并[a]芘通常吸附于可吸入颗粒物（如PM</w:t>
            </w:r>
            <w:r>
              <w:rPr>
                <w:rFonts w:hint="eastAsia" w:ascii="Times New Roman" w:hAnsi="Times New Roman" w:cs="Times New Roman"/>
                <w:b w:val="0"/>
                <w:color w:val="auto"/>
                <w:spacing w:val="0"/>
                <w:w w:val="100"/>
                <w:szCs w:val="24"/>
                <w:vertAlign w:val="subscript"/>
              </w:rPr>
              <w:t>10</w:t>
            </w:r>
            <w:r>
              <w:rPr>
                <w:rFonts w:hint="eastAsia" w:ascii="Times New Roman" w:hAnsi="Times New Roman" w:cs="Times New Roman"/>
                <w:b w:val="0"/>
                <w:color w:val="auto"/>
                <w:spacing w:val="0"/>
                <w:w w:val="100"/>
                <w:szCs w:val="24"/>
              </w:rPr>
              <w:t>、PM</w:t>
            </w:r>
            <w:r>
              <w:rPr>
                <w:rFonts w:hint="eastAsia" w:ascii="Times New Roman" w:hAnsi="Times New Roman" w:cs="Times New Roman"/>
                <w:b w:val="0"/>
                <w:color w:val="auto"/>
                <w:spacing w:val="0"/>
                <w:w w:val="100"/>
                <w:szCs w:val="24"/>
                <w:vertAlign w:val="subscript"/>
              </w:rPr>
              <w:t>2.5</w:t>
            </w:r>
            <w:r>
              <w:rPr>
                <w:rFonts w:hint="eastAsia" w:ascii="Times New Roman" w:hAnsi="Times New Roman" w:cs="Times New Roman"/>
                <w:b w:val="0"/>
                <w:color w:val="auto"/>
                <w:spacing w:val="0"/>
                <w:w w:val="100"/>
                <w:szCs w:val="24"/>
              </w:rPr>
              <w:t>）表面，不仅可随呼吸作用进入人体，沉积于皮肤表面并被皮肤吸收也是其主要的暴露途径之一，大量的流行病学研究和动物实验证实，皮肤长期接触含苯并[a]芘的多环芳烃混合物会显著增加罹患皮肤癌的风险。</w:t>
            </w:r>
          </w:p>
          <w:p w14:paraId="59B756F7">
            <w:pPr>
              <w:pStyle w:val="4"/>
              <w:keepNext w:val="0"/>
              <w:keepLines w:val="0"/>
              <w:wordWrap w:val="0"/>
              <w:topLinePunct/>
              <w:ind w:firstLine="482"/>
              <w:rPr>
                <w:rFonts w:ascii="Times New Roman" w:hAnsi="Times New Roman" w:cs="Times New Roman"/>
                <w:bCs/>
                <w:spacing w:val="0"/>
                <w:w w:val="100"/>
                <w:szCs w:val="24"/>
              </w:rPr>
            </w:pPr>
            <w:r>
              <w:rPr>
                <w:rFonts w:hint="eastAsia" w:ascii="Times New Roman" w:hAnsi="Times New Roman" w:cs="Times New Roman"/>
                <w:bCs/>
                <w:spacing w:val="0"/>
                <w:w w:val="100"/>
                <w:szCs w:val="24"/>
              </w:rPr>
              <w:t>1）混合搅拌工序沥青烟气、成品出料沥青烟气</w:t>
            </w:r>
          </w:p>
          <w:p w14:paraId="69902E00">
            <w:pPr>
              <w:pStyle w:val="4"/>
              <w:keepNext w:val="0"/>
              <w:keepLines w:val="0"/>
              <w:wordWrap w:val="0"/>
              <w:topLinePunct/>
              <w:ind w:firstLine="482"/>
              <w:rPr>
                <w:rFonts w:ascii="Times New Roman" w:hAnsi="Times New Roman" w:cs="Times New Roman"/>
                <w:b w:val="0"/>
                <w:spacing w:val="0"/>
                <w:w w:val="100"/>
                <w:szCs w:val="24"/>
              </w:rPr>
            </w:pPr>
            <w:r>
              <w:rPr>
                <w:rFonts w:hint="eastAsia" w:ascii="Times New Roman" w:hAnsi="Times New Roman" w:cs="Times New Roman"/>
                <w:bCs/>
                <w:spacing w:val="0"/>
                <w:w w:val="100"/>
                <w:szCs w:val="24"/>
              </w:rPr>
              <w:t>源强核算：</w:t>
            </w:r>
            <w:r>
              <w:rPr>
                <w:rFonts w:hint="eastAsia" w:ascii="Times New Roman" w:hAnsi="Times New Roman" w:cs="Times New Roman"/>
                <w:b w:val="0"/>
                <w:spacing w:val="0"/>
                <w:w w:val="100"/>
                <w:szCs w:val="24"/>
              </w:rPr>
              <w:t>沥青烟主要包含沥青烟尘、苯并[a]芘和非甲烷总烃三种污染物，本项目沥青用量为7500t/a。</w:t>
            </w:r>
          </w:p>
          <w:p w14:paraId="5B41A1E5">
            <w:pPr>
              <w:pStyle w:val="4"/>
              <w:keepNext w:val="0"/>
              <w:keepLines w:val="0"/>
              <w:wordWrap w:val="0"/>
              <w:topLinePunct/>
              <w:ind w:firstLine="482"/>
              <w:rPr>
                <w:rFonts w:ascii="Times New Roman" w:hAnsi="Times New Roman" w:cs="Times New Roman"/>
                <w:b w:val="0"/>
                <w:spacing w:val="0"/>
                <w:w w:val="100"/>
                <w:szCs w:val="24"/>
              </w:rPr>
            </w:pPr>
            <w:r>
              <w:rPr>
                <w:rFonts w:hint="eastAsia" w:ascii="Times New Roman" w:hAnsi="Times New Roman" w:cs="Times New Roman"/>
                <w:bCs/>
                <w:spacing w:val="0"/>
                <w:w w:val="100"/>
                <w:szCs w:val="24"/>
              </w:rPr>
              <w:t>沥青烟尘</w:t>
            </w:r>
            <w:r>
              <w:rPr>
                <w:rFonts w:ascii="Times New Roman" w:hAnsi="Times New Roman" w:cs="Times New Roman"/>
                <w:bCs/>
                <w:spacing w:val="0"/>
                <w:w w:val="100"/>
                <w:szCs w:val="24"/>
              </w:rPr>
              <w:t>：</w:t>
            </w:r>
            <w:r>
              <w:rPr>
                <w:rFonts w:ascii="Times New Roman" w:hAnsi="Times New Roman" w:cs="Times New Roman"/>
                <w:b w:val="0"/>
                <w:spacing w:val="0"/>
                <w:w w:val="100"/>
                <w:szCs w:val="24"/>
              </w:rPr>
              <w:t>参考前苏联拉扎列夫主编的《工业生产中的有害物质手册》第一卷（化学工业出版社</w:t>
            </w:r>
            <w:r>
              <w:rPr>
                <w:rFonts w:hint="eastAsia" w:ascii="Times New Roman" w:hAnsi="Times New Roman" w:cs="Times New Roman"/>
                <w:b w:val="0"/>
                <w:spacing w:val="0"/>
                <w:w w:val="100"/>
                <w:szCs w:val="24"/>
              </w:rPr>
              <w:t>，</w:t>
            </w:r>
            <w:r>
              <w:rPr>
                <w:rFonts w:ascii="Times New Roman" w:hAnsi="Times New Roman" w:cs="Times New Roman"/>
                <w:b w:val="0"/>
                <w:spacing w:val="0"/>
                <w:w w:val="100"/>
                <w:szCs w:val="24"/>
              </w:rPr>
              <w:t>1987年12月出版）及金相灿主编的《有机化合物污染化学》（清华大学出版社</w:t>
            </w:r>
            <w:r>
              <w:rPr>
                <w:rFonts w:hint="eastAsia" w:ascii="Times New Roman" w:hAnsi="Times New Roman" w:cs="Times New Roman"/>
                <w:b w:val="0"/>
                <w:spacing w:val="0"/>
                <w:w w:val="100"/>
                <w:szCs w:val="24"/>
              </w:rPr>
              <w:t>，</w:t>
            </w:r>
            <w:r>
              <w:rPr>
                <w:rFonts w:ascii="Times New Roman" w:hAnsi="Times New Roman" w:cs="Times New Roman"/>
                <w:b w:val="0"/>
                <w:spacing w:val="0"/>
                <w:w w:val="100"/>
                <w:szCs w:val="24"/>
              </w:rPr>
              <w:t>1990年8月出版），每吨石油沥青在加热过程中沥青烟产生系数为56.25g/t-沥青。</w:t>
            </w:r>
            <w:r>
              <w:rPr>
                <w:rFonts w:hint="eastAsia" w:ascii="Times New Roman" w:hAnsi="Times New Roman" w:cs="Times New Roman"/>
                <w:b w:val="0"/>
                <w:spacing w:val="0"/>
                <w:w w:val="100"/>
                <w:szCs w:val="24"/>
              </w:rPr>
              <w:t>本项目沥青用量为7500t/a，则沥青烟气产生量为0.422t/a。</w:t>
            </w:r>
          </w:p>
          <w:p w14:paraId="7FECBD9B">
            <w:pPr>
              <w:pStyle w:val="4"/>
              <w:keepNext w:val="0"/>
              <w:keepLines w:val="0"/>
              <w:wordWrap w:val="0"/>
              <w:topLinePunct/>
              <w:ind w:firstLine="482"/>
              <w:rPr>
                <w:rFonts w:ascii="Times New Roman" w:hAnsi="Times New Roman" w:cs="Times New Roman"/>
                <w:bCs/>
                <w:color w:val="auto"/>
                <w:spacing w:val="0"/>
                <w:w w:val="100"/>
                <w:szCs w:val="24"/>
              </w:rPr>
            </w:pPr>
            <w:r>
              <w:rPr>
                <w:rFonts w:ascii="Times New Roman" w:hAnsi="Times New Roman" w:cs="Times New Roman"/>
                <w:bCs/>
                <w:color w:val="auto"/>
                <w:spacing w:val="0"/>
                <w:w w:val="100"/>
                <w:szCs w:val="24"/>
              </w:rPr>
              <w:t>苯并[a]芘：</w:t>
            </w:r>
            <w:r>
              <w:rPr>
                <w:rFonts w:ascii="Times New Roman" w:hAnsi="Times New Roman" w:cs="Times New Roman"/>
                <w:b w:val="0"/>
                <w:color w:val="auto"/>
                <w:spacing w:val="0"/>
                <w:w w:val="100"/>
                <w:szCs w:val="24"/>
              </w:rPr>
              <w:t>参考《工业生产中的有害物质手册》第一卷（化学工业出版社，1987年12月出版）中提供的数据，沥青烟中苯并[a]芘含量约为0.01%~0.02%，本次评价取平均值0.015%。本</w:t>
            </w:r>
            <w:r>
              <w:rPr>
                <w:rFonts w:hint="eastAsia" w:ascii="Times New Roman" w:hAnsi="Times New Roman" w:cs="Times New Roman"/>
                <w:b w:val="0"/>
                <w:color w:val="auto"/>
                <w:spacing w:val="0"/>
                <w:w w:val="100"/>
                <w:szCs w:val="24"/>
              </w:rPr>
              <w:t>工序</w:t>
            </w:r>
            <w:r>
              <w:rPr>
                <w:rFonts w:ascii="Times New Roman" w:hAnsi="Times New Roman" w:cs="Times New Roman"/>
                <w:b w:val="0"/>
                <w:color w:val="auto"/>
                <w:spacing w:val="0"/>
                <w:w w:val="100"/>
                <w:szCs w:val="24"/>
              </w:rPr>
              <w:t>沥青烟产生量为0.422t/a，则苯并[a]芘产生量为 0.0000633t/a</w:t>
            </w:r>
            <w:r>
              <w:rPr>
                <w:rFonts w:hint="eastAsia" w:ascii="Times New Roman" w:hAnsi="Times New Roman" w:cs="Times New Roman"/>
                <w:b w:val="0"/>
                <w:color w:val="auto"/>
                <w:spacing w:val="0"/>
                <w:w w:val="100"/>
                <w:szCs w:val="24"/>
              </w:rPr>
              <w:t>。</w:t>
            </w:r>
          </w:p>
          <w:p w14:paraId="3832E755">
            <w:pPr>
              <w:wordWrap w:val="0"/>
              <w:topLinePunct/>
              <w:spacing w:line="360" w:lineRule="auto"/>
              <w:ind w:firstLine="482" w:firstLineChars="200"/>
              <w:rPr>
                <w:rFonts w:ascii="Times New Roman" w:hAnsi="Times New Roman" w:eastAsia="宋体" w:cs="Times New Roman"/>
                <w:color w:val="000000"/>
                <w:sz w:val="24"/>
              </w:rPr>
            </w:pPr>
            <w:r>
              <w:rPr>
                <w:rFonts w:hint="eastAsia" w:ascii="Times New Roman" w:hAnsi="Times New Roman" w:eastAsia="宋体" w:cs="Times New Roman"/>
                <w:b/>
                <w:bCs/>
                <w:color w:val="000000"/>
                <w:sz w:val="24"/>
              </w:rPr>
              <w:t>非甲烷总烃：</w:t>
            </w:r>
            <w:r>
              <w:rPr>
                <w:rFonts w:ascii="Times New Roman" w:hAnsi="Times New Roman" w:eastAsia="宋体" w:cs="Times New Roman"/>
                <w:color w:val="000000"/>
                <w:sz w:val="24"/>
              </w:rPr>
              <w:t>参考美国环保署（EPA）《空气污染物排放和控制手册》（AP-42，中译本）中推荐的产污系数，并类比同类项目，沥青拌合站混合搅拌及出料工序挥发性有机废气（以非甲烷总烃计）产生量按14g/t（产品）计算。本项目年产沥青混凝土15万吨，则非甲烷总烃产生量为2.1t/a。</w:t>
            </w:r>
          </w:p>
          <w:p w14:paraId="13E183D2">
            <w:pPr>
              <w:spacing w:line="360" w:lineRule="auto"/>
              <w:ind w:firstLine="482" w:firstLineChars="200"/>
              <w:rPr>
                <w:rFonts w:ascii="Times New Roman" w:hAnsi="Times New Roman" w:eastAsia="宋体" w:cs="Times New Roman"/>
                <w:color w:val="000000"/>
                <w:sz w:val="24"/>
              </w:rPr>
            </w:pPr>
            <w:r>
              <w:rPr>
                <w:rFonts w:hint="eastAsia" w:ascii="Times New Roman" w:hAnsi="Times New Roman" w:eastAsia="宋体" w:cs="Times New Roman"/>
                <w:b/>
                <w:bCs/>
                <w:color w:val="000000"/>
                <w:sz w:val="24"/>
              </w:rPr>
              <w:t>拟采取治理措施：</w:t>
            </w:r>
            <w:r>
              <w:rPr>
                <w:rFonts w:hint="eastAsia" w:ascii="Times New Roman" w:hAnsi="Times New Roman" w:eastAsia="宋体" w:cs="Times New Roman"/>
                <w:color w:val="000000"/>
                <w:sz w:val="24"/>
              </w:rPr>
              <w:t>沥青经</w:t>
            </w:r>
            <w:r>
              <w:rPr>
                <w:rFonts w:hint="eastAsia" w:ascii="Times New Roman" w:hAnsi="Times New Roman" w:eastAsia="宋体" w:cs="Times New Roman"/>
                <w:sz w:val="24"/>
              </w:rPr>
              <w:t>有机热载体炉（</w:t>
            </w:r>
            <w:r>
              <w:rPr>
                <w:rFonts w:ascii="Times New Roman" w:hAnsi="Times New Roman" w:eastAsia="宋体" w:cs="Times New Roman"/>
                <w:sz w:val="24"/>
              </w:rPr>
              <w:t>导热油炉</w:t>
            </w:r>
            <w:r>
              <w:rPr>
                <w:rFonts w:hint="eastAsia" w:ascii="Times New Roman" w:hAnsi="Times New Roman" w:eastAsia="宋体" w:cs="Times New Roman"/>
                <w:sz w:val="24"/>
              </w:rPr>
              <w:t>）</w:t>
            </w:r>
            <w:r>
              <w:rPr>
                <w:rFonts w:hint="eastAsia" w:ascii="Times New Roman" w:hAnsi="Times New Roman" w:eastAsia="宋体" w:cs="Times New Roman"/>
                <w:color w:val="000000"/>
                <w:sz w:val="24"/>
              </w:rPr>
              <w:t>间接加热保温后，由沥青泵通过密闭管道输送至封闭式搅拌罐内，与预热后的骨料进行混合搅拌，此环节搅拌罐本体保持密闭，内部微负压运行，烟气基本无外逸。搅拌罐进出料口上方及两侧设置集气罩，出料口区域搭建防烟气扩散房（半密闭围护结构），两侧加装快速堆积门，</w:t>
            </w:r>
            <w:r>
              <w:rPr>
                <w:rFonts w:hint="eastAsia" w:ascii="Times New Roman" w:hAnsi="Times New Roman" w:eastAsia="宋体" w:cs="Times New Roman"/>
                <w:sz w:val="24"/>
              </w:rPr>
              <w:t>正常生产时保持关闭，车辆通行时快速启闭，形成局部围闭空间，</w:t>
            </w:r>
            <w:r>
              <w:rPr>
                <w:rFonts w:hint="eastAsia" w:ascii="Times New Roman" w:hAnsi="Times New Roman" w:eastAsia="宋体" w:cs="Times New Roman"/>
                <w:color w:val="000000"/>
                <w:sz w:val="24"/>
              </w:rPr>
              <w:t>通过引风机抽吸，使防扩散房及集气罩区域形成负压环境，确保出料及卸料过程中散逸的沥青烟气被定向捕集，经主管道统一汇入废气处理系统。沥青烟气引至洗涤塔+电捕焦油器+等离子光解净化除尘器+活性炭吸附装置处理后通过25m高排气筒DA002排放。</w:t>
            </w:r>
          </w:p>
          <w:p w14:paraId="4D8ABDE5">
            <w:pPr>
              <w:spacing w:line="360" w:lineRule="auto"/>
              <w:ind w:firstLine="482" w:firstLineChars="200"/>
              <w:rPr>
                <w:rFonts w:ascii="Times New Roman" w:hAnsi="Times New Roman" w:eastAsia="宋体" w:cs="Times New Roman"/>
                <w:color w:val="000000"/>
                <w:sz w:val="24"/>
              </w:rPr>
            </w:pPr>
            <w:r>
              <w:rPr>
                <w:rFonts w:ascii="Times New Roman" w:hAnsi="Times New Roman" w:eastAsia="宋体" w:cs="Times New Roman"/>
                <w:b/>
                <w:bCs/>
                <w:color w:val="000000"/>
                <w:sz w:val="24"/>
              </w:rPr>
              <w:t>排放情况：</w:t>
            </w:r>
            <w:r>
              <w:rPr>
                <w:rFonts w:ascii="Times New Roman" w:hAnsi="Times New Roman" w:eastAsia="宋体" w:cs="Times New Roman"/>
                <w:color w:val="000000"/>
                <w:sz w:val="24"/>
              </w:rPr>
              <w:t>经计算，</w:t>
            </w:r>
            <w:r>
              <w:rPr>
                <w:rFonts w:hint="eastAsia" w:ascii="Times New Roman" w:hAnsi="Times New Roman" w:eastAsia="宋体" w:cs="Times New Roman"/>
                <w:color w:val="000000"/>
                <w:sz w:val="24"/>
              </w:rPr>
              <w:t>混合搅拌工序、成品出料工序沥青烟气</w:t>
            </w:r>
            <w:r>
              <w:rPr>
                <w:rFonts w:ascii="Times New Roman" w:hAnsi="Times New Roman" w:eastAsia="宋体" w:cs="Times New Roman"/>
                <w:color w:val="000000"/>
                <w:sz w:val="24"/>
              </w:rPr>
              <w:t>产生、治理及排放情况见下表。</w:t>
            </w:r>
          </w:p>
          <w:p w14:paraId="5EA3D348">
            <w:pPr>
              <w:wordWrap w:val="0"/>
              <w:topLinePunct/>
              <w:spacing w:line="360" w:lineRule="auto"/>
              <w:jc w:val="center"/>
              <w:outlineLvl w:val="2"/>
              <w:rPr>
                <w:rFonts w:ascii="Times New Roman" w:hAnsi="Times New Roman" w:eastAsia="宋体" w:cs="Times New Roman"/>
                <w:b/>
                <w:bCs/>
                <w:color w:val="000000"/>
                <w:sz w:val="24"/>
              </w:rPr>
            </w:pPr>
            <w:r>
              <w:rPr>
                <w:rFonts w:hint="eastAsia" w:ascii="Times New Roman" w:hAnsi="Times New Roman" w:eastAsia="宋体" w:cs="Times New Roman"/>
                <w:b/>
                <w:bCs/>
                <w:color w:val="000000"/>
                <w:sz w:val="24"/>
              </w:rPr>
              <w:t xml:space="preserve"> </w:t>
            </w:r>
            <w:r>
              <w:rPr>
                <w:rFonts w:ascii="Times New Roman" w:hAnsi="Times New Roman" w:eastAsia="宋体" w:cs="Times New Roman"/>
                <w:b/>
                <w:bCs/>
                <w:color w:val="000000"/>
                <w:sz w:val="24"/>
              </w:rPr>
              <w:t>表</w:t>
            </w:r>
            <w:r>
              <w:rPr>
                <w:rFonts w:hint="eastAsia" w:ascii="Times New Roman" w:hAnsi="Times New Roman" w:eastAsia="宋体" w:cs="Times New Roman"/>
                <w:b/>
                <w:bCs/>
                <w:color w:val="000000"/>
                <w:sz w:val="24"/>
              </w:rPr>
              <w:t>4-13  混合搅拌、成品出料工序</w:t>
            </w:r>
            <w:r>
              <w:rPr>
                <w:rFonts w:ascii="Times New Roman" w:hAnsi="Times New Roman" w:eastAsia="宋体" w:cs="Times New Roman"/>
                <w:b/>
                <w:bCs/>
                <w:color w:val="000000"/>
                <w:sz w:val="24"/>
              </w:rPr>
              <w:t>产排情况一览表</w:t>
            </w:r>
          </w:p>
          <w:tbl>
            <w:tblPr>
              <w:tblStyle w:val="76"/>
              <w:tblW w:w="81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
              <w:gridCol w:w="429"/>
              <w:gridCol w:w="517"/>
              <w:gridCol w:w="568"/>
              <w:gridCol w:w="782"/>
              <w:gridCol w:w="933"/>
              <w:gridCol w:w="1175"/>
              <w:gridCol w:w="674"/>
              <w:gridCol w:w="756"/>
              <w:gridCol w:w="974"/>
              <w:gridCol w:w="947"/>
            </w:tblGrid>
            <w:tr w14:paraId="44D76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61" w:type="pct"/>
                  <w:vMerge w:val="restart"/>
                  <w:tcBorders>
                    <w:tl2br w:val="nil"/>
                    <w:tr2bl w:val="nil"/>
                  </w:tcBorders>
                  <w:shd w:val="clear" w:color="auto" w:fill="FFFFFF"/>
                  <w:vAlign w:val="center"/>
                </w:tcPr>
                <w:p w14:paraId="4DED49DF">
                  <w:pPr>
                    <w:jc w:val="center"/>
                    <w:rPr>
                      <w:rFonts w:ascii="Times New Roman" w:hAnsi="Times New Roman" w:cs="Times New Roman"/>
                      <w:b/>
                      <w:bCs/>
                      <w:szCs w:val="21"/>
                    </w:rPr>
                  </w:pPr>
                  <w:r>
                    <w:rPr>
                      <w:rFonts w:ascii="Times New Roman" w:hAnsi="Times New Roman" w:cs="Times New Roman"/>
                      <w:b/>
                      <w:bCs/>
                      <w:szCs w:val="21"/>
                    </w:rPr>
                    <w:t>产污环节</w:t>
                  </w:r>
                </w:p>
              </w:tc>
              <w:tc>
                <w:tcPr>
                  <w:tcW w:w="262" w:type="pct"/>
                  <w:vMerge w:val="restart"/>
                  <w:tcBorders>
                    <w:tl2br w:val="nil"/>
                    <w:tr2bl w:val="nil"/>
                  </w:tcBorders>
                  <w:shd w:val="clear" w:color="auto" w:fill="FFFFFF"/>
                  <w:vAlign w:val="center"/>
                </w:tcPr>
                <w:p w14:paraId="2337CC40">
                  <w:pPr>
                    <w:jc w:val="center"/>
                    <w:rPr>
                      <w:rFonts w:ascii="Times New Roman" w:hAnsi="Times New Roman" w:cs="Times New Roman"/>
                      <w:b/>
                      <w:bCs/>
                      <w:szCs w:val="21"/>
                    </w:rPr>
                  </w:pPr>
                  <w:r>
                    <w:rPr>
                      <w:rFonts w:hint="eastAsia" w:ascii="Times New Roman" w:hAnsi="Times New Roman" w:cs="Times New Roman"/>
                      <w:b/>
                      <w:bCs/>
                      <w:szCs w:val="21"/>
                    </w:rPr>
                    <w:t>排放形式</w:t>
                  </w:r>
                </w:p>
              </w:tc>
              <w:tc>
                <w:tcPr>
                  <w:tcW w:w="316" w:type="pct"/>
                  <w:tcBorders>
                    <w:tl2br w:val="nil"/>
                    <w:tr2bl w:val="nil"/>
                  </w:tcBorders>
                  <w:shd w:val="clear" w:color="auto" w:fill="FFFFFF"/>
                  <w:vAlign w:val="center"/>
                </w:tcPr>
                <w:p w14:paraId="2EA37DBB">
                  <w:pPr>
                    <w:jc w:val="center"/>
                    <w:rPr>
                      <w:rFonts w:ascii="Times New Roman" w:hAnsi="Times New Roman" w:cs="Times New Roman"/>
                      <w:b/>
                      <w:bCs/>
                      <w:szCs w:val="21"/>
                    </w:rPr>
                  </w:pPr>
                </w:p>
              </w:tc>
              <w:tc>
                <w:tcPr>
                  <w:tcW w:w="1395" w:type="pct"/>
                  <w:gridSpan w:val="3"/>
                  <w:tcBorders>
                    <w:tl2br w:val="nil"/>
                    <w:tr2bl w:val="nil"/>
                  </w:tcBorders>
                  <w:shd w:val="clear" w:color="auto" w:fill="FFFFFF"/>
                  <w:vAlign w:val="center"/>
                </w:tcPr>
                <w:p w14:paraId="511B378A">
                  <w:pPr>
                    <w:jc w:val="center"/>
                    <w:rPr>
                      <w:rFonts w:ascii="Times New Roman" w:hAnsi="Times New Roman" w:cs="Times New Roman"/>
                      <w:b/>
                      <w:bCs/>
                      <w:szCs w:val="21"/>
                    </w:rPr>
                  </w:pPr>
                  <w:r>
                    <w:rPr>
                      <w:rFonts w:ascii="Times New Roman" w:hAnsi="Times New Roman" w:cs="Times New Roman"/>
                      <w:b/>
                      <w:bCs/>
                      <w:szCs w:val="21"/>
                    </w:rPr>
                    <w:t>产生情况</w:t>
                  </w:r>
                </w:p>
              </w:tc>
              <w:tc>
                <w:tcPr>
                  <w:tcW w:w="718" w:type="pct"/>
                  <w:vMerge w:val="restart"/>
                  <w:tcBorders>
                    <w:tl2br w:val="nil"/>
                    <w:tr2bl w:val="nil"/>
                  </w:tcBorders>
                  <w:shd w:val="clear" w:color="auto" w:fill="FFFFFF"/>
                  <w:vAlign w:val="center"/>
                </w:tcPr>
                <w:p w14:paraId="1C2E8359">
                  <w:pPr>
                    <w:jc w:val="center"/>
                    <w:rPr>
                      <w:rFonts w:ascii="Times New Roman" w:hAnsi="Times New Roman" w:cs="Times New Roman"/>
                      <w:b/>
                      <w:bCs/>
                      <w:szCs w:val="21"/>
                    </w:rPr>
                  </w:pPr>
                  <w:r>
                    <w:rPr>
                      <w:rFonts w:ascii="Times New Roman" w:hAnsi="Times New Roman" w:cs="Times New Roman"/>
                      <w:b/>
                      <w:bCs/>
                      <w:szCs w:val="21"/>
                    </w:rPr>
                    <w:t>治理措施及效率</w:t>
                  </w:r>
                </w:p>
              </w:tc>
              <w:tc>
                <w:tcPr>
                  <w:tcW w:w="1469" w:type="pct"/>
                  <w:gridSpan w:val="3"/>
                  <w:tcBorders>
                    <w:tl2br w:val="nil"/>
                    <w:tr2bl w:val="nil"/>
                  </w:tcBorders>
                  <w:shd w:val="clear" w:color="auto" w:fill="FFFFFF"/>
                  <w:vAlign w:val="center"/>
                </w:tcPr>
                <w:p w14:paraId="3F71BB7C">
                  <w:pPr>
                    <w:jc w:val="center"/>
                    <w:rPr>
                      <w:rFonts w:ascii="Times New Roman" w:hAnsi="Times New Roman" w:cs="Times New Roman"/>
                      <w:b/>
                      <w:bCs/>
                      <w:szCs w:val="21"/>
                    </w:rPr>
                  </w:pPr>
                  <w:r>
                    <w:rPr>
                      <w:rFonts w:ascii="Times New Roman" w:hAnsi="Times New Roman" w:cs="Times New Roman"/>
                      <w:b/>
                      <w:bCs/>
                      <w:szCs w:val="21"/>
                    </w:rPr>
                    <w:t>排放情况</w:t>
                  </w:r>
                </w:p>
              </w:tc>
              <w:tc>
                <w:tcPr>
                  <w:tcW w:w="576" w:type="pct"/>
                  <w:tcBorders>
                    <w:tl2br w:val="nil"/>
                    <w:tr2bl w:val="nil"/>
                  </w:tcBorders>
                  <w:shd w:val="clear" w:color="auto" w:fill="FFFFFF"/>
                  <w:vAlign w:val="center"/>
                </w:tcPr>
                <w:p w14:paraId="093248D6">
                  <w:pPr>
                    <w:jc w:val="center"/>
                    <w:rPr>
                      <w:rFonts w:ascii="Times New Roman" w:hAnsi="Times New Roman" w:cs="Times New Roman"/>
                      <w:b/>
                      <w:bCs/>
                      <w:szCs w:val="21"/>
                    </w:rPr>
                  </w:pPr>
                  <w:r>
                    <w:rPr>
                      <w:rFonts w:ascii="Times New Roman" w:hAnsi="Times New Roman" w:cs="Times New Roman"/>
                      <w:b/>
                      <w:bCs/>
                      <w:szCs w:val="21"/>
                    </w:rPr>
                    <w:t>执行</w:t>
                  </w:r>
                </w:p>
                <w:p w14:paraId="6920E37A">
                  <w:pPr>
                    <w:jc w:val="center"/>
                    <w:rPr>
                      <w:rFonts w:ascii="Times New Roman" w:hAnsi="Times New Roman" w:cs="Times New Roman"/>
                      <w:b/>
                      <w:bCs/>
                      <w:szCs w:val="21"/>
                    </w:rPr>
                  </w:pPr>
                  <w:r>
                    <w:rPr>
                      <w:rFonts w:ascii="Times New Roman" w:hAnsi="Times New Roman" w:cs="Times New Roman"/>
                      <w:b/>
                      <w:bCs/>
                      <w:szCs w:val="21"/>
                    </w:rPr>
                    <w:t>标准</w:t>
                  </w:r>
                </w:p>
                <w:p w14:paraId="2DC39FD4">
                  <w:pPr>
                    <w:jc w:val="center"/>
                    <w:rPr>
                      <w:rFonts w:ascii="Times New Roman" w:hAnsi="Times New Roman" w:cs="Times New Roman"/>
                      <w:b/>
                      <w:bCs/>
                      <w:szCs w:val="21"/>
                    </w:rPr>
                  </w:pPr>
                  <w:r>
                    <w:rPr>
                      <w:rFonts w:hint="eastAsia" w:ascii="Times New Roman" w:hAnsi="Times New Roman" w:cs="Times New Roman"/>
                      <w:b/>
                      <w:bCs/>
                      <w:szCs w:val="21"/>
                    </w:rPr>
                    <w:t>（最高允许排放）</w:t>
                  </w:r>
                </w:p>
              </w:tc>
            </w:tr>
            <w:tr w14:paraId="04E85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jc w:val="center"/>
              </w:trPr>
              <w:tc>
                <w:tcPr>
                  <w:tcW w:w="261" w:type="pct"/>
                  <w:vMerge w:val="continue"/>
                  <w:tcBorders>
                    <w:tl2br w:val="nil"/>
                    <w:tr2bl w:val="nil"/>
                  </w:tcBorders>
                  <w:shd w:val="clear" w:color="auto" w:fill="FFFFFF"/>
                  <w:vAlign w:val="center"/>
                </w:tcPr>
                <w:p w14:paraId="158CE356">
                  <w:pPr>
                    <w:jc w:val="center"/>
                    <w:rPr>
                      <w:rFonts w:ascii="Times New Roman" w:hAnsi="Times New Roman" w:cs="Times New Roman"/>
                      <w:b/>
                      <w:bCs/>
                      <w:szCs w:val="21"/>
                    </w:rPr>
                  </w:pPr>
                </w:p>
              </w:tc>
              <w:tc>
                <w:tcPr>
                  <w:tcW w:w="262" w:type="pct"/>
                  <w:vMerge w:val="continue"/>
                  <w:tcBorders>
                    <w:tl2br w:val="nil"/>
                    <w:tr2bl w:val="nil"/>
                  </w:tcBorders>
                  <w:shd w:val="clear" w:color="auto" w:fill="FFFFFF"/>
                  <w:vAlign w:val="center"/>
                </w:tcPr>
                <w:p w14:paraId="58FA2372">
                  <w:pPr>
                    <w:jc w:val="center"/>
                    <w:rPr>
                      <w:rFonts w:ascii="Times New Roman" w:hAnsi="Times New Roman" w:cs="Times New Roman"/>
                      <w:b/>
                      <w:bCs/>
                      <w:szCs w:val="21"/>
                    </w:rPr>
                  </w:pPr>
                </w:p>
              </w:tc>
              <w:tc>
                <w:tcPr>
                  <w:tcW w:w="316" w:type="pct"/>
                  <w:vMerge w:val="restart"/>
                  <w:tcBorders>
                    <w:tl2br w:val="nil"/>
                    <w:tr2bl w:val="nil"/>
                  </w:tcBorders>
                  <w:shd w:val="clear" w:color="auto" w:fill="FFFFFF"/>
                  <w:vAlign w:val="center"/>
                </w:tcPr>
                <w:p w14:paraId="0F2EB804">
                  <w:pPr>
                    <w:jc w:val="center"/>
                    <w:rPr>
                      <w:rFonts w:ascii="Times New Roman" w:hAnsi="Times New Roman" w:cs="Times New Roman"/>
                      <w:b/>
                      <w:bCs/>
                      <w:szCs w:val="21"/>
                    </w:rPr>
                  </w:pPr>
                  <w:r>
                    <w:rPr>
                      <w:rFonts w:hint="eastAsia" w:ascii="Times New Roman" w:hAnsi="Times New Roman" w:cs="Times New Roman"/>
                      <w:b/>
                      <w:bCs/>
                      <w:szCs w:val="21"/>
                    </w:rPr>
                    <w:t>污染物</w:t>
                  </w:r>
                </w:p>
              </w:tc>
              <w:tc>
                <w:tcPr>
                  <w:tcW w:w="347" w:type="pct"/>
                  <w:vMerge w:val="restart"/>
                  <w:tcBorders>
                    <w:tl2br w:val="nil"/>
                    <w:tr2bl w:val="nil"/>
                  </w:tcBorders>
                  <w:shd w:val="clear" w:color="auto" w:fill="FFFFFF"/>
                  <w:vAlign w:val="center"/>
                </w:tcPr>
                <w:p w14:paraId="0E561EA3">
                  <w:pPr>
                    <w:jc w:val="center"/>
                    <w:rPr>
                      <w:rFonts w:ascii="Times New Roman" w:hAnsi="Times New Roman" w:cs="Times New Roman"/>
                      <w:b/>
                      <w:bCs/>
                      <w:szCs w:val="21"/>
                    </w:rPr>
                  </w:pPr>
                  <w:r>
                    <w:rPr>
                      <w:rFonts w:ascii="Times New Roman" w:hAnsi="Times New Roman" w:cs="Times New Roman"/>
                      <w:b/>
                      <w:bCs/>
                      <w:szCs w:val="21"/>
                    </w:rPr>
                    <w:t>产生量</w:t>
                  </w:r>
                  <w:r>
                    <w:rPr>
                      <w:rFonts w:hint="eastAsia" w:ascii="Times New Roman" w:hAnsi="Times New Roman" w:cs="Times New Roman"/>
                      <w:b/>
                      <w:bCs/>
                      <w:szCs w:val="21"/>
                    </w:rPr>
                    <w:t>/</w:t>
                  </w:r>
                  <w:r>
                    <w:rPr>
                      <w:rFonts w:hint="eastAsia" w:ascii="Times New Roman" w:hAnsi="Times New Roman" w:cs="Times New Roman"/>
                      <w:b/>
                      <w:bCs/>
                      <w:color w:val="FF0000"/>
                      <w:szCs w:val="21"/>
                    </w:rPr>
                    <w:t>收集量</w:t>
                  </w:r>
                  <w:r>
                    <w:rPr>
                      <w:rFonts w:ascii="Times New Roman" w:hAnsi="Times New Roman" w:cs="Times New Roman"/>
                      <w:b/>
                      <w:bCs/>
                      <w:szCs w:val="21"/>
                    </w:rPr>
                    <w:t>（t/a）</w:t>
                  </w:r>
                </w:p>
              </w:tc>
              <w:tc>
                <w:tcPr>
                  <w:tcW w:w="478" w:type="pct"/>
                  <w:vMerge w:val="restart"/>
                  <w:tcBorders>
                    <w:tl2br w:val="nil"/>
                    <w:tr2bl w:val="nil"/>
                  </w:tcBorders>
                  <w:shd w:val="clear" w:color="auto" w:fill="FFFFFF"/>
                  <w:vAlign w:val="center"/>
                </w:tcPr>
                <w:p w14:paraId="18E21B00">
                  <w:pPr>
                    <w:jc w:val="center"/>
                    <w:rPr>
                      <w:rFonts w:ascii="Times New Roman" w:hAnsi="Times New Roman" w:cs="Times New Roman"/>
                      <w:b/>
                      <w:bCs/>
                      <w:szCs w:val="21"/>
                    </w:rPr>
                  </w:pPr>
                  <w:r>
                    <w:rPr>
                      <w:rFonts w:ascii="Times New Roman" w:hAnsi="Times New Roman" w:cs="Times New Roman"/>
                      <w:b/>
                      <w:bCs/>
                      <w:szCs w:val="21"/>
                    </w:rPr>
                    <w:t>产生</w:t>
                  </w:r>
                </w:p>
                <w:p w14:paraId="353282ED">
                  <w:pPr>
                    <w:jc w:val="center"/>
                    <w:rPr>
                      <w:rFonts w:ascii="Times New Roman" w:hAnsi="Times New Roman" w:cs="Times New Roman"/>
                      <w:b/>
                      <w:bCs/>
                      <w:szCs w:val="21"/>
                    </w:rPr>
                  </w:pPr>
                  <w:r>
                    <w:rPr>
                      <w:rFonts w:ascii="Times New Roman" w:hAnsi="Times New Roman" w:cs="Times New Roman"/>
                      <w:b/>
                      <w:bCs/>
                      <w:szCs w:val="21"/>
                    </w:rPr>
                    <w:t>速率（kg/h）</w:t>
                  </w:r>
                </w:p>
              </w:tc>
              <w:tc>
                <w:tcPr>
                  <w:tcW w:w="570" w:type="pct"/>
                  <w:vMerge w:val="restart"/>
                  <w:tcBorders>
                    <w:tl2br w:val="nil"/>
                    <w:tr2bl w:val="nil"/>
                  </w:tcBorders>
                  <w:shd w:val="clear" w:color="auto" w:fill="FFFFFF"/>
                  <w:vAlign w:val="center"/>
                </w:tcPr>
                <w:p w14:paraId="6DD59337">
                  <w:pPr>
                    <w:jc w:val="center"/>
                    <w:rPr>
                      <w:rFonts w:ascii="Times New Roman" w:hAnsi="Times New Roman" w:cs="Times New Roman"/>
                      <w:b/>
                      <w:bCs/>
                      <w:szCs w:val="21"/>
                    </w:rPr>
                  </w:pPr>
                  <w:r>
                    <w:rPr>
                      <w:rFonts w:ascii="Times New Roman" w:hAnsi="Times New Roman" w:cs="Times New Roman"/>
                      <w:b/>
                      <w:bCs/>
                      <w:szCs w:val="21"/>
                    </w:rPr>
                    <w:t>产生浓度（mg/m</w:t>
                  </w:r>
                  <w:r>
                    <w:rPr>
                      <w:rFonts w:ascii="Times New Roman" w:hAnsi="Times New Roman" w:cs="Times New Roman"/>
                      <w:b/>
                      <w:bCs/>
                      <w:szCs w:val="21"/>
                      <w:vertAlign w:val="superscript"/>
                    </w:rPr>
                    <w:t>3</w:t>
                  </w:r>
                  <w:r>
                    <w:rPr>
                      <w:rFonts w:ascii="Times New Roman" w:hAnsi="Times New Roman" w:cs="Times New Roman"/>
                      <w:b/>
                      <w:bCs/>
                      <w:szCs w:val="21"/>
                    </w:rPr>
                    <w:t>）</w:t>
                  </w:r>
                </w:p>
              </w:tc>
              <w:tc>
                <w:tcPr>
                  <w:tcW w:w="718" w:type="pct"/>
                  <w:vMerge w:val="continue"/>
                  <w:tcBorders>
                    <w:tl2br w:val="nil"/>
                    <w:tr2bl w:val="nil"/>
                  </w:tcBorders>
                  <w:shd w:val="clear" w:color="auto" w:fill="FFFFFF"/>
                  <w:vAlign w:val="center"/>
                </w:tcPr>
                <w:p w14:paraId="357D8C02">
                  <w:pPr>
                    <w:jc w:val="center"/>
                    <w:rPr>
                      <w:rFonts w:ascii="Times New Roman" w:hAnsi="Times New Roman" w:cs="Times New Roman"/>
                      <w:b/>
                      <w:bCs/>
                      <w:szCs w:val="21"/>
                    </w:rPr>
                  </w:pPr>
                </w:p>
              </w:tc>
              <w:tc>
                <w:tcPr>
                  <w:tcW w:w="412" w:type="pct"/>
                  <w:vMerge w:val="restart"/>
                  <w:tcBorders>
                    <w:tl2br w:val="nil"/>
                    <w:tr2bl w:val="nil"/>
                  </w:tcBorders>
                  <w:shd w:val="clear" w:color="auto" w:fill="FFFFFF"/>
                  <w:vAlign w:val="center"/>
                </w:tcPr>
                <w:p w14:paraId="2C70F947">
                  <w:pPr>
                    <w:jc w:val="center"/>
                    <w:rPr>
                      <w:rFonts w:ascii="Times New Roman" w:hAnsi="Times New Roman" w:cs="Times New Roman"/>
                      <w:b/>
                      <w:bCs/>
                      <w:szCs w:val="21"/>
                    </w:rPr>
                  </w:pPr>
                  <w:r>
                    <w:rPr>
                      <w:rFonts w:ascii="Times New Roman" w:hAnsi="Times New Roman" w:cs="Times New Roman"/>
                      <w:b/>
                      <w:bCs/>
                      <w:szCs w:val="21"/>
                    </w:rPr>
                    <w:t>排放量（t/a）</w:t>
                  </w:r>
                </w:p>
              </w:tc>
              <w:tc>
                <w:tcPr>
                  <w:tcW w:w="462" w:type="pct"/>
                  <w:vMerge w:val="restart"/>
                  <w:tcBorders>
                    <w:tl2br w:val="nil"/>
                    <w:tr2bl w:val="nil"/>
                  </w:tcBorders>
                  <w:shd w:val="clear" w:color="auto" w:fill="FFFFFF"/>
                  <w:vAlign w:val="center"/>
                </w:tcPr>
                <w:p w14:paraId="0517D663">
                  <w:pPr>
                    <w:jc w:val="center"/>
                    <w:rPr>
                      <w:rFonts w:ascii="Times New Roman" w:hAnsi="Times New Roman" w:cs="Times New Roman"/>
                      <w:b/>
                      <w:bCs/>
                      <w:szCs w:val="21"/>
                    </w:rPr>
                  </w:pPr>
                  <w:r>
                    <w:rPr>
                      <w:rFonts w:ascii="Times New Roman" w:hAnsi="Times New Roman" w:cs="Times New Roman"/>
                      <w:b/>
                      <w:bCs/>
                      <w:szCs w:val="21"/>
                    </w:rPr>
                    <w:t>排放</w:t>
                  </w:r>
                </w:p>
                <w:p w14:paraId="7E885347">
                  <w:pPr>
                    <w:jc w:val="center"/>
                    <w:rPr>
                      <w:rFonts w:ascii="Times New Roman" w:hAnsi="Times New Roman" w:cs="Times New Roman"/>
                      <w:b/>
                      <w:bCs/>
                      <w:szCs w:val="21"/>
                    </w:rPr>
                  </w:pPr>
                  <w:r>
                    <w:rPr>
                      <w:rFonts w:ascii="Times New Roman" w:hAnsi="Times New Roman" w:cs="Times New Roman"/>
                      <w:b/>
                      <w:bCs/>
                      <w:szCs w:val="21"/>
                    </w:rPr>
                    <w:t>速率</w:t>
                  </w:r>
                </w:p>
                <w:p w14:paraId="4EEFB74A">
                  <w:pPr>
                    <w:jc w:val="center"/>
                    <w:rPr>
                      <w:rFonts w:ascii="Times New Roman" w:hAnsi="Times New Roman" w:cs="Times New Roman"/>
                      <w:b/>
                      <w:bCs/>
                      <w:szCs w:val="21"/>
                    </w:rPr>
                  </w:pPr>
                  <w:r>
                    <w:rPr>
                      <w:rFonts w:ascii="Times New Roman" w:hAnsi="Times New Roman" w:cs="Times New Roman"/>
                      <w:b/>
                      <w:bCs/>
                      <w:szCs w:val="21"/>
                    </w:rPr>
                    <w:t>（kg/h）</w:t>
                  </w:r>
                </w:p>
              </w:tc>
              <w:tc>
                <w:tcPr>
                  <w:tcW w:w="593" w:type="pct"/>
                  <w:vMerge w:val="restart"/>
                  <w:tcBorders>
                    <w:tl2br w:val="nil"/>
                    <w:tr2bl w:val="nil"/>
                  </w:tcBorders>
                  <w:shd w:val="clear" w:color="auto" w:fill="FFFFFF"/>
                  <w:vAlign w:val="center"/>
                </w:tcPr>
                <w:p w14:paraId="5D576C52">
                  <w:pPr>
                    <w:jc w:val="center"/>
                    <w:rPr>
                      <w:rFonts w:ascii="Times New Roman" w:hAnsi="Times New Roman" w:cs="Times New Roman"/>
                      <w:b/>
                      <w:bCs/>
                      <w:szCs w:val="21"/>
                    </w:rPr>
                  </w:pPr>
                  <w:r>
                    <w:rPr>
                      <w:rFonts w:ascii="Times New Roman" w:hAnsi="Times New Roman" w:cs="Times New Roman"/>
                      <w:b/>
                      <w:bCs/>
                      <w:szCs w:val="21"/>
                    </w:rPr>
                    <w:t>排放</w:t>
                  </w:r>
                </w:p>
                <w:p w14:paraId="7DE368D7">
                  <w:pPr>
                    <w:jc w:val="center"/>
                    <w:rPr>
                      <w:rFonts w:ascii="Times New Roman" w:hAnsi="Times New Roman" w:cs="Times New Roman"/>
                      <w:b/>
                      <w:bCs/>
                      <w:szCs w:val="21"/>
                    </w:rPr>
                  </w:pPr>
                  <w:r>
                    <w:rPr>
                      <w:rFonts w:ascii="Times New Roman" w:hAnsi="Times New Roman" w:cs="Times New Roman"/>
                      <w:b/>
                      <w:bCs/>
                      <w:szCs w:val="21"/>
                    </w:rPr>
                    <w:t>浓度（mg/m</w:t>
                  </w:r>
                  <w:r>
                    <w:rPr>
                      <w:rFonts w:ascii="Times New Roman" w:hAnsi="Times New Roman" w:cs="Times New Roman"/>
                      <w:b/>
                      <w:bCs/>
                      <w:szCs w:val="21"/>
                      <w:vertAlign w:val="superscript"/>
                    </w:rPr>
                    <w:t>3</w:t>
                  </w:r>
                  <w:r>
                    <w:rPr>
                      <w:rFonts w:ascii="Times New Roman" w:hAnsi="Times New Roman" w:cs="Times New Roman"/>
                      <w:b/>
                      <w:bCs/>
                      <w:szCs w:val="21"/>
                    </w:rPr>
                    <w:t>）</w:t>
                  </w:r>
                </w:p>
              </w:tc>
              <w:tc>
                <w:tcPr>
                  <w:tcW w:w="576" w:type="pct"/>
                  <w:tcBorders>
                    <w:bottom w:val="single" w:color="auto" w:sz="4" w:space="0"/>
                    <w:tl2br w:val="nil"/>
                    <w:tr2bl w:val="nil"/>
                  </w:tcBorders>
                  <w:shd w:val="clear" w:color="auto" w:fill="FFFFFF"/>
                  <w:vAlign w:val="center"/>
                </w:tcPr>
                <w:p w14:paraId="183A0541">
                  <w:pPr>
                    <w:jc w:val="center"/>
                    <w:rPr>
                      <w:rFonts w:ascii="Times New Roman" w:hAnsi="Times New Roman" w:cs="Times New Roman"/>
                      <w:b/>
                      <w:bCs/>
                      <w:szCs w:val="21"/>
                    </w:rPr>
                  </w:pPr>
                  <w:r>
                    <w:rPr>
                      <w:rFonts w:ascii="Times New Roman" w:hAnsi="Times New Roman" w:cs="Times New Roman"/>
                      <w:b/>
                      <w:bCs/>
                      <w:szCs w:val="21"/>
                    </w:rPr>
                    <w:t>浓度(mg/m</w:t>
                  </w:r>
                  <w:r>
                    <w:rPr>
                      <w:rFonts w:ascii="Times New Roman" w:hAnsi="Times New Roman" w:cs="Times New Roman"/>
                      <w:b/>
                      <w:bCs/>
                      <w:szCs w:val="21"/>
                      <w:vertAlign w:val="superscript"/>
                    </w:rPr>
                    <w:t>3</w:t>
                  </w:r>
                  <w:r>
                    <w:rPr>
                      <w:rFonts w:ascii="Times New Roman" w:hAnsi="Times New Roman" w:cs="Times New Roman"/>
                      <w:b/>
                      <w:bCs/>
                      <w:szCs w:val="21"/>
                    </w:rPr>
                    <w:t>)</w:t>
                  </w:r>
                </w:p>
              </w:tc>
            </w:tr>
            <w:tr w14:paraId="3713E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61" w:type="pct"/>
                  <w:vMerge w:val="continue"/>
                  <w:tcBorders>
                    <w:tl2br w:val="nil"/>
                    <w:tr2bl w:val="nil"/>
                  </w:tcBorders>
                  <w:shd w:val="clear" w:color="auto" w:fill="FFFFFF"/>
                  <w:vAlign w:val="center"/>
                </w:tcPr>
                <w:p w14:paraId="61B44A8E">
                  <w:pPr>
                    <w:jc w:val="center"/>
                    <w:rPr>
                      <w:rFonts w:ascii="Times New Roman" w:hAnsi="Times New Roman" w:cs="Times New Roman"/>
                      <w:b/>
                      <w:bCs/>
                      <w:szCs w:val="21"/>
                    </w:rPr>
                  </w:pPr>
                </w:p>
              </w:tc>
              <w:tc>
                <w:tcPr>
                  <w:tcW w:w="262" w:type="pct"/>
                  <w:vMerge w:val="continue"/>
                  <w:tcBorders>
                    <w:tl2br w:val="nil"/>
                    <w:tr2bl w:val="nil"/>
                  </w:tcBorders>
                  <w:shd w:val="clear" w:color="auto" w:fill="FFFFFF"/>
                  <w:vAlign w:val="center"/>
                </w:tcPr>
                <w:p w14:paraId="5C9D0C6A">
                  <w:pPr>
                    <w:jc w:val="center"/>
                    <w:rPr>
                      <w:rFonts w:ascii="Times New Roman" w:hAnsi="Times New Roman" w:cs="Times New Roman"/>
                      <w:b/>
                      <w:bCs/>
                      <w:szCs w:val="21"/>
                    </w:rPr>
                  </w:pPr>
                </w:p>
              </w:tc>
              <w:tc>
                <w:tcPr>
                  <w:tcW w:w="316" w:type="pct"/>
                  <w:vMerge w:val="continue"/>
                  <w:tcBorders>
                    <w:tl2br w:val="nil"/>
                    <w:tr2bl w:val="nil"/>
                  </w:tcBorders>
                  <w:shd w:val="clear" w:color="auto" w:fill="FFFFFF"/>
                  <w:vAlign w:val="center"/>
                </w:tcPr>
                <w:p w14:paraId="0FF22EC1">
                  <w:pPr>
                    <w:jc w:val="center"/>
                    <w:rPr>
                      <w:rFonts w:ascii="Times New Roman" w:hAnsi="Times New Roman" w:cs="Times New Roman"/>
                      <w:b/>
                      <w:bCs/>
                      <w:szCs w:val="21"/>
                    </w:rPr>
                  </w:pPr>
                </w:p>
              </w:tc>
              <w:tc>
                <w:tcPr>
                  <w:tcW w:w="347" w:type="pct"/>
                  <w:vMerge w:val="continue"/>
                  <w:tcBorders>
                    <w:tl2br w:val="nil"/>
                    <w:tr2bl w:val="nil"/>
                  </w:tcBorders>
                  <w:shd w:val="clear" w:color="auto" w:fill="FFFFFF"/>
                  <w:vAlign w:val="center"/>
                </w:tcPr>
                <w:p w14:paraId="58F85956">
                  <w:pPr>
                    <w:jc w:val="center"/>
                    <w:rPr>
                      <w:rFonts w:ascii="Times New Roman" w:hAnsi="Times New Roman" w:cs="Times New Roman"/>
                      <w:b/>
                      <w:bCs/>
                      <w:szCs w:val="21"/>
                    </w:rPr>
                  </w:pPr>
                </w:p>
              </w:tc>
              <w:tc>
                <w:tcPr>
                  <w:tcW w:w="478" w:type="pct"/>
                  <w:vMerge w:val="continue"/>
                  <w:tcBorders>
                    <w:tl2br w:val="nil"/>
                    <w:tr2bl w:val="nil"/>
                  </w:tcBorders>
                  <w:shd w:val="clear" w:color="auto" w:fill="FFFFFF"/>
                  <w:vAlign w:val="center"/>
                </w:tcPr>
                <w:p w14:paraId="4A880D10">
                  <w:pPr>
                    <w:jc w:val="center"/>
                    <w:rPr>
                      <w:rFonts w:ascii="Times New Roman" w:hAnsi="Times New Roman" w:cs="Times New Roman"/>
                      <w:b/>
                      <w:bCs/>
                      <w:szCs w:val="21"/>
                    </w:rPr>
                  </w:pPr>
                </w:p>
              </w:tc>
              <w:tc>
                <w:tcPr>
                  <w:tcW w:w="570" w:type="pct"/>
                  <w:vMerge w:val="continue"/>
                  <w:tcBorders>
                    <w:tl2br w:val="nil"/>
                    <w:tr2bl w:val="nil"/>
                  </w:tcBorders>
                  <w:shd w:val="clear" w:color="auto" w:fill="FFFFFF"/>
                  <w:vAlign w:val="center"/>
                </w:tcPr>
                <w:p w14:paraId="6069E9F7">
                  <w:pPr>
                    <w:jc w:val="center"/>
                    <w:rPr>
                      <w:rFonts w:ascii="Times New Roman" w:hAnsi="Times New Roman" w:cs="Times New Roman"/>
                      <w:b/>
                      <w:bCs/>
                      <w:szCs w:val="21"/>
                    </w:rPr>
                  </w:pPr>
                </w:p>
              </w:tc>
              <w:tc>
                <w:tcPr>
                  <w:tcW w:w="718" w:type="pct"/>
                  <w:vMerge w:val="continue"/>
                  <w:tcBorders>
                    <w:tl2br w:val="nil"/>
                    <w:tr2bl w:val="nil"/>
                  </w:tcBorders>
                  <w:shd w:val="clear" w:color="auto" w:fill="FFFFFF"/>
                  <w:vAlign w:val="center"/>
                </w:tcPr>
                <w:p w14:paraId="5A4189B0">
                  <w:pPr>
                    <w:jc w:val="center"/>
                    <w:rPr>
                      <w:rFonts w:ascii="Times New Roman" w:hAnsi="Times New Roman" w:cs="Times New Roman"/>
                      <w:b/>
                      <w:bCs/>
                      <w:szCs w:val="21"/>
                    </w:rPr>
                  </w:pPr>
                </w:p>
              </w:tc>
              <w:tc>
                <w:tcPr>
                  <w:tcW w:w="412" w:type="pct"/>
                  <w:vMerge w:val="continue"/>
                  <w:tcBorders>
                    <w:tl2br w:val="nil"/>
                    <w:tr2bl w:val="nil"/>
                  </w:tcBorders>
                  <w:shd w:val="clear" w:color="auto" w:fill="FFFFFF"/>
                  <w:vAlign w:val="center"/>
                </w:tcPr>
                <w:p w14:paraId="1F4C006D">
                  <w:pPr>
                    <w:jc w:val="center"/>
                    <w:rPr>
                      <w:rFonts w:ascii="Times New Roman" w:hAnsi="Times New Roman" w:cs="Times New Roman"/>
                      <w:b/>
                      <w:bCs/>
                      <w:szCs w:val="21"/>
                    </w:rPr>
                  </w:pPr>
                </w:p>
              </w:tc>
              <w:tc>
                <w:tcPr>
                  <w:tcW w:w="462" w:type="pct"/>
                  <w:vMerge w:val="continue"/>
                  <w:tcBorders>
                    <w:tl2br w:val="nil"/>
                    <w:tr2bl w:val="nil"/>
                  </w:tcBorders>
                  <w:shd w:val="clear" w:color="auto" w:fill="FFFFFF"/>
                  <w:vAlign w:val="center"/>
                </w:tcPr>
                <w:p w14:paraId="41B9271F">
                  <w:pPr>
                    <w:jc w:val="center"/>
                    <w:rPr>
                      <w:rFonts w:ascii="Times New Roman" w:hAnsi="Times New Roman" w:cs="Times New Roman"/>
                      <w:b/>
                      <w:bCs/>
                      <w:szCs w:val="21"/>
                    </w:rPr>
                  </w:pPr>
                </w:p>
              </w:tc>
              <w:tc>
                <w:tcPr>
                  <w:tcW w:w="593" w:type="pct"/>
                  <w:vMerge w:val="continue"/>
                  <w:tcBorders>
                    <w:tl2br w:val="nil"/>
                    <w:tr2bl w:val="nil"/>
                  </w:tcBorders>
                  <w:shd w:val="clear" w:color="auto" w:fill="FFFFFF"/>
                  <w:vAlign w:val="center"/>
                </w:tcPr>
                <w:p w14:paraId="771E9BB6">
                  <w:pPr>
                    <w:jc w:val="center"/>
                    <w:rPr>
                      <w:rFonts w:ascii="Times New Roman" w:hAnsi="Times New Roman" w:cs="Times New Roman"/>
                      <w:b/>
                      <w:bCs/>
                      <w:szCs w:val="21"/>
                    </w:rPr>
                  </w:pPr>
                </w:p>
              </w:tc>
              <w:tc>
                <w:tcPr>
                  <w:tcW w:w="576" w:type="pct"/>
                  <w:tcBorders>
                    <w:top w:val="single" w:color="auto" w:sz="4" w:space="0"/>
                    <w:tl2br w:val="nil"/>
                    <w:tr2bl w:val="nil"/>
                  </w:tcBorders>
                  <w:shd w:val="clear" w:color="auto" w:fill="FFFFFF"/>
                  <w:vAlign w:val="center"/>
                </w:tcPr>
                <w:p w14:paraId="6C4891F2">
                  <w:pPr>
                    <w:jc w:val="center"/>
                    <w:rPr>
                      <w:rFonts w:ascii="Times New Roman" w:hAnsi="Times New Roman" w:cs="Times New Roman"/>
                      <w:b/>
                      <w:bCs/>
                      <w:szCs w:val="21"/>
                    </w:rPr>
                  </w:pPr>
                  <w:r>
                    <w:rPr>
                      <w:rFonts w:hint="eastAsia" w:ascii="Times New Roman" w:hAnsi="Times New Roman" w:cs="Times New Roman"/>
                      <w:b/>
                      <w:bCs/>
                      <w:szCs w:val="21"/>
                    </w:rPr>
                    <w:t>速率</w:t>
                  </w:r>
                  <w:r>
                    <w:rPr>
                      <w:rFonts w:ascii="Times New Roman" w:hAnsi="Times New Roman" w:cs="Times New Roman"/>
                      <w:b/>
                      <w:bCs/>
                      <w:szCs w:val="21"/>
                    </w:rPr>
                    <w:t>（kg/h）</w:t>
                  </w:r>
                </w:p>
              </w:tc>
            </w:tr>
            <w:tr w14:paraId="5BC89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61" w:type="pct"/>
                  <w:vMerge w:val="restart"/>
                  <w:tcBorders>
                    <w:tl2br w:val="nil"/>
                    <w:tr2bl w:val="nil"/>
                  </w:tcBorders>
                  <w:shd w:val="clear" w:color="auto" w:fill="FFFFFF"/>
                  <w:vAlign w:val="center"/>
                </w:tcPr>
                <w:p w14:paraId="10E276FF">
                  <w:pPr>
                    <w:jc w:val="center"/>
                    <w:rPr>
                      <w:rFonts w:ascii="Times New Roman" w:hAnsi="Times New Roman" w:cs="Times New Roman"/>
                      <w:szCs w:val="21"/>
                    </w:rPr>
                  </w:pPr>
                  <w:r>
                    <w:rPr>
                      <w:rFonts w:hint="eastAsia" w:ascii="Times New Roman" w:hAnsi="Times New Roman" w:cs="Times New Roman"/>
                      <w:szCs w:val="21"/>
                    </w:rPr>
                    <w:t>混合搅拌、成品出料</w:t>
                  </w:r>
                </w:p>
              </w:tc>
              <w:tc>
                <w:tcPr>
                  <w:tcW w:w="262" w:type="pct"/>
                  <w:vMerge w:val="restart"/>
                  <w:tcBorders>
                    <w:tl2br w:val="nil"/>
                    <w:tr2bl w:val="nil"/>
                  </w:tcBorders>
                  <w:shd w:val="clear" w:color="auto" w:fill="FFFFFF"/>
                  <w:vAlign w:val="center"/>
                </w:tcPr>
                <w:p w14:paraId="5AFBD0BA">
                  <w:pPr>
                    <w:jc w:val="center"/>
                    <w:rPr>
                      <w:rFonts w:ascii="Times New Roman" w:hAnsi="Times New Roman" w:cs="Times New Roman"/>
                      <w:szCs w:val="21"/>
                    </w:rPr>
                  </w:pPr>
                  <w:r>
                    <w:rPr>
                      <w:rFonts w:hint="eastAsia" w:ascii="Times New Roman" w:hAnsi="Times New Roman" w:cs="Times New Roman"/>
                      <w:szCs w:val="21"/>
                    </w:rPr>
                    <w:t>有组织</w:t>
                  </w:r>
                </w:p>
              </w:tc>
              <w:tc>
                <w:tcPr>
                  <w:tcW w:w="316" w:type="pct"/>
                  <w:vMerge w:val="restart"/>
                  <w:tcBorders>
                    <w:tl2br w:val="nil"/>
                    <w:tr2bl w:val="nil"/>
                  </w:tcBorders>
                  <w:shd w:val="clear" w:color="auto" w:fill="FFFFFF"/>
                  <w:vAlign w:val="center"/>
                </w:tcPr>
                <w:p w14:paraId="09836357">
                  <w:pPr>
                    <w:jc w:val="center"/>
                    <w:rPr>
                      <w:rFonts w:ascii="Times New Roman" w:hAnsi="Times New Roman" w:cs="Times New Roman"/>
                      <w:szCs w:val="21"/>
                    </w:rPr>
                  </w:pPr>
                  <w:r>
                    <w:rPr>
                      <w:rFonts w:hint="eastAsia" w:ascii="Times New Roman" w:hAnsi="Times New Roman" w:cs="Times New Roman"/>
                      <w:szCs w:val="21"/>
                    </w:rPr>
                    <w:t>沥青烟</w:t>
                  </w:r>
                </w:p>
              </w:tc>
              <w:tc>
                <w:tcPr>
                  <w:tcW w:w="347" w:type="pct"/>
                  <w:vMerge w:val="restart"/>
                  <w:tcBorders>
                    <w:tl2br w:val="nil"/>
                    <w:tr2bl w:val="nil"/>
                  </w:tcBorders>
                  <w:shd w:val="clear" w:color="auto" w:fill="FFFFFF"/>
                  <w:vAlign w:val="center"/>
                </w:tcPr>
                <w:p w14:paraId="1086A613">
                  <w:pPr>
                    <w:jc w:val="center"/>
                    <w:rPr>
                      <w:rFonts w:ascii="Times New Roman" w:hAnsi="Times New Roman" w:cs="Times New Roman"/>
                      <w:szCs w:val="21"/>
                    </w:rPr>
                  </w:pPr>
                  <w:r>
                    <w:rPr>
                      <w:rFonts w:hint="eastAsia" w:ascii="Times New Roman" w:hAnsi="Times New Roman" w:cs="Times New Roman"/>
                      <w:szCs w:val="21"/>
                    </w:rPr>
                    <w:t>0.41778</w:t>
                  </w:r>
                </w:p>
              </w:tc>
              <w:tc>
                <w:tcPr>
                  <w:tcW w:w="478" w:type="pct"/>
                  <w:vMerge w:val="restart"/>
                  <w:tcBorders>
                    <w:tl2br w:val="nil"/>
                    <w:tr2bl w:val="nil"/>
                  </w:tcBorders>
                  <w:shd w:val="clear" w:color="auto" w:fill="FFFFFF"/>
                  <w:vAlign w:val="center"/>
                </w:tcPr>
                <w:p w14:paraId="189DD37D">
                  <w:pPr>
                    <w:jc w:val="center"/>
                    <w:rPr>
                      <w:rFonts w:ascii="Times New Roman" w:hAnsi="Times New Roman" w:cs="Times New Roman"/>
                      <w:szCs w:val="21"/>
                    </w:rPr>
                  </w:pPr>
                  <w:r>
                    <w:rPr>
                      <w:rFonts w:hint="eastAsia" w:ascii="Times New Roman" w:hAnsi="Times New Roman" w:cs="Times New Roman"/>
                      <w:szCs w:val="21"/>
                    </w:rPr>
                    <w:t>0.29</w:t>
                  </w:r>
                </w:p>
              </w:tc>
              <w:tc>
                <w:tcPr>
                  <w:tcW w:w="570" w:type="pct"/>
                  <w:vMerge w:val="restart"/>
                  <w:tcBorders>
                    <w:tl2br w:val="nil"/>
                    <w:tr2bl w:val="nil"/>
                  </w:tcBorders>
                  <w:shd w:val="clear" w:color="auto" w:fill="FFFFFF"/>
                  <w:vAlign w:val="center"/>
                </w:tcPr>
                <w:p w14:paraId="79C718CE">
                  <w:pPr>
                    <w:jc w:val="center"/>
                    <w:rPr>
                      <w:rFonts w:ascii="Times New Roman" w:hAnsi="Times New Roman" w:cs="Times New Roman"/>
                      <w:szCs w:val="21"/>
                    </w:rPr>
                  </w:pPr>
                  <w:r>
                    <w:rPr>
                      <w:rFonts w:hint="eastAsia" w:ascii="Times New Roman" w:hAnsi="Times New Roman" w:cs="Times New Roman"/>
                      <w:szCs w:val="21"/>
                    </w:rPr>
                    <w:t>13.28</w:t>
                  </w:r>
                </w:p>
              </w:tc>
              <w:tc>
                <w:tcPr>
                  <w:tcW w:w="718" w:type="pct"/>
                  <w:vMerge w:val="restart"/>
                  <w:tcBorders>
                    <w:tl2br w:val="nil"/>
                    <w:tr2bl w:val="nil"/>
                  </w:tcBorders>
                  <w:shd w:val="clear" w:color="auto" w:fill="FFFFFF"/>
                  <w:vAlign w:val="center"/>
                </w:tcPr>
                <w:p w14:paraId="660F9217">
                  <w:pPr>
                    <w:wordWrap w:val="0"/>
                    <w:topLinePunct/>
                    <w:jc w:val="center"/>
                    <w:rPr>
                      <w:rFonts w:ascii="Times New Roman" w:hAnsi="Times New Roman" w:cs="Times New Roman"/>
                      <w:szCs w:val="21"/>
                    </w:rPr>
                  </w:pPr>
                  <w:r>
                    <w:rPr>
                      <w:rFonts w:hint="eastAsia" w:ascii="Times New Roman" w:hAnsi="Times New Roman" w:cs="Times New Roman"/>
                      <w:szCs w:val="21"/>
                    </w:rPr>
                    <w:t>密闭负压引至洗涤塔+电捕焦油器+等离子光解净化除尘器+活性炭吸附装置处理后通过25m高排气筒DA002排放。收集效率99%，治理效率取99%，离心通用风机流量21830m</w:t>
                  </w:r>
                  <w:r>
                    <w:rPr>
                      <w:rFonts w:hint="eastAsia" w:ascii="Times New Roman" w:hAnsi="Times New Roman" w:cs="Times New Roman"/>
                      <w:szCs w:val="21"/>
                      <w:vertAlign w:val="superscript"/>
                    </w:rPr>
                    <w:t>3</w:t>
                  </w:r>
                  <w:r>
                    <w:rPr>
                      <w:rFonts w:ascii="Times New Roman" w:hAnsi="Times New Roman" w:cs="Times New Roman"/>
                      <w:szCs w:val="21"/>
                    </w:rPr>
                    <w:t>/h</w:t>
                  </w:r>
                  <w:r>
                    <w:rPr>
                      <w:rFonts w:hint="eastAsia" w:ascii="Times New Roman" w:hAnsi="Times New Roman" w:cs="Times New Roman"/>
                      <w:szCs w:val="21"/>
                    </w:rPr>
                    <w:t>（最不利，最小流量）。</w:t>
                  </w:r>
                </w:p>
              </w:tc>
              <w:tc>
                <w:tcPr>
                  <w:tcW w:w="412" w:type="pct"/>
                  <w:vMerge w:val="restart"/>
                  <w:tcBorders>
                    <w:tl2br w:val="nil"/>
                    <w:tr2bl w:val="nil"/>
                  </w:tcBorders>
                  <w:shd w:val="clear" w:color="auto" w:fill="FFFFFF"/>
                  <w:vAlign w:val="center"/>
                </w:tcPr>
                <w:p w14:paraId="7E6474E9">
                  <w:pPr>
                    <w:jc w:val="center"/>
                    <w:rPr>
                      <w:rFonts w:ascii="Times New Roman" w:hAnsi="Times New Roman" w:cs="Times New Roman"/>
                      <w:szCs w:val="21"/>
                    </w:rPr>
                  </w:pPr>
                  <w:r>
                    <w:rPr>
                      <w:rFonts w:hint="eastAsia" w:ascii="Times New Roman" w:hAnsi="Times New Roman" w:cs="Times New Roman"/>
                      <w:szCs w:val="21"/>
                    </w:rPr>
                    <w:t>0.0042</w:t>
                  </w:r>
                </w:p>
              </w:tc>
              <w:tc>
                <w:tcPr>
                  <w:tcW w:w="462" w:type="pct"/>
                  <w:vMerge w:val="restart"/>
                  <w:tcBorders>
                    <w:tl2br w:val="nil"/>
                    <w:tr2bl w:val="nil"/>
                  </w:tcBorders>
                  <w:shd w:val="clear" w:color="auto" w:fill="FFFFFF"/>
                  <w:vAlign w:val="center"/>
                </w:tcPr>
                <w:p w14:paraId="6EE618CF">
                  <w:pPr>
                    <w:jc w:val="center"/>
                    <w:rPr>
                      <w:rFonts w:ascii="Times New Roman" w:hAnsi="Times New Roman" w:cs="Times New Roman"/>
                      <w:szCs w:val="21"/>
                    </w:rPr>
                  </w:pPr>
                  <w:r>
                    <w:rPr>
                      <w:rFonts w:hint="eastAsia" w:ascii="Times New Roman" w:hAnsi="Times New Roman" w:cs="Times New Roman"/>
                      <w:szCs w:val="21"/>
                    </w:rPr>
                    <w:t>0.0029</w:t>
                  </w:r>
                </w:p>
              </w:tc>
              <w:tc>
                <w:tcPr>
                  <w:tcW w:w="593" w:type="pct"/>
                  <w:vMerge w:val="restart"/>
                  <w:tcBorders>
                    <w:tl2br w:val="nil"/>
                    <w:tr2bl w:val="nil"/>
                  </w:tcBorders>
                  <w:shd w:val="clear" w:color="auto" w:fill="FFFFFF"/>
                  <w:vAlign w:val="center"/>
                </w:tcPr>
                <w:p w14:paraId="0C52BB4F">
                  <w:pPr>
                    <w:jc w:val="center"/>
                    <w:rPr>
                      <w:rFonts w:ascii="Times New Roman" w:hAnsi="Times New Roman" w:cs="Times New Roman"/>
                      <w:szCs w:val="21"/>
                    </w:rPr>
                  </w:pPr>
                  <w:r>
                    <w:rPr>
                      <w:rFonts w:hint="eastAsia" w:ascii="Times New Roman" w:hAnsi="Times New Roman" w:cs="Times New Roman"/>
                      <w:szCs w:val="21"/>
                    </w:rPr>
                    <w:t>0.133</w:t>
                  </w:r>
                </w:p>
              </w:tc>
              <w:tc>
                <w:tcPr>
                  <w:tcW w:w="576" w:type="pct"/>
                  <w:tcBorders>
                    <w:bottom w:val="single" w:color="auto" w:sz="4" w:space="0"/>
                    <w:tl2br w:val="nil"/>
                    <w:tr2bl w:val="nil"/>
                  </w:tcBorders>
                  <w:shd w:val="clear" w:color="auto" w:fill="FFFFFF"/>
                  <w:vAlign w:val="center"/>
                </w:tcPr>
                <w:p w14:paraId="5CE86DC9">
                  <w:pPr>
                    <w:jc w:val="center"/>
                    <w:rPr>
                      <w:rFonts w:ascii="Times New Roman" w:hAnsi="Times New Roman" w:cs="Times New Roman"/>
                      <w:szCs w:val="21"/>
                    </w:rPr>
                  </w:pPr>
                  <w:r>
                    <w:rPr>
                      <w:rFonts w:hint="eastAsia" w:ascii="Times New Roman" w:hAnsi="Times New Roman" w:cs="Times New Roman"/>
                      <w:szCs w:val="21"/>
                    </w:rPr>
                    <w:t>75</w:t>
                  </w:r>
                </w:p>
              </w:tc>
            </w:tr>
            <w:tr w14:paraId="155E5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61" w:type="pct"/>
                  <w:vMerge w:val="continue"/>
                  <w:tcBorders>
                    <w:tl2br w:val="nil"/>
                    <w:tr2bl w:val="nil"/>
                  </w:tcBorders>
                  <w:shd w:val="clear" w:color="auto" w:fill="FFFFFF"/>
                  <w:vAlign w:val="center"/>
                </w:tcPr>
                <w:p w14:paraId="39960AD3">
                  <w:pPr>
                    <w:jc w:val="center"/>
                    <w:rPr>
                      <w:rFonts w:ascii="Times New Roman" w:hAnsi="Times New Roman" w:cs="Times New Roman"/>
                      <w:szCs w:val="21"/>
                    </w:rPr>
                  </w:pPr>
                </w:p>
              </w:tc>
              <w:tc>
                <w:tcPr>
                  <w:tcW w:w="262" w:type="pct"/>
                  <w:vMerge w:val="continue"/>
                  <w:tcBorders>
                    <w:tl2br w:val="nil"/>
                    <w:tr2bl w:val="nil"/>
                  </w:tcBorders>
                  <w:shd w:val="clear" w:color="auto" w:fill="FFFFFF"/>
                  <w:vAlign w:val="center"/>
                </w:tcPr>
                <w:p w14:paraId="4C2A22A8">
                  <w:pPr>
                    <w:jc w:val="center"/>
                    <w:rPr>
                      <w:rFonts w:ascii="Times New Roman" w:hAnsi="Times New Roman" w:cs="Times New Roman"/>
                      <w:szCs w:val="21"/>
                    </w:rPr>
                  </w:pPr>
                </w:p>
              </w:tc>
              <w:tc>
                <w:tcPr>
                  <w:tcW w:w="316" w:type="pct"/>
                  <w:vMerge w:val="continue"/>
                  <w:tcBorders>
                    <w:bottom w:val="single" w:color="auto" w:sz="4" w:space="0"/>
                    <w:tl2br w:val="nil"/>
                    <w:tr2bl w:val="nil"/>
                  </w:tcBorders>
                  <w:shd w:val="clear" w:color="auto" w:fill="FFFFFF"/>
                  <w:vAlign w:val="center"/>
                </w:tcPr>
                <w:p w14:paraId="0780775A">
                  <w:pPr>
                    <w:jc w:val="center"/>
                    <w:rPr>
                      <w:rFonts w:ascii="Times New Roman" w:hAnsi="Times New Roman" w:cs="Times New Roman"/>
                      <w:szCs w:val="21"/>
                    </w:rPr>
                  </w:pPr>
                </w:p>
              </w:tc>
              <w:tc>
                <w:tcPr>
                  <w:tcW w:w="347" w:type="pct"/>
                  <w:vMerge w:val="continue"/>
                  <w:tcBorders>
                    <w:bottom w:val="single" w:color="auto" w:sz="4" w:space="0"/>
                    <w:tl2br w:val="nil"/>
                    <w:tr2bl w:val="nil"/>
                  </w:tcBorders>
                  <w:shd w:val="clear" w:color="auto" w:fill="FFFFFF"/>
                  <w:vAlign w:val="center"/>
                </w:tcPr>
                <w:p w14:paraId="666F75E2">
                  <w:pPr>
                    <w:jc w:val="center"/>
                    <w:rPr>
                      <w:rFonts w:ascii="Times New Roman" w:hAnsi="Times New Roman" w:cs="Times New Roman"/>
                      <w:szCs w:val="21"/>
                    </w:rPr>
                  </w:pPr>
                </w:p>
              </w:tc>
              <w:tc>
                <w:tcPr>
                  <w:tcW w:w="478" w:type="pct"/>
                  <w:vMerge w:val="continue"/>
                  <w:tcBorders>
                    <w:bottom w:val="single" w:color="auto" w:sz="4" w:space="0"/>
                    <w:tl2br w:val="nil"/>
                    <w:tr2bl w:val="nil"/>
                  </w:tcBorders>
                  <w:shd w:val="clear" w:color="auto" w:fill="FFFFFF"/>
                  <w:vAlign w:val="center"/>
                </w:tcPr>
                <w:p w14:paraId="5D0A5629">
                  <w:pPr>
                    <w:jc w:val="center"/>
                    <w:rPr>
                      <w:rFonts w:ascii="Times New Roman" w:hAnsi="Times New Roman" w:cs="Times New Roman"/>
                      <w:szCs w:val="21"/>
                    </w:rPr>
                  </w:pPr>
                </w:p>
              </w:tc>
              <w:tc>
                <w:tcPr>
                  <w:tcW w:w="570" w:type="pct"/>
                  <w:vMerge w:val="continue"/>
                  <w:tcBorders>
                    <w:bottom w:val="single" w:color="auto" w:sz="4" w:space="0"/>
                    <w:tl2br w:val="nil"/>
                    <w:tr2bl w:val="nil"/>
                  </w:tcBorders>
                  <w:shd w:val="clear" w:color="auto" w:fill="FFFFFF"/>
                  <w:vAlign w:val="center"/>
                </w:tcPr>
                <w:p w14:paraId="709854C8">
                  <w:pPr>
                    <w:jc w:val="center"/>
                    <w:rPr>
                      <w:rFonts w:ascii="Times New Roman" w:hAnsi="Times New Roman" w:cs="Times New Roman"/>
                      <w:szCs w:val="21"/>
                    </w:rPr>
                  </w:pPr>
                </w:p>
              </w:tc>
              <w:tc>
                <w:tcPr>
                  <w:tcW w:w="718" w:type="pct"/>
                  <w:vMerge w:val="continue"/>
                  <w:tcBorders>
                    <w:tl2br w:val="nil"/>
                    <w:tr2bl w:val="nil"/>
                  </w:tcBorders>
                  <w:shd w:val="clear" w:color="auto" w:fill="FFFFFF"/>
                  <w:vAlign w:val="center"/>
                </w:tcPr>
                <w:p w14:paraId="1EF98075">
                  <w:pPr>
                    <w:jc w:val="center"/>
                    <w:rPr>
                      <w:rFonts w:ascii="Times New Roman" w:hAnsi="Times New Roman" w:cs="Times New Roman"/>
                      <w:color w:val="0000FF"/>
                      <w:szCs w:val="21"/>
                    </w:rPr>
                  </w:pPr>
                </w:p>
              </w:tc>
              <w:tc>
                <w:tcPr>
                  <w:tcW w:w="412" w:type="pct"/>
                  <w:vMerge w:val="continue"/>
                  <w:tcBorders>
                    <w:bottom w:val="single" w:color="auto" w:sz="4" w:space="0"/>
                    <w:tl2br w:val="nil"/>
                    <w:tr2bl w:val="nil"/>
                  </w:tcBorders>
                  <w:shd w:val="clear" w:color="auto" w:fill="FFFFFF"/>
                  <w:vAlign w:val="center"/>
                </w:tcPr>
                <w:p w14:paraId="64C1CF76">
                  <w:pPr>
                    <w:jc w:val="center"/>
                    <w:rPr>
                      <w:rFonts w:ascii="Times New Roman" w:hAnsi="Times New Roman" w:cs="Times New Roman"/>
                      <w:szCs w:val="21"/>
                    </w:rPr>
                  </w:pPr>
                </w:p>
              </w:tc>
              <w:tc>
                <w:tcPr>
                  <w:tcW w:w="462" w:type="pct"/>
                  <w:vMerge w:val="continue"/>
                  <w:tcBorders>
                    <w:bottom w:val="single" w:color="auto" w:sz="4" w:space="0"/>
                    <w:tl2br w:val="nil"/>
                    <w:tr2bl w:val="nil"/>
                  </w:tcBorders>
                  <w:shd w:val="clear" w:color="auto" w:fill="FFFFFF"/>
                  <w:vAlign w:val="center"/>
                </w:tcPr>
                <w:p w14:paraId="7A40BC3A">
                  <w:pPr>
                    <w:jc w:val="center"/>
                    <w:rPr>
                      <w:rFonts w:ascii="Times New Roman" w:hAnsi="Times New Roman" w:cs="Times New Roman"/>
                      <w:szCs w:val="21"/>
                    </w:rPr>
                  </w:pPr>
                </w:p>
              </w:tc>
              <w:tc>
                <w:tcPr>
                  <w:tcW w:w="593" w:type="pct"/>
                  <w:vMerge w:val="continue"/>
                  <w:tcBorders>
                    <w:bottom w:val="single" w:color="auto" w:sz="4" w:space="0"/>
                    <w:tl2br w:val="nil"/>
                    <w:tr2bl w:val="nil"/>
                  </w:tcBorders>
                  <w:shd w:val="clear" w:color="auto" w:fill="FFFFFF"/>
                  <w:vAlign w:val="center"/>
                </w:tcPr>
                <w:p w14:paraId="2081FF86">
                  <w:pPr>
                    <w:jc w:val="center"/>
                    <w:rPr>
                      <w:rFonts w:ascii="Times New Roman" w:hAnsi="Times New Roman" w:cs="Times New Roman"/>
                      <w:szCs w:val="21"/>
                    </w:rPr>
                  </w:pPr>
                </w:p>
              </w:tc>
              <w:tc>
                <w:tcPr>
                  <w:tcW w:w="576" w:type="pct"/>
                  <w:tcBorders>
                    <w:top w:val="single" w:color="auto" w:sz="4" w:space="0"/>
                    <w:bottom w:val="single" w:color="auto" w:sz="4" w:space="0"/>
                    <w:tl2br w:val="nil"/>
                    <w:tr2bl w:val="nil"/>
                  </w:tcBorders>
                  <w:shd w:val="clear" w:color="auto" w:fill="FFFFFF"/>
                  <w:vAlign w:val="center"/>
                </w:tcPr>
                <w:p w14:paraId="3634744C">
                  <w:pPr>
                    <w:jc w:val="center"/>
                    <w:rPr>
                      <w:rFonts w:ascii="Times New Roman" w:hAnsi="Times New Roman" w:cs="Times New Roman"/>
                      <w:szCs w:val="21"/>
                    </w:rPr>
                  </w:pPr>
                  <w:r>
                    <w:rPr>
                      <w:rFonts w:ascii="Times New Roman" w:hAnsi="Times New Roman" w:cs="Times New Roman"/>
                      <w:color w:val="FF0000"/>
                      <w:szCs w:val="21"/>
                    </w:rPr>
                    <w:t>0.4635</w:t>
                  </w:r>
                </w:p>
              </w:tc>
            </w:tr>
            <w:tr w14:paraId="5EF8D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2" w:hRule="atLeast"/>
                <w:jc w:val="center"/>
              </w:trPr>
              <w:tc>
                <w:tcPr>
                  <w:tcW w:w="261" w:type="pct"/>
                  <w:vMerge w:val="continue"/>
                  <w:tcBorders>
                    <w:tl2br w:val="nil"/>
                    <w:tr2bl w:val="nil"/>
                  </w:tcBorders>
                  <w:shd w:val="clear" w:color="auto" w:fill="FFFFFF"/>
                  <w:vAlign w:val="center"/>
                </w:tcPr>
                <w:p w14:paraId="607FADF0">
                  <w:pPr>
                    <w:jc w:val="center"/>
                    <w:rPr>
                      <w:rFonts w:ascii="Times New Roman" w:hAnsi="Times New Roman" w:cs="Times New Roman"/>
                      <w:szCs w:val="21"/>
                    </w:rPr>
                  </w:pPr>
                </w:p>
              </w:tc>
              <w:tc>
                <w:tcPr>
                  <w:tcW w:w="262" w:type="pct"/>
                  <w:vMerge w:val="continue"/>
                  <w:tcBorders>
                    <w:tl2br w:val="nil"/>
                    <w:tr2bl w:val="nil"/>
                  </w:tcBorders>
                  <w:shd w:val="clear" w:color="auto" w:fill="FFFFFF"/>
                  <w:vAlign w:val="center"/>
                </w:tcPr>
                <w:p w14:paraId="1D40CC1F">
                  <w:pPr>
                    <w:jc w:val="center"/>
                    <w:rPr>
                      <w:rFonts w:ascii="Times New Roman" w:hAnsi="Times New Roman" w:cs="Times New Roman"/>
                      <w:szCs w:val="21"/>
                    </w:rPr>
                  </w:pPr>
                </w:p>
              </w:tc>
              <w:tc>
                <w:tcPr>
                  <w:tcW w:w="316" w:type="pct"/>
                  <w:vMerge w:val="restart"/>
                  <w:tcBorders>
                    <w:top w:val="single" w:color="auto" w:sz="4" w:space="0"/>
                    <w:tl2br w:val="nil"/>
                    <w:tr2bl w:val="nil"/>
                  </w:tcBorders>
                  <w:shd w:val="clear" w:color="auto" w:fill="FFFFFF"/>
                  <w:vAlign w:val="center"/>
                </w:tcPr>
                <w:p w14:paraId="59E3855F">
                  <w:pPr>
                    <w:jc w:val="center"/>
                    <w:rPr>
                      <w:rFonts w:ascii="Times New Roman" w:hAnsi="Times New Roman" w:cs="Times New Roman"/>
                      <w:szCs w:val="21"/>
                    </w:rPr>
                  </w:pPr>
                  <w:r>
                    <w:rPr>
                      <w:rFonts w:ascii="Times New Roman" w:hAnsi="Times New Roman" w:cs="Times New Roman"/>
                      <w:szCs w:val="21"/>
                    </w:rPr>
                    <w:t>苯并[a]芘</w:t>
                  </w:r>
                </w:p>
              </w:tc>
              <w:tc>
                <w:tcPr>
                  <w:tcW w:w="347" w:type="pct"/>
                  <w:vMerge w:val="restart"/>
                  <w:tcBorders>
                    <w:top w:val="single" w:color="auto" w:sz="4" w:space="0"/>
                    <w:tl2br w:val="nil"/>
                    <w:tr2bl w:val="nil"/>
                  </w:tcBorders>
                  <w:shd w:val="clear" w:color="auto" w:fill="FFFFFF"/>
                  <w:vAlign w:val="center"/>
                </w:tcPr>
                <w:p w14:paraId="08806BA0">
                  <w:pPr>
                    <w:jc w:val="center"/>
                    <w:rPr>
                      <w:rFonts w:ascii="Times New Roman" w:hAnsi="Times New Roman" w:cs="Times New Roman"/>
                      <w:szCs w:val="21"/>
                    </w:rPr>
                  </w:pPr>
                  <w:r>
                    <w:rPr>
                      <w:rFonts w:hint="eastAsia" w:ascii="Times New Roman" w:hAnsi="Times New Roman" w:cs="Times New Roman"/>
                      <w:szCs w:val="21"/>
                    </w:rPr>
                    <w:t>0.0000627</w:t>
                  </w:r>
                </w:p>
              </w:tc>
              <w:tc>
                <w:tcPr>
                  <w:tcW w:w="478" w:type="pct"/>
                  <w:vMerge w:val="restart"/>
                  <w:tcBorders>
                    <w:top w:val="single" w:color="auto" w:sz="4" w:space="0"/>
                    <w:tl2br w:val="nil"/>
                    <w:tr2bl w:val="nil"/>
                  </w:tcBorders>
                  <w:shd w:val="clear" w:color="auto" w:fill="FFFFFF"/>
                  <w:vAlign w:val="center"/>
                </w:tcPr>
                <w:p w14:paraId="41AD91FF">
                  <w:pPr>
                    <w:jc w:val="center"/>
                    <w:rPr>
                      <w:rFonts w:ascii="Times New Roman" w:hAnsi="Times New Roman" w:cs="Times New Roman"/>
                      <w:szCs w:val="21"/>
                    </w:rPr>
                  </w:pPr>
                  <w:r>
                    <w:rPr>
                      <w:rFonts w:hint="eastAsia" w:ascii="Times New Roman" w:hAnsi="Times New Roman" w:cs="Times New Roman"/>
                      <w:szCs w:val="21"/>
                    </w:rPr>
                    <w:t>0.0000435</w:t>
                  </w:r>
                </w:p>
              </w:tc>
              <w:tc>
                <w:tcPr>
                  <w:tcW w:w="570" w:type="pct"/>
                  <w:vMerge w:val="restart"/>
                  <w:tcBorders>
                    <w:top w:val="single" w:color="auto" w:sz="4" w:space="0"/>
                    <w:tl2br w:val="nil"/>
                    <w:tr2bl w:val="nil"/>
                  </w:tcBorders>
                  <w:shd w:val="clear" w:color="auto" w:fill="FFFFFF"/>
                  <w:vAlign w:val="center"/>
                </w:tcPr>
                <w:p w14:paraId="3AC6B84E">
                  <w:pPr>
                    <w:jc w:val="center"/>
                    <w:rPr>
                      <w:rFonts w:ascii="Times New Roman" w:hAnsi="Times New Roman" w:cs="Times New Roman"/>
                      <w:szCs w:val="21"/>
                    </w:rPr>
                  </w:pPr>
                  <w:r>
                    <w:rPr>
                      <w:rFonts w:hint="eastAsia" w:ascii="Times New Roman" w:hAnsi="Times New Roman" w:cs="Times New Roman"/>
                      <w:szCs w:val="21"/>
                    </w:rPr>
                    <w:t>0.00199</w:t>
                  </w:r>
                </w:p>
              </w:tc>
              <w:tc>
                <w:tcPr>
                  <w:tcW w:w="718" w:type="pct"/>
                  <w:vMerge w:val="continue"/>
                  <w:tcBorders>
                    <w:tl2br w:val="nil"/>
                    <w:tr2bl w:val="nil"/>
                  </w:tcBorders>
                  <w:shd w:val="clear" w:color="auto" w:fill="FFFFFF"/>
                  <w:vAlign w:val="center"/>
                </w:tcPr>
                <w:p w14:paraId="74996BEA">
                  <w:pPr>
                    <w:jc w:val="center"/>
                    <w:rPr>
                      <w:rFonts w:ascii="Times New Roman" w:hAnsi="Times New Roman" w:cs="Times New Roman"/>
                      <w:szCs w:val="21"/>
                    </w:rPr>
                  </w:pPr>
                </w:p>
              </w:tc>
              <w:tc>
                <w:tcPr>
                  <w:tcW w:w="412" w:type="pct"/>
                  <w:vMerge w:val="restart"/>
                  <w:tcBorders>
                    <w:top w:val="single" w:color="auto" w:sz="4" w:space="0"/>
                    <w:tl2br w:val="nil"/>
                    <w:tr2bl w:val="nil"/>
                  </w:tcBorders>
                  <w:shd w:val="clear" w:color="auto" w:fill="FFFFFF"/>
                  <w:vAlign w:val="center"/>
                </w:tcPr>
                <w:p w14:paraId="3CCDD935">
                  <w:pPr>
                    <w:jc w:val="center"/>
                    <w:rPr>
                      <w:rFonts w:ascii="Times New Roman" w:hAnsi="Times New Roman" w:cs="Times New Roman"/>
                      <w:szCs w:val="21"/>
                    </w:rPr>
                  </w:pPr>
                  <w:r>
                    <w:rPr>
                      <w:rFonts w:hint="eastAsia" w:ascii="Times New Roman" w:hAnsi="Times New Roman" w:cs="Times New Roman"/>
                      <w:szCs w:val="21"/>
                    </w:rPr>
                    <w:t>0.000000627</w:t>
                  </w:r>
                </w:p>
              </w:tc>
              <w:tc>
                <w:tcPr>
                  <w:tcW w:w="462" w:type="pct"/>
                  <w:vMerge w:val="restart"/>
                  <w:tcBorders>
                    <w:top w:val="single" w:color="auto" w:sz="4" w:space="0"/>
                    <w:tl2br w:val="nil"/>
                    <w:tr2bl w:val="nil"/>
                  </w:tcBorders>
                  <w:shd w:val="clear" w:color="auto" w:fill="FFFFFF"/>
                  <w:vAlign w:val="center"/>
                </w:tcPr>
                <w:p w14:paraId="4012A0FE">
                  <w:pPr>
                    <w:jc w:val="center"/>
                    <w:rPr>
                      <w:rFonts w:ascii="Times New Roman" w:hAnsi="Times New Roman" w:cs="Times New Roman"/>
                      <w:szCs w:val="21"/>
                    </w:rPr>
                  </w:pPr>
                  <w:r>
                    <w:rPr>
                      <w:rFonts w:hint="eastAsia" w:ascii="Times New Roman" w:hAnsi="Times New Roman" w:cs="Times New Roman"/>
                      <w:szCs w:val="21"/>
                    </w:rPr>
                    <w:t>0.000000435</w:t>
                  </w:r>
                </w:p>
              </w:tc>
              <w:tc>
                <w:tcPr>
                  <w:tcW w:w="593" w:type="pct"/>
                  <w:vMerge w:val="restart"/>
                  <w:tcBorders>
                    <w:top w:val="single" w:color="auto" w:sz="4" w:space="0"/>
                    <w:tl2br w:val="nil"/>
                    <w:tr2bl w:val="nil"/>
                  </w:tcBorders>
                  <w:shd w:val="clear" w:color="auto" w:fill="FFFFFF"/>
                  <w:vAlign w:val="center"/>
                </w:tcPr>
                <w:p w14:paraId="25B708D7">
                  <w:pPr>
                    <w:jc w:val="center"/>
                    <w:rPr>
                      <w:rFonts w:ascii="Times New Roman" w:hAnsi="Times New Roman" w:cs="Times New Roman"/>
                      <w:szCs w:val="21"/>
                    </w:rPr>
                  </w:pPr>
                  <w:r>
                    <w:rPr>
                      <w:rFonts w:hint="eastAsia" w:ascii="Times New Roman" w:hAnsi="Times New Roman" w:cs="Times New Roman"/>
                      <w:szCs w:val="21"/>
                    </w:rPr>
                    <w:t>0.00001</w:t>
                  </w:r>
                </w:p>
              </w:tc>
              <w:tc>
                <w:tcPr>
                  <w:tcW w:w="576" w:type="pct"/>
                  <w:tcBorders>
                    <w:top w:val="single" w:color="auto" w:sz="4" w:space="0"/>
                    <w:bottom w:val="single" w:color="auto" w:sz="4" w:space="0"/>
                    <w:tl2br w:val="nil"/>
                    <w:tr2bl w:val="nil"/>
                  </w:tcBorders>
                  <w:shd w:val="clear" w:color="auto" w:fill="FFFFFF"/>
                  <w:vAlign w:val="center"/>
                </w:tcPr>
                <w:p w14:paraId="79DAEE67">
                  <w:pPr>
                    <w:jc w:val="center"/>
                    <w:rPr>
                      <w:rFonts w:ascii="Times New Roman" w:hAnsi="Times New Roman" w:cs="Times New Roman"/>
                      <w:szCs w:val="21"/>
                    </w:rPr>
                  </w:pPr>
                  <w:r>
                    <w:rPr>
                      <w:rFonts w:ascii="Times New Roman" w:hAnsi="Times New Roman" w:cs="Times New Roman"/>
                      <w:szCs w:val="21"/>
                    </w:rPr>
                    <w:t>0.3×10</w:t>
                  </w:r>
                  <w:r>
                    <w:rPr>
                      <w:rFonts w:ascii="Times New Roman" w:hAnsi="Times New Roman" w:cs="Times New Roman"/>
                      <w:szCs w:val="21"/>
                      <w:vertAlign w:val="superscript"/>
                    </w:rPr>
                    <w:t>-3</w:t>
                  </w:r>
                </w:p>
              </w:tc>
            </w:tr>
            <w:tr w14:paraId="58144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jc w:val="center"/>
              </w:trPr>
              <w:tc>
                <w:tcPr>
                  <w:tcW w:w="261" w:type="pct"/>
                  <w:vMerge w:val="continue"/>
                  <w:tcBorders>
                    <w:tl2br w:val="nil"/>
                    <w:tr2bl w:val="nil"/>
                  </w:tcBorders>
                  <w:shd w:val="clear" w:color="auto" w:fill="FFFFFF"/>
                  <w:vAlign w:val="center"/>
                </w:tcPr>
                <w:p w14:paraId="0C7CC2B9">
                  <w:pPr>
                    <w:jc w:val="center"/>
                    <w:rPr>
                      <w:rFonts w:ascii="Times New Roman" w:hAnsi="Times New Roman" w:cs="Times New Roman"/>
                      <w:szCs w:val="21"/>
                    </w:rPr>
                  </w:pPr>
                </w:p>
              </w:tc>
              <w:tc>
                <w:tcPr>
                  <w:tcW w:w="262" w:type="pct"/>
                  <w:vMerge w:val="continue"/>
                  <w:tcBorders>
                    <w:tl2br w:val="nil"/>
                    <w:tr2bl w:val="nil"/>
                  </w:tcBorders>
                  <w:shd w:val="clear" w:color="auto" w:fill="FFFFFF"/>
                  <w:vAlign w:val="center"/>
                </w:tcPr>
                <w:p w14:paraId="2946EE1A">
                  <w:pPr>
                    <w:jc w:val="center"/>
                    <w:rPr>
                      <w:rFonts w:ascii="Times New Roman" w:hAnsi="Times New Roman" w:cs="Times New Roman"/>
                      <w:szCs w:val="21"/>
                    </w:rPr>
                  </w:pPr>
                </w:p>
              </w:tc>
              <w:tc>
                <w:tcPr>
                  <w:tcW w:w="316" w:type="pct"/>
                  <w:vMerge w:val="continue"/>
                  <w:tcBorders>
                    <w:bottom w:val="single" w:color="auto" w:sz="4" w:space="0"/>
                    <w:tl2br w:val="nil"/>
                    <w:tr2bl w:val="nil"/>
                  </w:tcBorders>
                  <w:shd w:val="clear" w:color="auto" w:fill="FFFFFF"/>
                  <w:vAlign w:val="center"/>
                </w:tcPr>
                <w:p w14:paraId="21292C72">
                  <w:pPr>
                    <w:jc w:val="center"/>
                    <w:rPr>
                      <w:rFonts w:ascii="Times New Roman" w:hAnsi="Times New Roman" w:cs="Times New Roman"/>
                      <w:szCs w:val="21"/>
                    </w:rPr>
                  </w:pPr>
                </w:p>
              </w:tc>
              <w:tc>
                <w:tcPr>
                  <w:tcW w:w="347" w:type="pct"/>
                  <w:vMerge w:val="continue"/>
                  <w:tcBorders>
                    <w:bottom w:val="single" w:color="auto" w:sz="4" w:space="0"/>
                    <w:tl2br w:val="nil"/>
                    <w:tr2bl w:val="nil"/>
                  </w:tcBorders>
                  <w:shd w:val="clear" w:color="auto" w:fill="FFFFFF"/>
                  <w:vAlign w:val="center"/>
                </w:tcPr>
                <w:p w14:paraId="439AD274">
                  <w:pPr>
                    <w:jc w:val="center"/>
                    <w:rPr>
                      <w:rFonts w:ascii="Times New Roman" w:hAnsi="Times New Roman" w:cs="Times New Roman"/>
                      <w:szCs w:val="21"/>
                    </w:rPr>
                  </w:pPr>
                </w:p>
              </w:tc>
              <w:tc>
                <w:tcPr>
                  <w:tcW w:w="478" w:type="pct"/>
                  <w:vMerge w:val="continue"/>
                  <w:tcBorders>
                    <w:bottom w:val="single" w:color="auto" w:sz="4" w:space="0"/>
                    <w:tl2br w:val="nil"/>
                    <w:tr2bl w:val="nil"/>
                  </w:tcBorders>
                  <w:shd w:val="clear" w:color="auto" w:fill="FFFFFF"/>
                  <w:vAlign w:val="center"/>
                </w:tcPr>
                <w:p w14:paraId="25887918">
                  <w:pPr>
                    <w:jc w:val="center"/>
                    <w:rPr>
                      <w:rFonts w:ascii="Times New Roman" w:hAnsi="Times New Roman" w:cs="Times New Roman"/>
                      <w:szCs w:val="21"/>
                    </w:rPr>
                  </w:pPr>
                </w:p>
              </w:tc>
              <w:tc>
                <w:tcPr>
                  <w:tcW w:w="570" w:type="pct"/>
                  <w:vMerge w:val="continue"/>
                  <w:tcBorders>
                    <w:bottom w:val="single" w:color="auto" w:sz="4" w:space="0"/>
                    <w:tl2br w:val="nil"/>
                    <w:tr2bl w:val="nil"/>
                  </w:tcBorders>
                  <w:shd w:val="clear" w:color="auto" w:fill="FFFFFF"/>
                  <w:vAlign w:val="center"/>
                </w:tcPr>
                <w:p w14:paraId="7F9A5619">
                  <w:pPr>
                    <w:jc w:val="center"/>
                    <w:rPr>
                      <w:rFonts w:ascii="Times New Roman" w:hAnsi="Times New Roman" w:cs="Times New Roman"/>
                      <w:szCs w:val="21"/>
                    </w:rPr>
                  </w:pPr>
                </w:p>
              </w:tc>
              <w:tc>
                <w:tcPr>
                  <w:tcW w:w="718" w:type="pct"/>
                  <w:vMerge w:val="continue"/>
                  <w:tcBorders>
                    <w:tl2br w:val="nil"/>
                    <w:tr2bl w:val="nil"/>
                  </w:tcBorders>
                  <w:shd w:val="clear" w:color="auto" w:fill="FFFFFF"/>
                  <w:vAlign w:val="center"/>
                </w:tcPr>
                <w:p w14:paraId="5EE5E8C1">
                  <w:pPr>
                    <w:jc w:val="center"/>
                    <w:rPr>
                      <w:rFonts w:ascii="Times New Roman" w:hAnsi="Times New Roman" w:cs="Times New Roman"/>
                      <w:szCs w:val="21"/>
                    </w:rPr>
                  </w:pPr>
                </w:p>
              </w:tc>
              <w:tc>
                <w:tcPr>
                  <w:tcW w:w="412" w:type="pct"/>
                  <w:vMerge w:val="continue"/>
                  <w:tcBorders>
                    <w:bottom w:val="single" w:color="auto" w:sz="4" w:space="0"/>
                    <w:tl2br w:val="nil"/>
                    <w:tr2bl w:val="nil"/>
                  </w:tcBorders>
                  <w:shd w:val="clear" w:color="auto" w:fill="FFFFFF"/>
                  <w:vAlign w:val="center"/>
                </w:tcPr>
                <w:p w14:paraId="351F0EB4">
                  <w:pPr>
                    <w:jc w:val="center"/>
                    <w:rPr>
                      <w:rFonts w:ascii="Times New Roman" w:hAnsi="Times New Roman" w:cs="Times New Roman"/>
                      <w:szCs w:val="21"/>
                    </w:rPr>
                  </w:pPr>
                </w:p>
              </w:tc>
              <w:tc>
                <w:tcPr>
                  <w:tcW w:w="462" w:type="pct"/>
                  <w:vMerge w:val="continue"/>
                  <w:tcBorders>
                    <w:bottom w:val="single" w:color="auto" w:sz="4" w:space="0"/>
                    <w:tl2br w:val="nil"/>
                    <w:tr2bl w:val="nil"/>
                  </w:tcBorders>
                  <w:shd w:val="clear" w:color="auto" w:fill="FFFFFF"/>
                  <w:vAlign w:val="center"/>
                </w:tcPr>
                <w:p w14:paraId="0383DA06">
                  <w:pPr>
                    <w:jc w:val="center"/>
                    <w:rPr>
                      <w:rFonts w:ascii="Times New Roman" w:hAnsi="Times New Roman" w:cs="Times New Roman"/>
                      <w:szCs w:val="21"/>
                    </w:rPr>
                  </w:pPr>
                </w:p>
              </w:tc>
              <w:tc>
                <w:tcPr>
                  <w:tcW w:w="593" w:type="pct"/>
                  <w:vMerge w:val="continue"/>
                  <w:tcBorders>
                    <w:bottom w:val="single" w:color="auto" w:sz="4" w:space="0"/>
                    <w:tl2br w:val="nil"/>
                    <w:tr2bl w:val="nil"/>
                  </w:tcBorders>
                  <w:shd w:val="clear" w:color="auto" w:fill="FFFFFF"/>
                  <w:vAlign w:val="center"/>
                </w:tcPr>
                <w:p w14:paraId="744FC85B">
                  <w:pPr>
                    <w:jc w:val="center"/>
                    <w:rPr>
                      <w:rFonts w:ascii="Times New Roman" w:hAnsi="Times New Roman" w:cs="Times New Roman"/>
                      <w:color w:val="0000FF"/>
                      <w:szCs w:val="21"/>
                    </w:rPr>
                  </w:pPr>
                </w:p>
              </w:tc>
              <w:tc>
                <w:tcPr>
                  <w:tcW w:w="576" w:type="pct"/>
                  <w:tcBorders>
                    <w:top w:val="single" w:color="auto" w:sz="4" w:space="0"/>
                    <w:bottom w:val="single" w:color="auto" w:sz="4" w:space="0"/>
                    <w:tl2br w:val="nil"/>
                    <w:tr2bl w:val="nil"/>
                  </w:tcBorders>
                  <w:shd w:val="clear" w:color="auto" w:fill="FFFFFF"/>
                  <w:vAlign w:val="center"/>
                </w:tcPr>
                <w:p w14:paraId="33C64365">
                  <w:pPr>
                    <w:jc w:val="center"/>
                    <w:rPr>
                      <w:rFonts w:ascii="Times New Roman" w:hAnsi="Times New Roman" w:cs="Times New Roman"/>
                      <w:szCs w:val="21"/>
                    </w:rPr>
                  </w:pPr>
                  <w:r>
                    <w:rPr>
                      <w:rFonts w:ascii="Times New Roman" w:hAnsi="Times New Roman" w:cs="Times New Roman"/>
                      <w:color w:val="FF0000"/>
                      <w:szCs w:val="21"/>
                    </w:rPr>
                    <w:t>0.09375×10</w:t>
                  </w:r>
                  <w:r>
                    <w:rPr>
                      <w:rFonts w:hint="eastAsia" w:ascii="Times New Roman" w:hAnsi="Times New Roman" w:cs="Times New Roman"/>
                      <w:color w:val="FF0000"/>
                      <w:szCs w:val="21"/>
                      <w:vertAlign w:val="superscript"/>
                    </w:rPr>
                    <w:t>-3</w:t>
                  </w:r>
                </w:p>
              </w:tc>
            </w:tr>
            <w:tr w14:paraId="412F6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8" w:hRule="atLeast"/>
                <w:jc w:val="center"/>
              </w:trPr>
              <w:tc>
                <w:tcPr>
                  <w:tcW w:w="261" w:type="pct"/>
                  <w:vMerge w:val="continue"/>
                  <w:tcBorders>
                    <w:tl2br w:val="nil"/>
                    <w:tr2bl w:val="nil"/>
                  </w:tcBorders>
                  <w:shd w:val="clear" w:color="auto" w:fill="FFFFFF"/>
                  <w:vAlign w:val="center"/>
                </w:tcPr>
                <w:p w14:paraId="1D376CB4">
                  <w:pPr>
                    <w:jc w:val="center"/>
                    <w:rPr>
                      <w:rFonts w:ascii="Times New Roman" w:hAnsi="Times New Roman" w:cs="Times New Roman"/>
                      <w:szCs w:val="21"/>
                    </w:rPr>
                  </w:pPr>
                </w:p>
              </w:tc>
              <w:tc>
                <w:tcPr>
                  <w:tcW w:w="262" w:type="pct"/>
                  <w:vMerge w:val="continue"/>
                  <w:tcBorders>
                    <w:tl2br w:val="nil"/>
                    <w:tr2bl w:val="nil"/>
                  </w:tcBorders>
                  <w:shd w:val="clear" w:color="auto" w:fill="FFFFFF"/>
                  <w:vAlign w:val="center"/>
                </w:tcPr>
                <w:p w14:paraId="7251FA66">
                  <w:pPr>
                    <w:jc w:val="center"/>
                    <w:rPr>
                      <w:rFonts w:ascii="Times New Roman" w:hAnsi="Times New Roman" w:cs="Times New Roman"/>
                      <w:szCs w:val="21"/>
                    </w:rPr>
                  </w:pPr>
                </w:p>
              </w:tc>
              <w:tc>
                <w:tcPr>
                  <w:tcW w:w="316" w:type="pct"/>
                  <w:vMerge w:val="restart"/>
                  <w:tcBorders>
                    <w:top w:val="single" w:color="auto" w:sz="4" w:space="0"/>
                    <w:tl2br w:val="nil"/>
                    <w:tr2bl w:val="nil"/>
                  </w:tcBorders>
                  <w:shd w:val="clear" w:color="auto" w:fill="FFFFFF"/>
                  <w:vAlign w:val="center"/>
                </w:tcPr>
                <w:p w14:paraId="4E00000F">
                  <w:pPr>
                    <w:jc w:val="center"/>
                    <w:rPr>
                      <w:rFonts w:ascii="Times New Roman" w:hAnsi="Times New Roman" w:cs="Times New Roman"/>
                      <w:szCs w:val="21"/>
                    </w:rPr>
                  </w:pPr>
                  <w:r>
                    <w:rPr>
                      <w:rFonts w:hint="eastAsia" w:ascii="Times New Roman" w:hAnsi="Times New Roman" w:cs="Times New Roman"/>
                      <w:szCs w:val="21"/>
                    </w:rPr>
                    <w:t>非甲烷总烃</w:t>
                  </w:r>
                </w:p>
              </w:tc>
              <w:tc>
                <w:tcPr>
                  <w:tcW w:w="347" w:type="pct"/>
                  <w:vMerge w:val="restart"/>
                  <w:tcBorders>
                    <w:top w:val="single" w:color="auto" w:sz="4" w:space="0"/>
                    <w:tl2br w:val="nil"/>
                    <w:tr2bl w:val="nil"/>
                  </w:tcBorders>
                  <w:shd w:val="clear" w:color="auto" w:fill="FFFFFF"/>
                  <w:vAlign w:val="center"/>
                </w:tcPr>
                <w:p w14:paraId="710F1397">
                  <w:pPr>
                    <w:jc w:val="center"/>
                    <w:rPr>
                      <w:rFonts w:ascii="Times New Roman" w:hAnsi="Times New Roman" w:cs="Times New Roman"/>
                      <w:szCs w:val="21"/>
                    </w:rPr>
                  </w:pPr>
                  <w:r>
                    <w:rPr>
                      <w:rFonts w:hint="eastAsia" w:ascii="Times New Roman" w:hAnsi="Times New Roman" w:cs="Times New Roman"/>
                      <w:szCs w:val="21"/>
                    </w:rPr>
                    <w:t>2.079</w:t>
                  </w:r>
                </w:p>
              </w:tc>
              <w:tc>
                <w:tcPr>
                  <w:tcW w:w="478" w:type="pct"/>
                  <w:vMerge w:val="restart"/>
                  <w:tcBorders>
                    <w:top w:val="single" w:color="auto" w:sz="4" w:space="0"/>
                    <w:tl2br w:val="nil"/>
                    <w:tr2bl w:val="nil"/>
                  </w:tcBorders>
                  <w:shd w:val="clear" w:color="auto" w:fill="FFFFFF"/>
                  <w:vAlign w:val="center"/>
                </w:tcPr>
                <w:p w14:paraId="6A6F8762">
                  <w:pPr>
                    <w:jc w:val="center"/>
                    <w:rPr>
                      <w:rFonts w:ascii="Times New Roman" w:hAnsi="Times New Roman" w:cs="Times New Roman"/>
                      <w:szCs w:val="21"/>
                    </w:rPr>
                  </w:pPr>
                  <w:r>
                    <w:rPr>
                      <w:rFonts w:hint="eastAsia" w:ascii="Times New Roman" w:hAnsi="Times New Roman" w:cs="Times New Roman"/>
                      <w:szCs w:val="21"/>
                    </w:rPr>
                    <w:t>1.44</w:t>
                  </w:r>
                </w:p>
              </w:tc>
              <w:tc>
                <w:tcPr>
                  <w:tcW w:w="570" w:type="pct"/>
                  <w:vMerge w:val="restart"/>
                  <w:tcBorders>
                    <w:top w:val="single" w:color="auto" w:sz="4" w:space="0"/>
                    <w:tl2br w:val="nil"/>
                    <w:tr2bl w:val="nil"/>
                  </w:tcBorders>
                  <w:shd w:val="clear" w:color="auto" w:fill="FFFFFF"/>
                  <w:vAlign w:val="center"/>
                </w:tcPr>
                <w:p w14:paraId="53A99A6F">
                  <w:pPr>
                    <w:jc w:val="center"/>
                    <w:rPr>
                      <w:rFonts w:ascii="Times New Roman" w:hAnsi="Times New Roman" w:cs="Times New Roman"/>
                      <w:szCs w:val="21"/>
                    </w:rPr>
                  </w:pPr>
                  <w:r>
                    <w:rPr>
                      <w:rFonts w:hint="eastAsia" w:ascii="Times New Roman" w:hAnsi="Times New Roman" w:cs="Times New Roman"/>
                      <w:szCs w:val="21"/>
                    </w:rPr>
                    <w:t>65.96</w:t>
                  </w:r>
                </w:p>
              </w:tc>
              <w:tc>
                <w:tcPr>
                  <w:tcW w:w="718" w:type="pct"/>
                  <w:vMerge w:val="continue"/>
                  <w:tcBorders>
                    <w:tl2br w:val="nil"/>
                    <w:tr2bl w:val="nil"/>
                  </w:tcBorders>
                  <w:shd w:val="clear" w:color="auto" w:fill="FFFFFF"/>
                  <w:vAlign w:val="center"/>
                </w:tcPr>
                <w:p w14:paraId="2C967A61">
                  <w:pPr>
                    <w:jc w:val="center"/>
                    <w:rPr>
                      <w:rFonts w:ascii="Times New Roman" w:hAnsi="Times New Roman" w:cs="Times New Roman"/>
                      <w:szCs w:val="21"/>
                    </w:rPr>
                  </w:pPr>
                </w:p>
              </w:tc>
              <w:tc>
                <w:tcPr>
                  <w:tcW w:w="412" w:type="pct"/>
                  <w:vMerge w:val="restart"/>
                  <w:tcBorders>
                    <w:top w:val="single" w:color="auto" w:sz="4" w:space="0"/>
                    <w:tl2br w:val="nil"/>
                    <w:tr2bl w:val="nil"/>
                  </w:tcBorders>
                  <w:shd w:val="clear" w:color="auto" w:fill="FFFFFF"/>
                  <w:vAlign w:val="center"/>
                </w:tcPr>
                <w:p w14:paraId="23E19DDA">
                  <w:pPr>
                    <w:jc w:val="center"/>
                    <w:rPr>
                      <w:rFonts w:ascii="Times New Roman" w:hAnsi="Times New Roman" w:cs="Times New Roman"/>
                      <w:szCs w:val="21"/>
                    </w:rPr>
                  </w:pPr>
                  <w:r>
                    <w:rPr>
                      <w:rFonts w:hint="eastAsia" w:ascii="Times New Roman" w:hAnsi="Times New Roman" w:cs="Times New Roman"/>
                      <w:szCs w:val="21"/>
                    </w:rPr>
                    <w:t>0.02</w:t>
                  </w:r>
                </w:p>
              </w:tc>
              <w:tc>
                <w:tcPr>
                  <w:tcW w:w="462" w:type="pct"/>
                  <w:vMerge w:val="restart"/>
                  <w:tcBorders>
                    <w:top w:val="single" w:color="auto" w:sz="4" w:space="0"/>
                    <w:tl2br w:val="nil"/>
                    <w:tr2bl w:val="nil"/>
                  </w:tcBorders>
                  <w:shd w:val="clear" w:color="auto" w:fill="FFFFFF"/>
                  <w:vAlign w:val="center"/>
                </w:tcPr>
                <w:p w14:paraId="21717A08">
                  <w:pPr>
                    <w:jc w:val="center"/>
                    <w:rPr>
                      <w:rFonts w:ascii="Times New Roman" w:hAnsi="Times New Roman" w:cs="Times New Roman"/>
                      <w:szCs w:val="21"/>
                    </w:rPr>
                  </w:pPr>
                  <w:r>
                    <w:rPr>
                      <w:rFonts w:hint="eastAsia" w:ascii="Times New Roman" w:hAnsi="Times New Roman" w:cs="Times New Roman"/>
                      <w:szCs w:val="21"/>
                    </w:rPr>
                    <w:t>0.014</w:t>
                  </w:r>
                </w:p>
              </w:tc>
              <w:tc>
                <w:tcPr>
                  <w:tcW w:w="593" w:type="pct"/>
                  <w:vMerge w:val="restart"/>
                  <w:tcBorders>
                    <w:top w:val="single" w:color="auto" w:sz="4" w:space="0"/>
                    <w:tl2br w:val="nil"/>
                    <w:tr2bl w:val="nil"/>
                  </w:tcBorders>
                  <w:shd w:val="clear" w:color="auto" w:fill="FFFFFF"/>
                  <w:vAlign w:val="center"/>
                </w:tcPr>
                <w:p w14:paraId="19634379">
                  <w:pPr>
                    <w:jc w:val="center"/>
                    <w:rPr>
                      <w:rFonts w:ascii="Times New Roman" w:hAnsi="Times New Roman" w:cs="Times New Roman"/>
                      <w:szCs w:val="21"/>
                    </w:rPr>
                  </w:pPr>
                  <w:r>
                    <w:rPr>
                      <w:rFonts w:hint="eastAsia" w:ascii="Times New Roman" w:hAnsi="Times New Roman" w:cs="Times New Roman"/>
                      <w:szCs w:val="21"/>
                    </w:rPr>
                    <w:t>0.641</w:t>
                  </w:r>
                </w:p>
              </w:tc>
              <w:tc>
                <w:tcPr>
                  <w:tcW w:w="576" w:type="pct"/>
                  <w:tcBorders>
                    <w:top w:val="single" w:color="auto" w:sz="4" w:space="0"/>
                    <w:bottom w:val="single" w:color="auto" w:sz="4" w:space="0"/>
                    <w:tl2br w:val="nil"/>
                    <w:tr2bl w:val="nil"/>
                  </w:tcBorders>
                  <w:shd w:val="clear" w:color="auto" w:fill="FFFFFF"/>
                  <w:vAlign w:val="center"/>
                </w:tcPr>
                <w:p w14:paraId="10204623">
                  <w:pPr>
                    <w:jc w:val="center"/>
                    <w:rPr>
                      <w:rFonts w:ascii="Times New Roman" w:hAnsi="Times New Roman" w:cs="Times New Roman"/>
                      <w:szCs w:val="21"/>
                    </w:rPr>
                  </w:pPr>
                  <w:r>
                    <w:rPr>
                      <w:rFonts w:hint="eastAsia" w:ascii="Times New Roman" w:hAnsi="Times New Roman" w:cs="Times New Roman"/>
                      <w:szCs w:val="21"/>
                    </w:rPr>
                    <w:t>120</w:t>
                  </w:r>
                </w:p>
              </w:tc>
            </w:tr>
            <w:tr w14:paraId="3B2E6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 w:hRule="atLeast"/>
                <w:jc w:val="center"/>
              </w:trPr>
              <w:tc>
                <w:tcPr>
                  <w:tcW w:w="261" w:type="pct"/>
                  <w:vMerge w:val="continue"/>
                  <w:tcBorders>
                    <w:tl2br w:val="nil"/>
                    <w:tr2bl w:val="nil"/>
                  </w:tcBorders>
                  <w:shd w:val="clear" w:color="auto" w:fill="FFFFFF"/>
                  <w:vAlign w:val="center"/>
                </w:tcPr>
                <w:p w14:paraId="520E4386">
                  <w:pPr>
                    <w:jc w:val="center"/>
                    <w:rPr>
                      <w:rFonts w:ascii="Times New Roman" w:hAnsi="Times New Roman" w:cs="Times New Roman"/>
                      <w:szCs w:val="21"/>
                    </w:rPr>
                  </w:pPr>
                </w:p>
              </w:tc>
              <w:tc>
                <w:tcPr>
                  <w:tcW w:w="262" w:type="pct"/>
                  <w:vMerge w:val="continue"/>
                  <w:tcBorders>
                    <w:bottom w:val="single" w:color="auto" w:sz="4" w:space="0"/>
                    <w:tl2br w:val="nil"/>
                    <w:tr2bl w:val="nil"/>
                  </w:tcBorders>
                  <w:shd w:val="clear" w:color="auto" w:fill="FFFFFF"/>
                  <w:vAlign w:val="center"/>
                </w:tcPr>
                <w:p w14:paraId="08414752">
                  <w:pPr>
                    <w:jc w:val="center"/>
                    <w:rPr>
                      <w:rFonts w:ascii="Times New Roman" w:hAnsi="Times New Roman" w:cs="Times New Roman"/>
                      <w:szCs w:val="21"/>
                    </w:rPr>
                  </w:pPr>
                </w:p>
              </w:tc>
              <w:tc>
                <w:tcPr>
                  <w:tcW w:w="316" w:type="pct"/>
                  <w:vMerge w:val="continue"/>
                  <w:tcBorders>
                    <w:bottom w:val="single" w:color="auto" w:sz="4" w:space="0"/>
                    <w:tl2br w:val="nil"/>
                    <w:tr2bl w:val="nil"/>
                  </w:tcBorders>
                  <w:shd w:val="clear" w:color="auto" w:fill="FFFFFF"/>
                  <w:vAlign w:val="center"/>
                </w:tcPr>
                <w:p w14:paraId="4B59CDE2">
                  <w:pPr>
                    <w:jc w:val="center"/>
                    <w:rPr>
                      <w:rFonts w:ascii="Times New Roman" w:hAnsi="Times New Roman" w:cs="Times New Roman"/>
                      <w:szCs w:val="21"/>
                    </w:rPr>
                  </w:pPr>
                </w:p>
              </w:tc>
              <w:tc>
                <w:tcPr>
                  <w:tcW w:w="347" w:type="pct"/>
                  <w:vMerge w:val="continue"/>
                  <w:tcBorders>
                    <w:bottom w:val="single" w:color="auto" w:sz="4" w:space="0"/>
                    <w:tl2br w:val="nil"/>
                    <w:tr2bl w:val="nil"/>
                  </w:tcBorders>
                  <w:shd w:val="clear" w:color="auto" w:fill="FFFFFF"/>
                  <w:vAlign w:val="center"/>
                </w:tcPr>
                <w:p w14:paraId="4F3C40AD">
                  <w:pPr>
                    <w:jc w:val="center"/>
                    <w:rPr>
                      <w:rFonts w:ascii="Times New Roman" w:hAnsi="Times New Roman" w:cs="Times New Roman"/>
                      <w:szCs w:val="21"/>
                    </w:rPr>
                  </w:pPr>
                </w:p>
              </w:tc>
              <w:tc>
                <w:tcPr>
                  <w:tcW w:w="478" w:type="pct"/>
                  <w:vMerge w:val="continue"/>
                  <w:tcBorders>
                    <w:bottom w:val="single" w:color="auto" w:sz="4" w:space="0"/>
                    <w:tl2br w:val="nil"/>
                    <w:tr2bl w:val="nil"/>
                  </w:tcBorders>
                  <w:shd w:val="clear" w:color="auto" w:fill="FFFFFF"/>
                  <w:vAlign w:val="center"/>
                </w:tcPr>
                <w:p w14:paraId="558A0410">
                  <w:pPr>
                    <w:jc w:val="center"/>
                    <w:rPr>
                      <w:rFonts w:ascii="Times New Roman" w:hAnsi="Times New Roman" w:cs="Times New Roman"/>
                      <w:szCs w:val="21"/>
                    </w:rPr>
                  </w:pPr>
                </w:p>
              </w:tc>
              <w:tc>
                <w:tcPr>
                  <w:tcW w:w="570" w:type="pct"/>
                  <w:vMerge w:val="continue"/>
                  <w:tcBorders>
                    <w:bottom w:val="single" w:color="auto" w:sz="4" w:space="0"/>
                    <w:tl2br w:val="nil"/>
                    <w:tr2bl w:val="nil"/>
                  </w:tcBorders>
                  <w:shd w:val="clear" w:color="auto" w:fill="FFFFFF"/>
                  <w:vAlign w:val="center"/>
                </w:tcPr>
                <w:p w14:paraId="2ACAC423">
                  <w:pPr>
                    <w:jc w:val="center"/>
                    <w:rPr>
                      <w:rFonts w:ascii="Times New Roman" w:hAnsi="Times New Roman" w:cs="Times New Roman"/>
                      <w:szCs w:val="21"/>
                    </w:rPr>
                  </w:pPr>
                </w:p>
              </w:tc>
              <w:tc>
                <w:tcPr>
                  <w:tcW w:w="718" w:type="pct"/>
                  <w:vMerge w:val="continue"/>
                  <w:tcBorders>
                    <w:bottom w:val="single" w:color="auto" w:sz="4" w:space="0"/>
                    <w:tl2br w:val="nil"/>
                    <w:tr2bl w:val="nil"/>
                  </w:tcBorders>
                  <w:shd w:val="clear" w:color="auto" w:fill="FFFFFF"/>
                  <w:vAlign w:val="center"/>
                </w:tcPr>
                <w:p w14:paraId="3FD342E3">
                  <w:pPr>
                    <w:jc w:val="center"/>
                    <w:rPr>
                      <w:rFonts w:ascii="Times New Roman" w:hAnsi="Times New Roman" w:cs="Times New Roman"/>
                      <w:szCs w:val="21"/>
                    </w:rPr>
                  </w:pPr>
                </w:p>
              </w:tc>
              <w:tc>
                <w:tcPr>
                  <w:tcW w:w="412" w:type="pct"/>
                  <w:vMerge w:val="continue"/>
                  <w:tcBorders>
                    <w:bottom w:val="single" w:color="auto" w:sz="4" w:space="0"/>
                    <w:tl2br w:val="nil"/>
                    <w:tr2bl w:val="nil"/>
                  </w:tcBorders>
                  <w:shd w:val="clear" w:color="auto" w:fill="FFFFFF"/>
                  <w:vAlign w:val="center"/>
                </w:tcPr>
                <w:p w14:paraId="26B9E5F1">
                  <w:pPr>
                    <w:jc w:val="center"/>
                    <w:rPr>
                      <w:rFonts w:ascii="Times New Roman" w:hAnsi="Times New Roman" w:cs="Times New Roman"/>
                      <w:szCs w:val="21"/>
                    </w:rPr>
                  </w:pPr>
                </w:p>
              </w:tc>
              <w:tc>
                <w:tcPr>
                  <w:tcW w:w="462" w:type="pct"/>
                  <w:vMerge w:val="continue"/>
                  <w:tcBorders>
                    <w:bottom w:val="single" w:color="auto" w:sz="4" w:space="0"/>
                    <w:tl2br w:val="nil"/>
                    <w:tr2bl w:val="nil"/>
                  </w:tcBorders>
                  <w:shd w:val="clear" w:color="auto" w:fill="FFFFFF"/>
                  <w:vAlign w:val="center"/>
                </w:tcPr>
                <w:p w14:paraId="44B72278">
                  <w:pPr>
                    <w:jc w:val="center"/>
                    <w:rPr>
                      <w:rFonts w:ascii="Times New Roman" w:hAnsi="Times New Roman" w:cs="Times New Roman"/>
                      <w:szCs w:val="21"/>
                    </w:rPr>
                  </w:pPr>
                </w:p>
              </w:tc>
              <w:tc>
                <w:tcPr>
                  <w:tcW w:w="593" w:type="pct"/>
                  <w:vMerge w:val="continue"/>
                  <w:tcBorders>
                    <w:bottom w:val="single" w:color="auto" w:sz="4" w:space="0"/>
                    <w:tl2br w:val="nil"/>
                    <w:tr2bl w:val="nil"/>
                  </w:tcBorders>
                  <w:shd w:val="clear" w:color="auto" w:fill="FFFFFF"/>
                  <w:vAlign w:val="center"/>
                </w:tcPr>
                <w:p w14:paraId="40B24038">
                  <w:pPr>
                    <w:jc w:val="center"/>
                    <w:rPr>
                      <w:rFonts w:ascii="Times New Roman" w:hAnsi="Times New Roman" w:cs="Times New Roman"/>
                      <w:szCs w:val="21"/>
                    </w:rPr>
                  </w:pPr>
                </w:p>
              </w:tc>
              <w:tc>
                <w:tcPr>
                  <w:tcW w:w="576" w:type="pct"/>
                  <w:tcBorders>
                    <w:top w:val="single" w:color="auto" w:sz="4" w:space="0"/>
                    <w:bottom w:val="single" w:color="auto" w:sz="4" w:space="0"/>
                    <w:tl2br w:val="nil"/>
                    <w:tr2bl w:val="nil"/>
                  </w:tcBorders>
                  <w:shd w:val="clear" w:color="auto" w:fill="FFFFFF"/>
                  <w:vAlign w:val="center"/>
                </w:tcPr>
                <w:p w14:paraId="11566A08">
                  <w:pPr>
                    <w:jc w:val="center"/>
                    <w:rPr>
                      <w:rFonts w:ascii="Times New Roman" w:hAnsi="Times New Roman" w:eastAsia="仿宋" w:cs="Times New Roman"/>
                      <w:szCs w:val="21"/>
                    </w:rPr>
                  </w:pPr>
                  <w:r>
                    <w:rPr>
                      <w:rFonts w:hint="eastAsia" w:ascii="Times New Roman" w:hAnsi="Times New Roman" w:eastAsia="仿宋" w:cs="Times New Roman"/>
                      <w:color w:val="FF0000"/>
                      <w:szCs w:val="21"/>
                    </w:rPr>
                    <w:t>12</w:t>
                  </w:r>
                </w:p>
              </w:tc>
            </w:tr>
            <w:tr w14:paraId="55540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jc w:val="center"/>
              </w:trPr>
              <w:tc>
                <w:tcPr>
                  <w:tcW w:w="261" w:type="pct"/>
                  <w:vMerge w:val="continue"/>
                  <w:tcBorders>
                    <w:tl2br w:val="nil"/>
                    <w:tr2bl w:val="nil"/>
                  </w:tcBorders>
                  <w:shd w:val="clear" w:color="auto" w:fill="FFFFFF"/>
                  <w:vAlign w:val="center"/>
                </w:tcPr>
                <w:p w14:paraId="7DFA0E2F">
                  <w:pPr>
                    <w:jc w:val="center"/>
                    <w:rPr>
                      <w:rFonts w:ascii="Times New Roman" w:hAnsi="Times New Roman" w:cs="Times New Roman"/>
                      <w:szCs w:val="21"/>
                    </w:rPr>
                  </w:pPr>
                </w:p>
              </w:tc>
              <w:tc>
                <w:tcPr>
                  <w:tcW w:w="262" w:type="pct"/>
                  <w:vMerge w:val="restart"/>
                  <w:tcBorders>
                    <w:top w:val="single" w:color="auto" w:sz="4" w:space="0"/>
                    <w:tl2br w:val="nil"/>
                    <w:tr2bl w:val="nil"/>
                  </w:tcBorders>
                  <w:shd w:val="clear" w:color="auto" w:fill="FFFFFF"/>
                  <w:vAlign w:val="center"/>
                </w:tcPr>
                <w:p w14:paraId="7CFF23F8">
                  <w:pPr>
                    <w:jc w:val="center"/>
                    <w:rPr>
                      <w:rFonts w:ascii="Times New Roman" w:hAnsi="Times New Roman" w:cs="Times New Roman"/>
                      <w:szCs w:val="21"/>
                    </w:rPr>
                  </w:pPr>
                  <w:r>
                    <w:rPr>
                      <w:rFonts w:hint="eastAsia" w:ascii="Times New Roman" w:hAnsi="Times New Roman" w:cs="Times New Roman"/>
                      <w:szCs w:val="21"/>
                    </w:rPr>
                    <w:t>无组织</w:t>
                  </w:r>
                </w:p>
              </w:tc>
              <w:tc>
                <w:tcPr>
                  <w:tcW w:w="316" w:type="pct"/>
                  <w:tcBorders>
                    <w:top w:val="single" w:color="auto" w:sz="4" w:space="0"/>
                    <w:bottom w:val="single" w:color="auto" w:sz="4" w:space="0"/>
                    <w:tl2br w:val="nil"/>
                    <w:tr2bl w:val="nil"/>
                  </w:tcBorders>
                  <w:shd w:val="clear" w:color="auto" w:fill="FFFFFF"/>
                  <w:vAlign w:val="center"/>
                </w:tcPr>
                <w:p w14:paraId="6313EDE2">
                  <w:pPr>
                    <w:jc w:val="center"/>
                    <w:rPr>
                      <w:rFonts w:ascii="Times New Roman" w:hAnsi="Times New Roman" w:cs="Times New Roman"/>
                      <w:szCs w:val="21"/>
                    </w:rPr>
                  </w:pPr>
                  <w:r>
                    <w:rPr>
                      <w:rFonts w:hint="eastAsia" w:ascii="Times New Roman" w:hAnsi="Times New Roman" w:cs="Times New Roman"/>
                      <w:szCs w:val="21"/>
                    </w:rPr>
                    <w:t>沥青烟</w:t>
                  </w:r>
                </w:p>
              </w:tc>
              <w:tc>
                <w:tcPr>
                  <w:tcW w:w="347" w:type="pct"/>
                  <w:tcBorders>
                    <w:top w:val="single" w:color="auto" w:sz="4" w:space="0"/>
                    <w:bottom w:val="single" w:color="auto" w:sz="4" w:space="0"/>
                    <w:tl2br w:val="nil"/>
                    <w:tr2bl w:val="nil"/>
                  </w:tcBorders>
                  <w:shd w:val="clear" w:color="auto" w:fill="FFFFFF"/>
                  <w:vAlign w:val="center"/>
                </w:tcPr>
                <w:p w14:paraId="0E99DCA2">
                  <w:pPr>
                    <w:jc w:val="center"/>
                    <w:rPr>
                      <w:rFonts w:ascii="Times New Roman" w:hAnsi="Times New Roman" w:cs="Times New Roman"/>
                      <w:szCs w:val="21"/>
                    </w:rPr>
                  </w:pPr>
                  <w:r>
                    <w:rPr>
                      <w:rFonts w:hint="eastAsia" w:ascii="Times New Roman" w:hAnsi="Times New Roman" w:cs="Times New Roman"/>
                      <w:szCs w:val="21"/>
                    </w:rPr>
                    <w:t>0.00422</w:t>
                  </w:r>
                </w:p>
              </w:tc>
              <w:tc>
                <w:tcPr>
                  <w:tcW w:w="478" w:type="pct"/>
                  <w:tcBorders>
                    <w:top w:val="single" w:color="auto" w:sz="4" w:space="0"/>
                    <w:bottom w:val="single" w:color="auto" w:sz="4" w:space="0"/>
                    <w:tl2br w:val="nil"/>
                    <w:tr2bl w:val="nil"/>
                  </w:tcBorders>
                  <w:shd w:val="clear" w:color="auto" w:fill="FFFFFF"/>
                  <w:vAlign w:val="center"/>
                </w:tcPr>
                <w:p w14:paraId="3FB1EB0C">
                  <w:pPr>
                    <w:jc w:val="center"/>
                    <w:rPr>
                      <w:rFonts w:ascii="Times New Roman" w:hAnsi="Times New Roman" w:cs="Times New Roman"/>
                      <w:szCs w:val="21"/>
                    </w:rPr>
                  </w:pPr>
                  <w:r>
                    <w:rPr>
                      <w:rFonts w:hint="eastAsia" w:ascii="Times New Roman" w:hAnsi="Times New Roman" w:cs="Times New Roman"/>
                      <w:szCs w:val="21"/>
                    </w:rPr>
                    <w:t>0.0029</w:t>
                  </w:r>
                </w:p>
              </w:tc>
              <w:tc>
                <w:tcPr>
                  <w:tcW w:w="570" w:type="pct"/>
                  <w:tcBorders>
                    <w:top w:val="single" w:color="auto" w:sz="4" w:space="0"/>
                    <w:bottom w:val="single" w:color="auto" w:sz="4" w:space="0"/>
                    <w:tl2br w:val="nil"/>
                    <w:tr2bl w:val="nil"/>
                  </w:tcBorders>
                  <w:shd w:val="clear" w:color="auto" w:fill="FFFFFF"/>
                  <w:vAlign w:val="center"/>
                </w:tcPr>
                <w:p w14:paraId="27930E0B">
                  <w:pPr>
                    <w:jc w:val="center"/>
                    <w:rPr>
                      <w:rFonts w:ascii="Times New Roman" w:hAnsi="Times New Roman" w:cs="Times New Roman"/>
                      <w:szCs w:val="21"/>
                    </w:rPr>
                  </w:pPr>
                  <w:r>
                    <w:rPr>
                      <w:rFonts w:hint="eastAsia" w:ascii="Times New Roman" w:hAnsi="Times New Roman" w:cs="Times New Roman"/>
                      <w:szCs w:val="21"/>
                    </w:rPr>
                    <w:t>/</w:t>
                  </w:r>
                </w:p>
              </w:tc>
              <w:tc>
                <w:tcPr>
                  <w:tcW w:w="718" w:type="pct"/>
                  <w:vMerge w:val="restart"/>
                  <w:tcBorders>
                    <w:top w:val="single" w:color="auto" w:sz="4" w:space="0"/>
                    <w:tl2br w:val="nil"/>
                    <w:tr2bl w:val="nil"/>
                  </w:tcBorders>
                  <w:shd w:val="clear" w:color="auto" w:fill="FFFFFF"/>
                  <w:vAlign w:val="center"/>
                </w:tcPr>
                <w:p w14:paraId="4F8E77F0">
                  <w:pPr>
                    <w:jc w:val="center"/>
                    <w:rPr>
                      <w:rFonts w:ascii="Times New Roman" w:hAnsi="Times New Roman" w:cs="Times New Roman"/>
                      <w:szCs w:val="21"/>
                    </w:rPr>
                  </w:pPr>
                  <w:r>
                    <w:rPr>
                      <w:rFonts w:hint="eastAsia" w:ascii="Times New Roman" w:hAnsi="Times New Roman" w:cs="Times New Roman"/>
                      <w:szCs w:val="21"/>
                    </w:rPr>
                    <w:t>未收集呈无组织排放</w:t>
                  </w:r>
                </w:p>
              </w:tc>
              <w:tc>
                <w:tcPr>
                  <w:tcW w:w="675" w:type="dxa"/>
                  <w:tcBorders>
                    <w:top w:val="single" w:color="auto" w:sz="4" w:space="0"/>
                    <w:bottom w:val="single" w:color="auto" w:sz="4" w:space="0"/>
                    <w:tl2br w:val="nil"/>
                    <w:tr2bl w:val="nil"/>
                  </w:tcBorders>
                  <w:shd w:val="clear" w:color="auto" w:fill="FFFFFF"/>
                  <w:vAlign w:val="center"/>
                </w:tcPr>
                <w:p w14:paraId="279C1804">
                  <w:pPr>
                    <w:jc w:val="center"/>
                    <w:rPr>
                      <w:rFonts w:ascii="Times New Roman" w:hAnsi="Times New Roman" w:cs="Times New Roman"/>
                      <w:szCs w:val="21"/>
                    </w:rPr>
                  </w:pPr>
                  <w:r>
                    <w:rPr>
                      <w:rFonts w:hint="eastAsia" w:ascii="Times New Roman" w:hAnsi="Times New Roman" w:cs="Times New Roman"/>
                      <w:szCs w:val="21"/>
                    </w:rPr>
                    <w:t>0.00422</w:t>
                  </w:r>
                </w:p>
              </w:tc>
              <w:tc>
                <w:tcPr>
                  <w:tcW w:w="757" w:type="dxa"/>
                  <w:tcBorders>
                    <w:top w:val="single" w:color="auto" w:sz="4" w:space="0"/>
                    <w:bottom w:val="single" w:color="auto" w:sz="4" w:space="0"/>
                    <w:tl2br w:val="nil"/>
                    <w:tr2bl w:val="nil"/>
                  </w:tcBorders>
                  <w:shd w:val="clear" w:color="auto" w:fill="FFFFFF"/>
                  <w:vAlign w:val="center"/>
                </w:tcPr>
                <w:p w14:paraId="2A522586">
                  <w:pPr>
                    <w:jc w:val="center"/>
                    <w:rPr>
                      <w:rFonts w:ascii="Times New Roman" w:hAnsi="Times New Roman" w:cs="Times New Roman"/>
                      <w:szCs w:val="21"/>
                    </w:rPr>
                  </w:pPr>
                  <w:r>
                    <w:rPr>
                      <w:rFonts w:hint="eastAsia" w:ascii="Times New Roman" w:hAnsi="Times New Roman" w:cs="Times New Roman"/>
                      <w:szCs w:val="21"/>
                    </w:rPr>
                    <w:t>0.0029</w:t>
                  </w:r>
                </w:p>
              </w:tc>
              <w:tc>
                <w:tcPr>
                  <w:tcW w:w="972" w:type="dxa"/>
                  <w:tcBorders>
                    <w:top w:val="single" w:color="auto" w:sz="4" w:space="0"/>
                    <w:bottom w:val="single" w:color="auto" w:sz="4" w:space="0"/>
                    <w:tl2br w:val="nil"/>
                    <w:tr2bl w:val="nil"/>
                  </w:tcBorders>
                  <w:shd w:val="clear" w:color="auto" w:fill="FFFFFF"/>
                  <w:vAlign w:val="center"/>
                </w:tcPr>
                <w:p w14:paraId="2C7657E1">
                  <w:pPr>
                    <w:jc w:val="center"/>
                    <w:rPr>
                      <w:rFonts w:ascii="Times New Roman" w:hAnsi="Times New Roman" w:cs="Times New Roman"/>
                      <w:szCs w:val="21"/>
                    </w:rPr>
                  </w:pPr>
                  <w:r>
                    <w:rPr>
                      <w:rFonts w:hint="eastAsia" w:ascii="Times New Roman" w:hAnsi="Times New Roman" w:cs="Times New Roman"/>
                      <w:szCs w:val="21"/>
                    </w:rPr>
                    <w:t>/</w:t>
                  </w:r>
                </w:p>
              </w:tc>
              <w:tc>
                <w:tcPr>
                  <w:tcW w:w="576" w:type="pct"/>
                  <w:tcBorders>
                    <w:top w:val="single" w:color="auto" w:sz="4" w:space="0"/>
                    <w:bottom w:val="single" w:color="auto" w:sz="4" w:space="0"/>
                    <w:tl2br w:val="nil"/>
                    <w:tr2bl w:val="nil"/>
                  </w:tcBorders>
                  <w:shd w:val="clear" w:color="auto" w:fill="FFFFFF"/>
                  <w:vAlign w:val="center"/>
                </w:tcPr>
                <w:p w14:paraId="5316102E">
                  <w:pPr>
                    <w:jc w:val="center"/>
                    <w:rPr>
                      <w:rFonts w:ascii="Times New Roman" w:hAnsi="Times New Roman" w:cs="Times New Roman"/>
                      <w:szCs w:val="21"/>
                    </w:rPr>
                  </w:pPr>
                  <w:r>
                    <w:rPr>
                      <w:rFonts w:ascii="Times New Roman" w:hAnsi="Times New Roman" w:cs="Times New Roman"/>
                      <w:szCs w:val="21"/>
                    </w:rPr>
                    <w:t xml:space="preserve">生产设备不得有明显的无组 </w:t>
                  </w:r>
                </w:p>
                <w:p w14:paraId="10778C75">
                  <w:pPr>
                    <w:jc w:val="center"/>
                    <w:rPr>
                      <w:rFonts w:ascii="Times New Roman" w:hAnsi="Times New Roman" w:cs="Times New Roman"/>
                      <w:szCs w:val="21"/>
                    </w:rPr>
                  </w:pPr>
                  <w:r>
                    <w:rPr>
                      <w:rFonts w:ascii="Times New Roman" w:hAnsi="Times New Roman" w:cs="Times New Roman"/>
                      <w:szCs w:val="21"/>
                    </w:rPr>
                    <w:t>织排放存在</w:t>
                  </w:r>
                </w:p>
              </w:tc>
            </w:tr>
            <w:tr w14:paraId="6A5E9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jc w:val="center"/>
              </w:trPr>
              <w:tc>
                <w:tcPr>
                  <w:tcW w:w="261" w:type="pct"/>
                  <w:vMerge w:val="continue"/>
                  <w:tcBorders>
                    <w:tl2br w:val="nil"/>
                    <w:tr2bl w:val="nil"/>
                  </w:tcBorders>
                  <w:shd w:val="clear" w:color="auto" w:fill="FFFFFF"/>
                  <w:vAlign w:val="center"/>
                </w:tcPr>
                <w:p w14:paraId="1470FDA5">
                  <w:pPr>
                    <w:jc w:val="center"/>
                    <w:rPr>
                      <w:rFonts w:ascii="Times New Roman" w:hAnsi="Times New Roman" w:cs="Times New Roman"/>
                      <w:szCs w:val="21"/>
                    </w:rPr>
                  </w:pPr>
                </w:p>
              </w:tc>
              <w:tc>
                <w:tcPr>
                  <w:tcW w:w="262" w:type="pct"/>
                  <w:vMerge w:val="continue"/>
                  <w:tcBorders>
                    <w:tl2br w:val="nil"/>
                    <w:tr2bl w:val="nil"/>
                  </w:tcBorders>
                  <w:shd w:val="clear" w:color="auto" w:fill="FFFFFF"/>
                  <w:vAlign w:val="center"/>
                </w:tcPr>
                <w:p w14:paraId="4DBF66AD">
                  <w:pPr>
                    <w:jc w:val="center"/>
                    <w:rPr>
                      <w:rFonts w:ascii="Times New Roman" w:hAnsi="Times New Roman" w:cs="Times New Roman"/>
                      <w:szCs w:val="21"/>
                    </w:rPr>
                  </w:pPr>
                </w:p>
              </w:tc>
              <w:tc>
                <w:tcPr>
                  <w:tcW w:w="316" w:type="pct"/>
                  <w:tcBorders>
                    <w:top w:val="single" w:color="auto" w:sz="4" w:space="0"/>
                    <w:bottom w:val="single" w:color="auto" w:sz="4" w:space="0"/>
                    <w:tl2br w:val="nil"/>
                    <w:tr2bl w:val="nil"/>
                  </w:tcBorders>
                  <w:shd w:val="clear" w:color="auto" w:fill="FFFFFF"/>
                  <w:vAlign w:val="center"/>
                </w:tcPr>
                <w:p w14:paraId="42D2DC7B">
                  <w:pPr>
                    <w:jc w:val="center"/>
                    <w:rPr>
                      <w:rFonts w:ascii="Times New Roman" w:hAnsi="Times New Roman" w:cs="Times New Roman"/>
                      <w:szCs w:val="21"/>
                    </w:rPr>
                  </w:pPr>
                  <w:r>
                    <w:rPr>
                      <w:rFonts w:ascii="Times New Roman" w:hAnsi="Times New Roman" w:cs="Times New Roman"/>
                      <w:szCs w:val="21"/>
                    </w:rPr>
                    <w:t>苯并[a]芘</w:t>
                  </w:r>
                </w:p>
              </w:tc>
              <w:tc>
                <w:tcPr>
                  <w:tcW w:w="347" w:type="pct"/>
                  <w:tcBorders>
                    <w:top w:val="single" w:color="auto" w:sz="4" w:space="0"/>
                    <w:bottom w:val="single" w:color="auto" w:sz="4" w:space="0"/>
                    <w:tl2br w:val="nil"/>
                    <w:tr2bl w:val="nil"/>
                  </w:tcBorders>
                  <w:shd w:val="clear" w:color="auto" w:fill="FFFFFF"/>
                  <w:vAlign w:val="center"/>
                </w:tcPr>
                <w:p w14:paraId="2E612829">
                  <w:pPr>
                    <w:jc w:val="center"/>
                    <w:rPr>
                      <w:rFonts w:ascii="Times New Roman" w:hAnsi="Times New Roman" w:cs="Times New Roman"/>
                      <w:szCs w:val="21"/>
                    </w:rPr>
                  </w:pPr>
                  <w:r>
                    <w:rPr>
                      <w:rFonts w:hint="eastAsia" w:ascii="Times New Roman" w:hAnsi="Times New Roman" w:cs="Times New Roman"/>
                      <w:szCs w:val="21"/>
                    </w:rPr>
                    <w:t>0.00000063</w:t>
                  </w:r>
                </w:p>
              </w:tc>
              <w:tc>
                <w:tcPr>
                  <w:tcW w:w="478" w:type="pct"/>
                  <w:tcBorders>
                    <w:top w:val="single" w:color="auto" w:sz="4" w:space="0"/>
                    <w:bottom w:val="single" w:color="auto" w:sz="4" w:space="0"/>
                    <w:tl2br w:val="nil"/>
                    <w:tr2bl w:val="nil"/>
                  </w:tcBorders>
                  <w:shd w:val="clear" w:color="auto" w:fill="FFFFFF"/>
                  <w:vAlign w:val="center"/>
                </w:tcPr>
                <w:p w14:paraId="604E7FB0">
                  <w:pPr>
                    <w:jc w:val="center"/>
                    <w:rPr>
                      <w:rFonts w:ascii="Times New Roman" w:hAnsi="Times New Roman" w:cs="Times New Roman"/>
                      <w:szCs w:val="21"/>
                    </w:rPr>
                  </w:pPr>
                  <w:r>
                    <w:rPr>
                      <w:rFonts w:hint="eastAsia" w:ascii="Times New Roman" w:hAnsi="Times New Roman" w:cs="Times New Roman"/>
                      <w:szCs w:val="21"/>
                    </w:rPr>
                    <w:t>0.00000044</w:t>
                  </w:r>
                </w:p>
              </w:tc>
              <w:tc>
                <w:tcPr>
                  <w:tcW w:w="570" w:type="pct"/>
                  <w:tcBorders>
                    <w:top w:val="single" w:color="auto" w:sz="4" w:space="0"/>
                    <w:bottom w:val="single" w:color="auto" w:sz="4" w:space="0"/>
                    <w:tl2br w:val="nil"/>
                    <w:tr2bl w:val="nil"/>
                  </w:tcBorders>
                  <w:shd w:val="clear" w:color="auto" w:fill="FFFFFF"/>
                  <w:vAlign w:val="center"/>
                </w:tcPr>
                <w:p w14:paraId="3E857820">
                  <w:pPr>
                    <w:jc w:val="center"/>
                    <w:rPr>
                      <w:rFonts w:ascii="Times New Roman" w:hAnsi="Times New Roman" w:cs="Times New Roman"/>
                      <w:szCs w:val="21"/>
                    </w:rPr>
                  </w:pPr>
                  <w:r>
                    <w:rPr>
                      <w:rFonts w:hint="eastAsia" w:ascii="Times New Roman" w:hAnsi="Times New Roman" w:cs="Times New Roman"/>
                      <w:szCs w:val="21"/>
                    </w:rPr>
                    <w:t>/</w:t>
                  </w:r>
                </w:p>
              </w:tc>
              <w:tc>
                <w:tcPr>
                  <w:tcW w:w="718" w:type="pct"/>
                  <w:vMerge w:val="continue"/>
                  <w:tcBorders>
                    <w:tl2br w:val="nil"/>
                    <w:tr2bl w:val="nil"/>
                  </w:tcBorders>
                  <w:shd w:val="clear" w:color="auto" w:fill="FFFFFF"/>
                  <w:vAlign w:val="center"/>
                </w:tcPr>
                <w:p w14:paraId="215E40C3">
                  <w:pPr>
                    <w:jc w:val="center"/>
                    <w:rPr>
                      <w:rFonts w:ascii="Times New Roman" w:hAnsi="Times New Roman" w:cs="Times New Roman"/>
                      <w:szCs w:val="21"/>
                    </w:rPr>
                  </w:pPr>
                </w:p>
              </w:tc>
              <w:tc>
                <w:tcPr>
                  <w:tcW w:w="675" w:type="dxa"/>
                  <w:tcBorders>
                    <w:top w:val="single" w:color="auto" w:sz="4" w:space="0"/>
                    <w:bottom w:val="single" w:color="auto" w:sz="4" w:space="0"/>
                    <w:tl2br w:val="nil"/>
                    <w:tr2bl w:val="nil"/>
                  </w:tcBorders>
                  <w:shd w:val="clear" w:color="auto" w:fill="FFFFFF"/>
                  <w:vAlign w:val="center"/>
                </w:tcPr>
                <w:p w14:paraId="37E74A36">
                  <w:pPr>
                    <w:jc w:val="center"/>
                    <w:rPr>
                      <w:rFonts w:ascii="Times New Roman" w:hAnsi="Times New Roman" w:cs="Times New Roman"/>
                      <w:szCs w:val="21"/>
                    </w:rPr>
                  </w:pPr>
                  <w:r>
                    <w:rPr>
                      <w:rFonts w:hint="eastAsia" w:ascii="Times New Roman" w:hAnsi="Times New Roman" w:cs="Times New Roman"/>
                      <w:szCs w:val="21"/>
                    </w:rPr>
                    <w:t>0.00000063</w:t>
                  </w:r>
                </w:p>
              </w:tc>
              <w:tc>
                <w:tcPr>
                  <w:tcW w:w="757" w:type="dxa"/>
                  <w:tcBorders>
                    <w:top w:val="single" w:color="auto" w:sz="4" w:space="0"/>
                    <w:bottom w:val="single" w:color="auto" w:sz="4" w:space="0"/>
                    <w:tl2br w:val="nil"/>
                    <w:tr2bl w:val="nil"/>
                  </w:tcBorders>
                  <w:shd w:val="clear" w:color="auto" w:fill="FFFFFF"/>
                  <w:vAlign w:val="center"/>
                </w:tcPr>
                <w:p w14:paraId="3F16DD7F">
                  <w:pPr>
                    <w:jc w:val="center"/>
                    <w:rPr>
                      <w:rFonts w:ascii="Times New Roman" w:hAnsi="Times New Roman" w:cs="Times New Roman"/>
                      <w:szCs w:val="21"/>
                    </w:rPr>
                  </w:pPr>
                  <w:r>
                    <w:rPr>
                      <w:rFonts w:hint="eastAsia" w:ascii="Times New Roman" w:hAnsi="Times New Roman" w:cs="Times New Roman"/>
                      <w:szCs w:val="21"/>
                    </w:rPr>
                    <w:t>0.00000044</w:t>
                  </w:r>
                </w:p>
              </w:tc>
              <w:tc>
                <w:tcPr>
                  <w:tcW w:w="972" w:type="dxa"/>
                  <w:tcBorders>
                    <w:top w:val="single" w:color="auto" w:sz="4" w:space="0"/>
                    <w:bottom w:val="single" w:color="auto" w:sz="4" w:space="0"/>
                    <w:tl2br w:val="nil"/>
                    <w:tr2bl w:val="nil"/>
                  </w:tcBorders>
                  <w:shd w:val="clear" w:color="auto" w:fill="FFFFFF"/>
                  <w:vAlign w:val="center"/>
                </w:tcPr>
                <w:p w14:paraId="6B3C2FD8">
                  <w:pPr>
                    <w:jc w:val="center"/>
                    <w:rPr>
                      <w:rFonts w:ascii="Times New Roman" w:hAnsi="Times New Roman" w:cs="Times New Roman"/>
                      <w:szCs w:val="21"/>
                    </w:rPr>
                  </w:pPr>
                  <w:r>
                    <w:rPr>
                      <w:rFonts w:hint="eastAsia" w:ascii="Times New Roman" w:hAnsi="Times New Roman" w:cs="Times New Roman"/>
                      <w:szCs w:val="21"/>
                    </w:rPr>
                    <w:t>/</w:t>
                  </w:r>
                </w:p>
              </w:tc>
              <w:tc>
                <w:tcPr>
                  <w:tcW w:w="576" w:type="pct"/>
                  <w:tcBorders>
                    <w:top w:val="single" w:color="auto" w:sz="4" w:space="0"/>
                    <w:bottom w:val="single" w:color="auto" w:sz="4" w:space="0"/>
                    <w:tl2br w:val="nil"/>
                    <w:tr2bl w:val="nil"/>
                  </w:tcBorders>
                  <w:shd w:val="clear" w:color="auto" w:fill="FFFFFF"/>
                  <w:vAlign w:val="center"/>
                </w:tcPr>
                <w:p w14:paraId="7F046215">
                  <w:pPr>
                    <w:jc w:val="center"/>
                    <w:rPr>
                      <w:rFonts w:ascii="Times New Roman" w:hAnsi="Times New Roman" w:cs="Times New Roman"/>
                      <w:szCs w:val="21"/>
                    </w:rPr>
                  </w:pPr>
                  <w:r>
                    <w:rPr>
                      <w:rFonts w:ascii="Times New Roman" w:hAnsi="Times New Roman" w:cs="Times New Roman"/>
                      <w:szCs w:val="21"/>
                    </w:rPr>
                    <w:t xml:space="preserve">0.008 </w:t>
                  </w:r>
                </w:p>
                <w:p w14:paraId="6633C021">
                  <w:pPr>
                    <w:jc w:val="center"/>
                    <w:rPr>
                      <w:rFonts w:ascii="Times New Roman" w:hAnsi="Times New Roman" w:cs="Times New Roman"/>
                      <w:szCs w:val="21"/>
                    </w:rPr>
                  </w:pPr>
                  <w:r>
                    <w:rPr>
                      <w:rFonts w:ascii="Times New Roman" w:hAnsi="Times New Roman" w:cs="Times New Roman"/>
                      <w:szCs w:val="21"/>
                    </w:rPr>
                    <w:t>（μg/m</w:t>
                  </w:r>
                  <w:r>
                    <w:rPr>
                      <w:rFonts w:ascii="Times New Roman" w:hAnsi="Times New Roman" w:cs="Times New Roman"/>
                      <w:szCs w:val="21"/>
                      <w:vertAlign w:val="superscript"/>
                    </w:rPr>
                    <w:t>3</w:t>
                  </w:r>
                  <w:r>
                    <w:rPr>
                      <w:rFonts w:ascii="Times New Roman" w:hAnsi="Times New Roman" w:cs="Times New Roman"/>
                      <w:szCs w:val="21"/>
                    </w:rPr>
                    <w:t>）</w:t>
                  </w:r>
                </w:p>
              </w:tc>
            </w:tr>
            <w:tr w14:paraId="7034F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61" w:type="pct"/>
                  <w:vMerge w:val="continue"/>
                  <w:tcBorders>
                    <w:tl2br w:val="nil"/>
                    <w:tr2bl w:val="nil"/>
                  </w:tcBorders>
                  <w:shd w:val="clear" w:color="auto" w:fill="FFFFFF"/>
                  <w:vAlign w:val="center"/>
                </w:tcPr>
                <w:p w14:paraId="4B1DF38C">
                  <w:pPr>
                    <w:jc w:val="center"/>
                    <w:rPr>
                      <w:rFonts w:ascii="Times New Roman" w:hAnsi="Times New Roman" w:cs="Times New Roman"/>
                      <w:szCs w:val="21"/>
                    </w:rPr>
                  </w:pPr>
                </w:p>
              </w:tc>
              <w:tc>
                <w:tcPr>
                  <w:tcW w:w="262" w:type="pct"/>
                  <w:vMerge w:val="continue"/>
                  <w:tcBorders>
                    <w:tl2br w:val="nil"/>
                    <w:tr2bl w:val="nil"/>
                  </w:tcBorders>
                  <w:shd w:val="clear" w:color="auto" w:fill="FFFFFF"/>
                  <w:vAlign w:val="center"/>
                </w:tcPr>
                <w:p w14:paraId="57150D76">
                  <w:pPr>
                    <w:jc w:val="center"/>
                    <w:rPr>
                      <w:rFonts w:ascii="Times New Roman" w:hAnsi="Times New Roman" w:cs="Times New Roman"/>
                      <w:szCs w:val="21"/>
                    </w:rPr>
                  </w:pPr>
                </w:p>
              </w:tc>
              <w:tc>
                <w:tcPr>
                  <w:tcW w:w="316" w:type="pct"/>
                  <w:tcBorders>
                    <w:top w:val="single" w:color="auto" w:sz="4" w:space="0"/>
                    <w:tl2br w:val="nil"/>
                    <w:tr2bl w:val="nil"/>
                  </w:tcBorders>
                  <w:shd w:val="clear" w:color="auto" w:fill="FFFFFF"/>
                  <w:vAlign w:val="center"/>
                </w:tcPr>
                <w:p w14:paraId="5DB24C45">
                  <w:pPr>
                    <w:jc w:val="center"/>
                    <w:rPr>
                      <w:rFonts w:ascii="Times New Roman" w:hAnsi="Times New Roman" w:cs="Times New Roman"/>
                      <w:szCs w:val="21"/>
                    </w:rPr>
                  </w:pPr>
                  <w:r>
                    <w:rPr>
                      <w:rFonts w:hint="eastAsia" w:ascii="Times New Roman" w:hAnsi="Times New Roman" w:cs="Times New Roman"/>
                      <w:szCs w:val="21"/>
                    </w:rPr>
                    <w:t>非甲烷总烃</w:t>
                  </w:r>
                </w:p>
              </w:tc>
              <w:tc>
                <w:tcPr>
                  <w:tcW w:w="347" w:type="pct"/>
                  <w:tcBorders>
                    <w:top w:val="single" w:color="auto" w:sz="4" w:space="0"/>
                    <w:tl2br w:val="nil"/>
                    <w:tr2bl w:val="nil"/>
                  </w:tcBorders>
                  <w:shd w:val="clear" w:color="auto" w:fill="FFFFFF"/>
                  <w:vAlign w:val="center"/>
                </w:tcPr>
                <w:p w14:paraId="1C24DC31">
                  <w:pPr>
                    <w:jc w:val="center"/>
                    <w:rPr>
                      <w:rFonts w:ascii="Times New Roman" w:hAnsi="Times New Roman" w:cs="Times New Roman"/>
                      <w:szCs w:val="21"/>
                    </w:rPr>
                  </w:pPr>
                  <w:r>
                    <w:rPr>
                      <w:rFonts w:hint="eastAsia" w:ascii="Times New Roman" w:hAnsi="Times New Roman" w:cs="Times New Roman"/>
                      <w:szCs w:val="21"/>
                    </w:rPr>
                    <w:t>0.021</w:t>
                  </w:r>
                </w:p>
              </w:tc>
              <w:tc>
                <w:tcPr>
                  <w:tcW w:w="478" w:type="pct"/>
                  <w:tcBorders>
                    <w:top w:val="single" w:color="auto" w:sz="4" w:space="0"/>
                    <w:tl2br w:val="nil"/>
                    <w:tr2bl w:val="nil"/>
                  </w:tcBorders>
                  <w:shd w:val="clear" w:color="auto" w:fill="FFFFFF"/>
                  <w:vAlign w:val="center"/>
                </w:tcPr>
                <w:p w14:paraId="4D201792">
                  <w:pPr>
                    <w:jc w:val="center"/>
                    <w:rPr>
                      <w:rFonts w:ascii="Times New Roman" w:hAnsi="Times New Roman" w:cs="Times New Roman"/>
                      <w:szCs w:val="21"/>
                    </w:rPr>
                  </w:pPr>
                  <w:r>
                    <w:rPr>
                      <w:rFonts w:hint="eastAsia" w:ascii="Times New Roman" w:hAnsi="Times New Roman" w:cs="Times New Roman"/>
                      <w:szCs w:val="21"/>
                    </w:rPr>
                    <w:t>0.015</w:t>
                  </w:r>
                </w:p>
              </w:tc>
              <w:tc>
                <w:tcPr>
                  <w:tcW w:w="570" w:type="pct"/>
                  <w:tcBorders>
                    <w:top w:val="single" w:color="auto" w:sz="4" w:space="0"/>
                    <w:tl2br w:val="nil"/>
                    <w:tr2bl w:val="nil"/>
                  </w:tcBorders>
                  <w:shd w:val="clear" w:color="auto" w:fill="FFFFFF"/>
                  <w:vAlign w:val="center"/>
                </w:tcPr>
                <w:p w14:paraId="633518B9">
                  <w:pPr>
                    <w:jc w:val="center"/>
                    <w:rPr>
                      <w:rFonts w:ascii="Times New Roman" w:hAnsi="Times New Roman" w:cs="Times New Roman"/>
                      <w:szCs w:val="21"/>
                    </w:rPr>
                  </w:pPr>
                  <w:r>
                    <w:rPr>
                      <w:rFonts w:hint="eastAsia" w:ascii="Times New Roman" w:hAnsi="Times New Roman" w:cs="Times New Roman"/>
                      <w:szCs w:val="21"/>
                    </w:rPr>
                    <w:t>/</w:t>
                  </w:r>
                </w:p>
              </w:tc>
              <w:tc>
                <w:tcPr>
                  <w:tcW w:w="718" w:type="pct"/>
                  <w:vMerge w:val="continue"/>
                  <w:tcBorders>
                    <w:tl2br w:val="nil"/>
                    <w:tr2bl w:val="nil"/>
                  </w:tcBorders>
                  <w:shd w:val="clear" w:color="auto" w:fill="FFFFFF"/>
                  <w:vAlign w:val="center"/>
                </w:tcPr>
                <w:p w14:paraId="07026580">
                  <w:pPr>
                    <w:jc w:val="center"/>
                    <w:rPr>
                      <w:rFonts w:ascii="Times New Roman" w:hAnsi="Times New Roman" w:cs="Times New Roman"/>
                      <w:szCs w:val="21"/>
                    </w:rPr>
                  </w:pPr>
                </w:p>
              </w:tc>
              <w:tc>
                <w:tcPr>
                  <w:tcW w:w="675" w:type="dxa"/>
                  <w:tcBorders>
                    <w:top w:val="single" w:color="auto" w:sz="4" w:space="0"/>
                    <w:tl2br w:val="nil"/>
                    <w:tr2bl w:val="nil"/>
                  </w:tcBorders>
                  <w:shd w:val="clear" w:color="auto" w:fill="FFFFFF"/>
                  <w:vAlign w:val="center"/>
                </w:tcPr>
                <w:p w14:paraId="01FC8F62">
                  <w:pPr>
                    <w:jc w:val="center"/>
                    <w:rPr>
                      <w:rFonts w:ascii="Times New Roman" w:hAnsi="Times New Roman" w:cs="Times New Roman"/>
                      <w:szCs w:val="21"/>
                    </w:rPr>
                  </w:pPr>
                  <w:r>
                    <w:rPr>
                      <w:rFonts w:hint="eastAsia" w:ascii="Times New Roman" w:hAnsi="Times New Roman" w:cs="Times New Roman"/>
                      <w:szCs w:val="21"/>
                    </w:rPr>
                    <w:t>0.021</w:t>
                  </w:r>
                </w:p>
              </w:tc>
              <w:tc>
                <w:tcPr>
                  <w:tcW w:w="757" w:type="dxa"/>
                  <w:tcBorders>
                    <w:top w:val="single" w:color="auto" w:sz="4" w:space="0"/>
                    <w:tl2br w:val="nil"/>
                    <w:tr2bl w:val="nil"/>
                  </w:tcBorders>
                  <w:shd w:val="clear" w:color="auto" w:fill="FFFFFF"/>
                  <w:vAlign w:val="center"/>
                </w:tcPr>
                <w:p w14:paraId="511558B3">
                  <w:pPr>
                    <w:jc w:val="center"/>
                    <w:rPr>
                      <w:rFonts w:ascii="Times New Roman" w:hAnsi="Times New Roman" w:cs="Times New Roman"/>
                      <w:szCs w:val="21"/>
                    </w:rPr>
                  </w:pPr>
                  <w:r>
                    <w:rPr>
                      <w:rFonts w:hint="eastAsia" w:ascii="Times New Roman" w:hAnsi="Times New Roman" w:cs="Times New Roman"/>
                      <w:szCs w:val="21"/>
                    </w:rPr>
                    <w:t>0.015</w:t>
                  </w:r>
                </w:p>
              </w:tc>
              <w:tc>
                <w:tcPr>
                  <w:tcW w:w="972" w:type="dxa"/>
                  <w:tcBorders>
                    <w:top w:val="single" w:color="auto" w:sz="4" w:space="0"/>
                    <w:tl2br w:val="nil"/>
                    <w:tr2bl w:val="nil"/>
                  </w:tcBorders>
                  <w:shd w:val="clear" w:color="auto" w:fill="FFFFFF"/>
                  <w:vAlign w:val="center"/>
                </w:tcPr>
                <w:p w14:paraId="3AF8AA6A">
                  <w:pPr>
                    <w:jc w:val="center"/>
                    <w:rPr>
                      <w:rFonts w:ascii="Times New Roman" w:hAnsi="Times New Roman" w:cs="Times New Roman"/>
                      <w:szCs w:val="21"/>
                    </w:rPr>
                  </w:pPr>
                  <w:r>
                    <w:rPr>
                      <w:rFonts w:hint="eastAsia" w:ascii="Times New Roman" w:hAnsi="Times New Roman" w:cs="Times New Roman"/>
                      <w:szCs w:val="21"/>
                    </w:rPr>
                    <w:t>/</w:t>
                  </w:r>
                </w:p>
              </w:tc>
              <w:tc>
                <w:tcPr>
                  <w:tcW w:w="576" w:type="pct"/>
                  <w:tcBorders>
                    <w:top w:val="single" w:color="auto" w:sz="4" w:space="0"/>
                    <w:tl2br w:val="nil"/>
                    <w:tr2bl w:val="nil"/>
                  </w:tcBorders>
                  <w:shd w:val="clear" w:color="auto" w:fill="FFFFFF"/>
                  <w:vAlign w:val="center"/>
                </w:tcPr>
                <w:p w14:paraId="70AE77C0">
                  <w:pPr>
                    <w:jc w:val="center"/>
                    <w:rPr>
                      <w:rFonts w:ascii="Times New Roman" w:hAnsi="Times New Roman" w:cs="Times New Roman"/>
                      <w:szCs w:val="21"/>
                    </w:rPr>
                  </w:pPr>
                  <w:r>
                    <w:rPr>
                      <w:rFonts w:ascii="Times New Roman" w:hAnsi="Times New Roman" w:cs="Times New Roman"/>
                      <w:szCs w:val="21"/>
                    </w:rPr>
                    <w:t>4.0</w:t>
                  </w:r>
                </w:p>
              </w:tc>
            </w:tr>
            <w:tr w14:paraId="09706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5000" w:type="pct"/>
                  <w:gridSpan w:val="11"/>
                  <w:tcBorders>
                    <w:tl2br w:val="nil"/>
                    <w:tr2bl w:val="nil"/>
                  </w:tcBorders>
                  <w:shd w:val="clear" w:color="auto" w:fill="FFFFFF"/>
                  <w:vAlign w:val="center"/>
                </w:tcPr>
                <w:p w14:paraId="3B500F86">
                  <w:pPr>
                    <w:rPr>
                      <w:rFonts w:ascii="Times New Roman" w:hAnsi="Times New Roman" w:cs="Times New Roman"/>
                      <w:szCs w:val="21"/>
                    </w:rPr>
                  </w:pPr>
                  <w:r>
                    <w:rPr>
                      <w:rFonts w:hint="eastAsia" w:ascii="Times New Roman" w:hAnsi="Times New Roman" w:cs="Times New Roman"/>
                      <w:szCs w:val="21"/>
                    </w:rPr>
                    <w:t>注：本项目全年运行180天，混合搅拌、成品出料工序按照1440h/a计。</w:t>
                  </w:r>
                  <w:r>
                    <w:rPr>
                      <w:rFonts w:ascii="Times New Roman" w:hAnsi="Times New Roman" w:cs="Times New Roman"/>
                      <w:szCs w:val="21"/>
                    </w:rPr>
                    <w:t>M</w:t>
                  </w:r>
                  <w:r>
                    <w:rPr>
                      <w:rFonts w:hint="eastAsia" w:ascii="Times New Roman" w:hAnsi="Times New Roman" w:cs="Times New Roman"/>
                      <w:szCs w:val="21"/>
                      <w:vertAlign w:val="subscript"/>
                    </w:rPr>
                    <w:t>总</w:t>
                  </w:r>
                  <w:r>
                    <w:rPr>
                      <w:rFonts w:hint="eastAsia" w:ascii="Times New Roman" w:hAnsi="Times New Roman" w:cs="Times New Roman"/>
                      <w:szCs w:val="21"/>
                    </w:rPr>
                    <w:t>=有组织+无组织</w:t>
                  </w:r>
                </w:p>
              </w:tc>
            </w:tr>
          </w:tbl>
          <w:p w14:paraId="3884EF8A">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（2）沥青储罐大小呼吸废气</w:t>
            </w:r>
          </w:p>
          <w:p w14:paraId="5EE653ED">
            <w:pPr>
              <w:spacing w:line="360" w:lineRule="auto"/>
              <w:ind w:firstLine="482" w:firstLineChars="200"/>
              <w:rPr>
                <w:rFonts w:ascii="Times New Roman" w:hAnsi="Times New Roman" w:eastAsia="宋体" w:cs="Times New Roman"/>
                <w:sz w:val="24"/>
              </w:rPr>
            </w:pPr>
            <w:r>
              <w:rPr>
                <w:rFonts w:hint="eastAsia" w:ascii="Times New Roman" w:hAnsi="Times New Roman" w:eastAsia="宋体" w:cs="Times New Roman"/>
                <w:b/>
                <w:bCs/>
                <w:sz w:val="24"/>
              </w:rPr>
              <w:t>源强核算：</w:t>
            </w:r>
            <w:r>
              <w:rPr>
                <w:rFonts w:hint="eastAsia" w:ascii="Times New Roman" w:hAnsi="Times New Roman" w:eastAsia="宋体" w:cs="Times New Roman"/>
                <w:sz w:val="24"/>
              </w:rPr>
              <w:t>沥青储罐的大、小呼吸是产生沥青烟气的重要途径。大呼吸指装卸物料时液面升降导致气相空间体积变化，超压时含沥青蒸汽的混合气体经呼吸阀排出；小呼吸指静止储存期间温度变化导致罐内气体热胀冷缩，压力达限值时即发生呼吸排放。由于沥青储罐持续加热保温，外界昼夜温差影响较小，小呼吸主要源于加热系统温控波动引起的罐内气体周期性膨胀与收缩，高温状态下罐内蒸汽压较高，呼吸排气携带高浓度沥青烟气。</w:t>
            </w:r>
          </w:p>
          <w:p w14:paraId="452EA049">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本评价参照中国石油化工系统（CPCC）推荐经验公式估算沥青储罐大小呼吸所产生的废气量。</w:t>
            </w:r>
          </w:p>
          <w:p w14:paraId="28C7EDA8">
            <w:pPr>
              <w:wordWrap w:val="0"/>
              <w:topLinePunct/>
              <w:spacing w:line="360" w:lineRule="auto"/>
              <w:ind w:firstLine="480" w:firstLineChars="200"/>
              <w:rPr>
                <w:rFonts w:ascii="Times New Roman" w:hAnsi="Times New Roman" w:eastAsia="宋体" w:cs="Times New Roman"/>
                <w:sz w:val="24"/>
              </w:rPr>
            </w:pPr>
            <w:r>
              <w:rPr>
                <w:rFonts w:hint="eastAsia"/>
                <w:sz w:val="24"/>
                <w:szCs w:val="20"/>
              </w:rPr>
              <w:t>①</w:t>
            </w:r>
            <w:r>
              <w:rPr>
                <w:rFonts w:hint="eastAsia" w:ascii="Times New Roman" w:hAnsi="Times New Roman" w:eastAsia="宋体" w:cs="Times New Roman"/>
                <w:sz w:val="24"/>
              </w:rPr>
              <w:t>大呼吸损耗：</w:t>
            </w:r>
          </w:p>
          <w:p w14:paraId="18F51768">
            <w:pPr>
              <w:wordWrap w:val="0"/>
              <w:topLinePunct/>
              <w:spacing w:line="360" w:lineRule="auto"/>
              <w:rPr>
                <w:rFonts w:ascii="Times New Roman" w:hAnsi="Times New Roman" w:eastAsia="宋体" w:cs="Times New Roman"/>
                <w:b/>
                <w:bCs/>
                <w:color w:val="FF0000"/>
                <w:sz w:val="24"/>
              </w:rPr>
            </w:pPr>
            <w:r>
              <w:drawing>
                <wp:inline distT="0" distB="0" distL="114300" distR="114300">
                  <wp:extent cx="5123180" cy="2157095"/>
                  <wp:effectExtent l="0" t="0" r="7620" b="190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5"/>
                          <a:stretch>
                            <a:fillRect/>
                          </a:stretch>
                        </pic:blipFill>
                        <pic:spPr>
                          <a:xfrm>
                            <a:off x="0" y="0"/>
                            <a:ext cx="5123180" cy="2157095"/>
                          </a:xfrm>
                          <a:prstGeom prst="rect">
                            <a:avLst/>
                          </a:prstGeom>
                          <a:noFill/>
                          <a:ln>
                            <a:noFill/>
                          </a:ln>
                        </pic:spPr>
                      </pic:pic>
                    </a:graphicData>
                  </a:graphic>
                </wp:inline>
              </w:drawing>
            </w:r>
          </w:p>
          <w:p w14:paraId="0D8FAE4D">
            <w:pPr>
              <w:wordWrap w:val="0"/>
              <w:topLinePunct/>
              <w:spacing w:line="360" w:lineRule="auto"/>
              <w:jc w:val="center"/>
              <w:outlineLvl w:val="2"/>
              <w:rPr>
                <w:rFonts w:ascii="Times New Roman" w:hAnsi="Times New Roman" w:eastAsia="宋体" w:cs="Times New Roman"/>
                <w:b/>
                <w:bCs/>
                <w:color w:val="000000"/>
                <w:sz w:val="24"/>
              </w:rPr>
            </w:pPr>
            <w:r>
              <w:rPr>
                <w:rFonts w:hint="eastAsia" w:ascii="Times New Roman" w:hAnsi="Times New Roman" w:eastAsia="宋体" w:cs="Times New Roman"/>
                <w:b/>
                <w:bCs/>
                <w:color w:val="000000"/>
                <w:sz w:val="24"/>
              </w:rPr>
              <w:t xml:space="preserve"> </w:t>
            </w:r>
            <w:r>
              <w:rPr>
                <w:rFonts w:ascii="Times New Roman" w:hAnsi="Times New Roman" w:eastAsia="宋体" w:cs="Times New Roman"/>
                <w:b/>
                <w:bCs/>
                <w:color w:val="000000"/>
                <w:sz w:val="24"/>
              </w:rPr>
              <w:t>表</w:t>
            </w:r>
            <w:r>
              <w:rPr>
                <w:rFonts w:hint="eastAsia" w:ascii="Times New Roman" w:hAnsi="Times New Roman" w:eastAsia="宋体" w:cs="Times New Roman"/>
                <w:b/>
                <w:bCs/>
                <w:color w:val="000000"/>
                <w:sz w:val="24"/>
              </w:rPr>
              <w:t>4-14  储罐大呼吸损耗取值</w:t>
            </w:r>
          </w:p>
          <w:tbl>
            <w:tblPr>
              <w:tblStyle w:val="29"/>
              <w:tblW w:w="80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008"/>
              <w:gridCol w:w="1008"/>
              <w:gridCol w:w="1009"/>
              <w:gridCol w:w="1009"/>
              <w:gridCol w:w="847"/>
              <w:gridCol w:w="946"/>
              <w:gridCol w:w="1234"/>
            </w:tblGrid>
            <w:tr w14:paraId="4E2BC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Borders>
                    <w:tl2br w:val="nil"/>
                    <w:tr2bl w:val="nil"/>
                  </w:tcBorders>
                </w:tcPr>
                <w:p w14:paraId="5C1E7851">
                  <w:pPr>
                    <w:jc w:val="center"/>
                    <w:rPr>
                      <w:rFonts w:ascii="Times New Roman" w:hAnsi="Times New Roman" w:cs="Times New Roman"/>
                      <w:b/>
                      <w:bCs/>
                      <w:szCs w:val="21"/>
                    </w:rPr>
                  </w:pPr>
                  <w:r>
                    <w:rPr>
                      <w:rFonts w:hint="eastAsia" w:ascii="Times New Roman" w:hAnsi="Times New Roman" w:cs="Times New Roman"/>
                      <w:b/>
                      <w:bCs/>
                      <w:szCs w:val="21"/>
                    </w:rPr>
                    <w:t>符号</w:t>
                  </w:r>
                </w:p>
              </w:tc>
              <w:tc>
                <w:tcPr>
                  <w:tcW w:w="1008" w:type="dxa"/>
                  <w:tcBorders>
                    <w:tl2br w:val="nil"/>
                    <w:tr2bl w:val="nil"/>
                  </w:tcBorders>
                </w:tcPr>
                <w:p w14:paraId="17FAAC0C">
                  <w:pPr>
                    <w:jc w:val="center"/>
                    <w:rPr>
                      <w:rFonts w:ascii="Times New Roman" w:hAnsi="Times New Roman" w:cs="Times New Roman"/>
                      <w:b/>
                      <w:bCs/>
                      <w:szCs w:val="21"/>
                    </w:rPr>
                  </w:pPr>
                  <w:r>
                    <w:rPr>
                      <w:rFonts w:ascii="Times New Roman" w:hAnsi="Times New Roman" w:cs="Times New Roman"/>
                      <w:b/>
                      <w:bCs/>
                      <w:szCs w:val="21"/>
                    </w:rPr>
                    <w:t>P</w:t>
                  </w:r>
                </w:p>
              </w:tc>
              <w:tc>
                <w:tcPr>
                  <w:tcW w:w="1008" w:type="dxa"/>
                  <w:tcBorders>
                    <w:tl2br w:val="nil"/>
                    <w:tr2bl w:val="nil"/>
                  </w:tcBorders>
                </w:tcPr>
                <w:p w14:paraId="06A6FC10">
                  <w:pPr>
                    <w:jc w:val="center"/>
                    <w:rPr>
                      <w:rFonts w:ascii="Times New Roman" w:hAnsi="Times New Roman" w:cs="Times New Roman"/>
                      <w:b/>
                      <w:bCs/>
                      <w:szCs w:val="21"/>
                    </w:rPr>
                  </w:pPr>
                  <w:r>
                    <w:rPr>
                      <w:rFonts w:ascii="Times New Roman" w:hAnsi="Times New Roman" w:cs="Times New Roman"/>
                      <w:b/>
                      <w:bCs/>
                      <w:szCs w:val="21"/>
                    </w:rPr>
                    <w:t>VL</w:t>
                  </w:r>
                </w:p>
              </w:tc>
              <w:tc>
                <w:tcPr>
                  <w:tcW w:w="1009" w:type="dxa"/>
                  <w:tcBorders>
                    <w:tl2br w:val="nil"/>
                    <w:tr2bl w:val="nil"/>
                  </w:tcBorders>
                </w:tcPr>
                <w:p w14:paraId="4F20B207">
                  <w:pPr>
                    <w:jc w:val="center"/>
                    <w:rPr>
                      <w:rFonts w:ascii="Times New Roman" w:hAnsi="Times New Roman" w:cs="Times New Roman"/>
                      <w:b/>
                      <w:bCs/>
                      <w:szCs w:val="21"/>
                    </w:rPr>
                  </w:pPr>
                  <w:r>
                    <w:rPr>
                      <w:rFonts w:ascii="Times New Roman" w:hAnsi="Times New Roman" w:cs="Times New Roman"/>
                      <w:b/>
                      <w:bCs/>
                      <w:szCs w:val="21"/>
                    </w:rPr>
                    <w:t>V</w:t>
                  </w:r>
                </w:p>
              </w:tc>
              <w:tc>
                <w:tcPr>
                  <w:tcW w:w="1009" w:type="dxa"/>
                  <w:tcBorders>
                    <w:tl2br w:val="nil"/>
                    <w:tr2bl w:val="nil"/>
                  </w:tcBorders>
                </w:tcPr>
                <w:p w14:paraId="345A8392">
                  <w:pPr>
                    <w:jc w:val="center"/>
                    <w:rPr>
                      <w:rFonts w:ascii="Times New Roman" w:hAnsi="Times New Roman" w:cs="Times New Roman"/>
                      <w:b/>
                      <w:bCs/>
                      <w:szCs w:val="21"/>
                    </w:rPr>
                  </w:pPr>
                  <w:r>
                    <w:rPr>
                      <w:rFonts w:ascii="Times New Roman" w:hAnsi="Times New Roman" w:cs="Times New Roman"/>
                      <w:b/>
                      <w:bCs/>
                      <w:szCs w:val="21"/>
                    </w:rPr>
                    <w:t>K</w:t>
                  </w:r>
                </w:p>
              </w:tc>
              <w:tc>
                <w:tcPr>
                  <w:tcW w:w="847" w:type="dxa"/>
                  <w:tcBorders>
                    <w:tl2br w:val="nil"/>
                    <w:tr2bl w:val="nil"/>
                  </w:tcBorders>
                </w:tcPr>
                <w:p w14:paraId="0F764764">
                  <w:pPr>
                    <w:jc w:val="center"/>
                    <w:rPr>
                      <w:rFonts w:ascii="Times New Roman" w:hAnsi="Times New Roman" w:cs="Times New Roman"/>
                      <w:b/>
                      <w:bCs/>
                      <w:szCs w:val="21"/>
                    </w:rPr>
                  </w:pPr>
                  <w:r>
                    <w:rPr>
                      <w:rFonts w:ascii="Times New Roman" w:hAnsi="Times New Roman" w:cs="Times New Roman"/>
                      <w:b/>
                      <w:bCs/>
                      <w:szCs w:val="21"/>
                    </w:rPr>
                    <w:t>KT</w:t>
                  </w:r>
                </w:p>
              </w:tc>
              <w:tc>
                <w:tcPr>
                  <w:tcW w:w="946" w:type="dxa"/>
                  <w:tcBorders>
                    <w:tl2br w:val="nil"/>
                    <w:tr2bl w:val="nil"/>
                  </w:tcBorders>
                </w:tcPr>
                <w:p w14:paraId="479D8884">
                  <w:pPr>
                    <w:jc w:val="center"/>
                    <w:rPr>
                      <w:rFonts w:ascii="Times New Roman" w:hAnsi="Times New Roman" w:cs="Times New Roman"/>
                      <w:b/>
                      <w:bCs/>
                      <w:szCs w:val="21"/>
                    </w:rPr>
                  </w:pPr>
                  <w:r>
                    <w:rPr>
                      <w:rFonts w:ascii="Times New Roman" w:hAnsi="Times New Roman" w:cs="Times New Roman"/>
                      <w:b/>
                      <w:bCs/>
                      <w:szCs w:val="21"/>
                    </w:rPr>
                    <w:t>KE</w:t>
                  </w:r>
                </w:p>
              </w:tc>
              <w:tc>
                <w:tcPr>
                  <w:tcW w:w="1234" w:type="dxa"/>
                  <w:tcBorders>
                    <w:tl2br w:val="nil"/>
                    <w:tr2bl w:val="nil"/>
                  </w:tcBorders>
                </w:tcPr>
                <w:p w14:paraId="018B0AD8">
                  <w:pPr>
                    <w:jc w:val="center"/>
                    <w:rPr>
                      <w:rFonts w:ascii="Times New Roman" w:hAnsi="Times New Roman" w:cs="Times New Roman"/>
                      <w:b/>
                      <w:bCs/>
                      <w:szCs w:val="21"/>
                    </w:rPr>
                  </w:pPr>
                  <w:r>
                    <w:rPr>
                      <w:rFonts w:ascii="Times New Roman" w:hAnsi="Times New Roman" w:cs="Times New Roman"/>
                      <w:b/>
                      <w:bCs/>
                      <w:szCs w:val="21"/>
                    </w:rPr>
                    <w:t>Lpw</w:t>
                  </w:r>
                </w:p>
              </w:tc>
            </w:tr>
            <w:tr w14:paraId="002A6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Borders>
                    <w:tl2br w:val="nil"/>
                    <w:tr2bl w:val="nil"/>
                  </w:tcBorders>
                </w:tcPr>
                <w:p w14:paraId="7F88E6BA">
                  <w:pPr>
                    <w:jc w:val="center"/>
                    <w:rPr>
                      <w:rFonts w:ascii="Times New Roman" w:hAnsi="Times New Roman" w:cs="Times New Roman"/>
                      <w:szCs w:val="21"/>
                    </w:rPr>
                  </w:pPr>
                  <w:r>
                    <w:rPr>
                      <w:rFonts w:hint="eastAsia" w:ascii="Times New Roman" w:hAnsi="Times New Roman" w:cs="Times New Roman"/>
                      <w:szCs w:val="21"/>
                    </w:rPr>
                    <w:t>沥青</w:t>
                  </w:r>
                </w:p>
                <w:p w14:paraId="420872DE">
                  <w:pPr>
                    <w:jc w:val="center"/>
                    <w:rPr>
                      <w:rFonts w:ascii="Times New Roman" w:hAnsi="Times New Roman" w:cs="Times New Roman"/>
                      <w:szCs w:val="21"/>
                    </w:rPr>
                  </w:pPr>
                  <w:r>
                    <w:rPr>
                      <w:rFonts w:hint="eastAsia" w:ascii="Times New Roman" w:hAnsi="Times New Roman" w:cs="Times New Roman"/>
                      <w:szCs w:val="21"/>
                    </w:rPr>
                    <w:t>储罐</w:t>
                  </w:r>
                </w:p>
              </w:tc>
              <w:tc>
                <w:tcPr>
                  <w:tcW w:w="1008" w:type="dxa"/>
                  <w:tcBorders>
                    <w:tl2br w:val="nil"/>
                    <w:tr2bl w:val="nil"/>
                  </w:tcBorders>
                  <w:vAlign w:val="center"/>
                </w:tcPr>
                <w:p w14:paraId="592B8DE2">
                  <w:pPr>
                    <w:jc w:val="center"/>
                    <w:rPr>
                      <w:rFonts w:ascii="Times New Roman" w:hAnsi="Times New Roman" w:cs="Times New Roman"/>
                      <w:szCs w:val="21"/>
                    </w:rPr>
                  </w:pPr>
                  <w:r>
                    <w:rPr>
                      <w:rFonts w:hint="eastAsia" w:ascii="Times New Roman" w:hAnsi="Times New Roman" w:cs="Times New Roman"/>
                      <w:color w:val="FF0000"/>
                      <w:szCs w:val="21"/>
                      <w:highlight w:val="yellow"/>
                    </w:rPr>
                    <w:t>1460</w:t>
                  </w:r>
                </w:p>
              </w:tc>
              <w:tc>
                <w:tcPr>
                  <w:tcW w:w="1008" w:type="dxa"/>
                  <w:tcBorders>
                    <w:tl2br w:val="nil"/>
                    <w:tr2bl w:val="nil"/>
                  </w:tcBorders>
                  <w:vAlign w:val="center"/>
                </w:tcPr>
                <w:p w14:paraId="76EEEBC4">
                  <w:pPr>
                    <w:jc w:val="center"/>
                    <w:rPr>
                      <w:rFonts w:ascii="Times New Roman" w:hAnsi="Times New Roman" w:cs="Times New Roman"/>
                      <w:szCs w:val="21"/>
                    </w:rPr>
                  </w:pPr>
                  <w:r>
                    <w:rPr>
                      <w:rFonts w:hint="eastAsia" w:ascii="Times New Roman" w:hAnsi="Times New Roman" w:cs="Times New Roman"/>
                      <w:szCs w:val="21"/>
                    </w:rPr>
                    <w:t>6458</w:t>
                  </w:r>
                </w:p>
              </w:tc>
              <w:tc>
                <w:tcPr>
                  <w:tcW w:w="1009" w:type="dxa"/>
                  <w:tcBorders>
                    <w:tl2br w:val="nil"/>
                    <w:tr2bl w:val="nil"/>
                  </w:tcBorders>
                  <w:vAlign w:val="center"/>
                </w:tcPr>
                <w:p w14:paraId="46D7C825">
                  <w:pPr>
                    <w:jc w:val="center"/>
                    <w:rPr>
                      <w:rFonts w:ascii="Times New Roman" w:hAnsi="Times New Roman" w:cs="Times New Roman"/>
                      <w:szCs w:val="21"/>
                    </w:rPr>
                  </w:pPr>
                  <w:r>
                    <w:rPr>
                      <w:rFonts w:ascii="Times New Roman" w:hAnsi="Times New Roman" w:cs="Times New Roman"/>
                      <w:szCs w:val="21"/>
                    </w:rPr>
                    <w:t>1.2</w:t>
                  </w:r>
                </w:p>
              </w:tc>
              <w:tc>
                <w:tcPr>
                  <w:tcW w:w="1009" w:type="dxa"/>
                  <w:tcBorders>
                    <w:tl2br w:val="nil"/>
                    <w:tr2bl w:val="nil"/>
                  </w:tcBorders>
                  <w:vAlign w:val="center"/>
                </w:tcPr>
                <w:p w14:paraId="5F261CB7">
                  <w:pPr>
                    <w:jc w:val="center"/>
                    <w:rPr>
                      <w:rFonts w:ascii="Times New Roman" w:hAnsi="Times New Roman" w:cs="Times New Roman"/>
                      <w:szCs w:val="21"/>
                    </w:rPr>
                  </w:pPr>
                  <w:r>
                    <w:rPr>
                      <w:rFonts w:ascii="Times New Roman" w:hAnsi="Times New Roman" w:cs="Times New Roman"/>
                      <w:szCs w:val="21"/>
                    </w:rPr>
                    <w:t>6</w:t>
                  </w:r>
                </w:p>
              </w:tc>
              <w:tc>
                <w:tcPr>
                  <w:tcW w:w="847" w:type="dxa"/>
                  <w:tcBorders>
                    <w:tl2br w:val="nil"/>
                    <w:tr2bl w:val="nil"/>
                  </w:tcBorders>
                  <w:vAlign w:val="center"/>
                </w:tcPr>
                <w:p w14:paraId="54287A30">
                  <w:pPr>
                    <w:jc w:val="center"/>
                    <w:rPr>
                      <w:rFonts w:ascii="Times New Roman" w:hAnsi="Times New Roman" w:cs="Times New Roman"/>
                      <w:szCs w:val="21"/>
                    </w:rPr>
                  </w:pPr>
                  <w:r>
                    <w:rPr>
                      <w:rFonts w:ascii="Times New Roman" w:hAnsi="Times New Roman" w:cs="Times New Roman"/>
                      <w:szCs w:val="21"/>
                    </w:rPr>
                    <w:t>1</w:t>
                  </w:r>
                </w:p>
              </w:tc>
              <w:tc>
                <w:tcPr>
                  <w:tcW w:w="946" w:type="dxa"/>
                  <w:tcBorders>
                    <w:tl2br w:val="nil"/>
                    <w:tr2bl w:val="nil"/>
                  </w:tcBorders>
                  <w:vAlign w:val="center"/>
                </w:tcPr>
                <w:p w14:paraId="2FE457E2">
                  <w:pPr>
                    <w:jc w:val="center"/>
                    <w:rPr>
                      <w:rFonts w:ascii="Times New Roman" w:hAnsi="Times New Roman" w:cs="Times New Roman"/>
                      <w:szCs w:val="21"/>
                    </w:rPr>
                  </w:pPr>
                  <w:r>
                    <w:rPr>
                      <w:rFonts w:ascii="Times New Roman" w:hAnsi="Times New Roman" w:cs="Times New Roman"/>
                      <w:szCs w:val="21"/>
                    </w:rPr>
                    <w:t>1.0</w:t>
                  </w:r>
                </w:p>
              </w:tc>
              <w:tc>
                <w:tcPr>
                  <w:tcW w:w="1234" w:type="dxa"/>
                  <w:tcBorders>
                    <w:tl2br w:val="nil"/>
                    <w:tr2bl w:val="nil"/>
                  </w:tcBorders>
                  <w:vAlign w:val="center"/>
                </w:tcPr>
                <w:p w14:paraId="660C47C6">
                  <w:pPr>
                    <w:jc w:val="center"/>
                  </w:pPr>
                  <w:r>
                    <w:rPr>
                      <w:rFonts w:hint="eastAsia" w:ascii="Times New Roman" w:hAnsi="Times New Roman" w:cs="Times New Roman"/>
                      <w:szCs w:val="21"/>
                    </w:rPr>
                    <w:t>492.2kg/</w:t>
                  </w:r>
                  <w:r>
                    <w:rPr>
                      <w:rFonts w:ascii="Times New Roman" w:hAnsi="Times New Roman" w:cs="Times New Roman"/>
                      <w:szCs w:val="21"/>
                    </w:rPr>
                    <w:t>a</w:t>
                  </w:r>
                </w:p>
              </w:tc>
            </w:tr>
            <w:tr w14:paraId="326F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9" w:type="dxa"/>
                  <w:gridSpan w:val="8"/>
                  <w:tcBorders>
                    <w:tl2br w:val="nil"/>
                    <w:tr2bl w:val="nil"/>
                  </w:tcBorders>
                </w:tcPr>
                <w:p w14:paraId="7690F762">
                  <w:pPr>
                    <w:rPr>
                      <w:rFonts w:ascii="Times New Roman" w:hAnsi="Times New Roman" w:cs="Times New Roman"/>
                      <w:szCs w:val="21"/>
                    </w:rPr>
                  </w:pPr>
                  <w:r>
                    <w:rPr>
                      <w:rFonts w:hint="eastAsia" w:ascii="Times New Roman" w:hAnsi="Times New Roman" w:cs="Times New Roman"/>
                      <w:szCs w:val="21"/>
                    </w:rPr>
                    <w:t>注：含乳化沥青生产线沥青用量</w:t>
                  </w:r>
                </w:p>
              </w:tc>
            </w:tr>
          </w:tbl>
          <w:p w14:paraId="78C5B0EE">
            <w:pPr>
              <w:wordWrap w:val="0"/>
              <w:topLinePunct/>
              <w:spacing w:line="360" w:lineRule="auto"/>
              <w:ind w:firstLine="480" w:firstLineChars="200"/>
              <w:rPr>
                <w:sz w:val="24"/>
                <w:szCs w:val="20"/>
              </w:rPr>
            </w:pPr>
            <w:r>
              <w:rPr>
                <w:rFonts w:hint="eastAsia"/>
                <w:sz w:val="24"/>
                <w:szCs w:val="20"/>
              </w:rPr>
              <w:t>②小呼吸损耗：</w:t>
            </w:r>
          </w:p>
          <w:p w14:paraId="53219019">
            <w:pPr>
              <w:pStyle w:val="4"/>
              <w:keepNext w:val="0"/>
              <w:keepLines w:val="0"/>
              <w:wordWrap w:val="0"/>
              <w:topLinePunct/>
              <w:ind w:firstLine="0" w:firstLineChars="0"/>
              <w:rPr>
                <w:rFonts w:ascii="Times New Roman" w:hAnsi="Times New Roman" w:cs="Times New Roman"/>
                <w:bCs/>
                <w:color w:val="FF0000"/>
                <w:spacing w:val="0"/>
                <w:w w:val="100"/>
                <w:szCs w:val="24"/>
              </w:rPr>
            </w:pPr>
            <w:r>
              <w:drawing>
                <wp:inline distT="0" distB="0" distL="114300" distR="114300">
                  <wp:extent cx="5123180" cy="330200"/>
                  <wp:effectExtent l="0" t="0" r="7620" b="0"/>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6"/>
                          <a:stretch>
                            <a:fillRect/>
                          </a:stretch>
                        </pic:blipFill>
                        <pic:spPr>
                          <a:xfrm>
                            <a:off x="0" y="0"/>
                            <a:ext cx="5123180" cy="330200"/>
                          </a:xfrm>
                          <a:prstGeom prst="rect">
                            <a:avLst/>
                          </a:prstGeom>
                          <a:noFill/>
                          <a:ln>
                            <a:noFill/>
                          </a:ln>
                        </pic:spPr>
                      </pic:pic>
                    </a:graphicData>
                  </a:graphic>
                </wp:inline>
              </w:drawing>
            </w:r>
          </w:p>
          <w:p w14:paraId="49A1EFD0">
            <w:pPr>
              <w:widowControl/>
              <w:shd w:val="clear" w:color="auto" w:fill="FFFFFF"/>
              <w:spacing w:line="360" w:lineRule="auto"/>
              <w:ind w:firstLine="720" w:firstLineChars="300"/>
              <w:jc w:val="left"/>
              <w:rPr>
                <w:rFonts w:ascii="Times New Roman" w:hAnsi="Times New Roman" w:eastAsia="仿宋" w:cs="Times New Roman"/>
                <w:kern w:val="0"/>
                <w:sz w:val="24"/>
              </w:rPr>
            </w:pPr>
            <w:r>
              <w:rPr>
                <w:rFonts w:hint="eastAsia" w:ascii="Times New Roman" w:hAnsi="Times New Roman" w:eastAsia="仿宋" w:cs="Times New Roman"/>
                <w:kern w:val="0"/>
                <w:sz w:val="24"/>
              </w:rPr>
              <w:t>式中：</w:t>
            </w:r>
            <w:r>
              <w:rPr>
                <w:rFonts w:ascii="Times New Roman" w:hAnsi="Times New Roman" w:eastAsia="仿宋" w:cs="Times New Roman"/>
                <w:kern w:val="0"/>
                <w:sz w:val="24"/>
              </w:rPr>
              <w:t>L</w:t>
            </w:r>
            <w:r>
              <w:rPr>
                <w:rFonts w:hint="eastAsia" w:ascii="Times New Roman" w:hAnsi="Times New Roman" w:eastAsia="仿宋" w:cs="Times New Roman"/>
                <w:kern w:val="0"/>
                <w:sz w:val="24"/>
              </w:rPr>
              <w:t>ps—拱顶罐小呼吸损失量（</w:t>
            </w:r>
            <w:r>
              <w:rPr>
                <w:rFonts w:ascii="Times New Roman" w:hAnsi="Times New Roman" w:eastAsia="仿宋" w:cs="Times New Roman"/>
                <w:kern w:val="0"/>
                <w:sz w:val="24"/>
              </w:rPr>
              <w:t>kg/a</w:t>
            </w:r>
            <w:r>
              <w:rPr>
                <w:rFonts w:hint="eastAsia" w:ascii="Times New Roman" w:hAnsi="Times New Roman" w:eastAsia="仿宋" w:cs="Times New Roman"/>
                <w:kern w:val="0"/>
                <w:sz w:val="24"/>
              </w:rPr>
              <w:t>）；</w:t>
            </w:r>
          </w:p>
          <w:p w14:paraId="6479EB82">
            <w:pPr>
              <w:widowControl/>
              <w:shd w:val="clear" w:color="auto" w:fill="FFFFFF"/>
              <w:spacing w:line="360" w:lineRule="auto"/>
              <w:ind w:firstLine="1440" w:firstLineChars="600"/>
              <w:jc w:val="left"/>
              <w:rPr>
                <w:rFonts w:ascii="Times New Roman" w:hAnsi="Times New Roman" w:eastAsia="仿宋" w:cs="Times New Roman"/>
                <w:kern w:val="0"/>
                <w:sz w:val="24"/>
              </w:rPr>
            </w:pPr>
            <w:r>
              <w:rPr>
                <w:rFonts w:ascii="Times New Roman" w:hAnsi="Times New Roman" w:eastAsia="仿宋" w:cs="Times New Roman"/>
                <w:kern w:val="0"/>
                <w:sz w:val="24"/>
              </w:rPr>
              <w:t>KE</w:t>
            </w:r>
            <w:r>
              <w:rPr>
                <w:rFonts w:hint="eastAsia" w:ascii="Times New Roman" w:hAnsi="Times New Roman" w:eastAsia="仿宋" w:cs="Times New Roman"/>
                <w:kern w:val="0"/>
                <w:sz w:val="24"/>
              </w:rPr>
              <w:t xml:space="preserve">—产品因子系数，汽油或其他油品 </w:t>
            </w:r>
            <w:r>
              <w:rPr>
                <w:rFonts w:ascii="Times New Roman" w:hAnsi="Times New Roman" w:eastAsia="仿宋" w:cs="Times New Roman"/>
                <w:kern w:val="0"/>
                <w:sz w:val="24"/>
              </w:rPr>
              <w:t>KE=24</w:t>
            </w:r>
            <w:r>
              <w:rPr>
                <w:rFonts w:hint="eastAsia" w:ascii="Times New Roman" w:hAnsi="Times New Roman" w:eastAsia="仿宋" w:cs="Times New Roman"/>
                <w:kern w:val="0"/>
                <w:sz w:val="24"/>
              </w:rPr>
              <w:t xml:space="preserve">，原油 </w:t>
            </w:r>
            <w:r>
              <w:rPr>
                <w:rFonts w:ascii="Times New Roman" w:hAnsi="Times New Roman" w:eastAsia="仿宋" w:cs="Times New Roman"/>
                <w:kern w:val="0"/>
                <w:sz w:val="24"/>
              </w:rPr>
              <w:t>KE=14</w:t>
            </w:r>
            <w:r>
              <w:rPr>
                <w:rFonts w:hint="eastAsia" w:ascii="Times New Roman" w:hAnsi="Times New Roman" w:eastAsia="仿宋" w:cs="Times New Roman"/>
                <w:kern w:val="0"/>
                <w:sz w:val="24"/>
              </w:rPr>
              <w:t>；</w:t>
            </w:r>
          </w:p>
          <w:p w14:paraId="344CB81D">
            <w:pPr>
              <w:widowControl/>
              <w:shd w:val="clear" w:color="auto" w:fill="FFFFFF"/>
              <w:spacing w:line="360" w:lineRule="auto"/>
              <w:ind w:firstLine="1440" w:firstLineChars="600"/>
              <w:jc w:val="left"/>
              <w:rPr>
                <w:rFonts w:ascii="Times New Roman" w:hAnsi="Times New Roman" w:eastAsia="仿宋" w:cs="Times New Roman"/>
                <w:kern w:val="0"/>
                <w:sz w:val="24"/>
              </w:rPr>
            </w:pPr>
            <w:r>
              <w:rPr>
                <w:rFonts w:ascii="Times New Roman" w:hAnsi="Times New Roman" w:eastAsia="仿宋" w:cs="Times New Roman"/>
                <w:kern w:val="0"/>
                <w:sz w:val="24"/>
              </w:rPr>
              <w:t>P</w:t>
            </w:r>
            <w:r>
              <w:rPr>
                <w:rFonts w:hint="eastAsia" w:ascii="Times New Roman" w:hAnsi="Times New Roman" w:eastAsia="仿宋" w:cs="Times New Roman"/>
                <w:kern w:val="0"/>
                <w:sz w:val="24"/>
              </w:rPr>
              <w:t>—储罐内平均温度下液体真实蒸汽压（</w:t>
            </w:r>
            <w:r>
              <w:rPr>
                <w:rFonts w:ascii="Times New Roman" w:hAnsi="Times New Roman" w:eastAsia="仿宋" w:cs="Times New Roman"/>
                <w:kern w:val="0"/>
                <w:sz w:val="24"/>
              </w:rPr>
              <w:t>Pa</w:t>
            </w:r>
            <w:r>
              <w:rPr>
                <w:rFonts w:hint="eastAsia" w:ascii="Times New Roman" w:hAnsi="Times New Roman" w:eastAsia="仿宋" w:cs="Times New Roman"/>
                <w:kern w:val="0"/>
                <w:sz w:val="24"/>
              </w:rPr>
              <w:t>）；</w:t>
            </w:r>
          </w:p>
          <w:p w14:paraId="7E3FFADC">
            <w:pPr>
              <w:widowControl/>
              <w:shd w:val="clear" w:color="auto" w:fill="FFFFFF"/>
              <w:spacing w:line="360" w:lineRule="auto"/>
              <w:ind w:firstLine="1440" w:firstLineChars="600"/>
              <w:jc w:val="left"/>
              <w:rPr>
                <w:rFonts w:ascii="Times New Roman" w:hAnsi="Times New Roman" w:eastAsia="仿宋" w:cs="Times New Roman"/>
                <w:kern w:val="0"/>
                <w:sz w:val="24"/>
              </w:rPr>
            </w:pPr>
            <w:r>
              <w:rPr>
                <w:rFonts w:ascii="Times New Roman" w:hAnsi="Times New Roman" w:eastAsia="仿宋" w:cs="Times New Roman"/>
                <w:kern w:val="0"/>
                <w:sz w:val="24"/>
              </w:rPr>
              <w:t>V</w:t>
            </w:r>
            <w:r>
              <w:rPr>
                <w:rFonts w:hint="eastAsia" w:ascii="Times New Roman" w:hAnsi="Times New Roman" w:eastAsia="仿宋" w:cs="Times New Roman"/>
                <w:kern w:val="0"/>
                <w:sz w:val="24"/>
              </w:rPr>
              <w:t>—储存沥青的平均密度（</w:t>
            </w:r>
            <w:r>
              <w:rPr>
                <w:rFonts w:ascii="Times New Roman" w:hAnsi="Times New Roman" w:eastAsia="仿宋" w:cs="Times New Roman"/>
                <w:kern w:val="0"/>
                <w:sz w:val="24"/>
              </w:rPr>
              <w:t>t/m</w:t>
            </w:r>
            <w:r>
              <w:rPr>
                <w:rFonts w:ascii="Times New Roman" w:hAnsi="Times New Roman" w:eastAsia="仿宋" w:cs="Times New Roman"/>
                <w:kern w:val="0"/>
                <w:sz w:val="24"/>
                <w:vertAlign w:val="superscript"/>
              </w:rPr>
              <w:t>3</w:t>
            </w:r>
            <w:r>
              <w:rPr>
                <w:rFonts w:hint="eastAsia" w:ascii="Times New Roman" w:hAnsi="Times New Roman" w:eastAsia="仿宋" w:cs="Times New Roman"/>
                <w:kern w:val="0"/>
                <w:sz w:val="24"/>
              </w:rPr>
              <w:t>）；</w:t>
            </w:r>
          </w:p>
          <w:p w14:paraId="7787D150">
            <w:pPr>
              <w:widowControl/>
              <w:shd w:val="clear" w:color="auto" w:fill="FFFFFF"/>
              <w:spacing w:line="360" w:lineRule="auto"/>
              <w:ind w:firstLine="1440" w:firstLineChars="600"/>
              <w:jc w:val="left"/>
              <w:rPr>
                <w:rFonts w:ascii="Times New Roman" w:hAnsi="Times New Roman" w:eastAsia="仿宋" w:cs="Times New Roman"/>
                <w:kern w:val="0"/>
                <w:sz w:val="24"/>
              </w:rPr>
            </w:pPr>
            <w:r>
              <w:rPr>
                <w:rFonts w:ascii="Times New Roman" w:hAnsi="Times New Roman" w:eastAsia="仿宋" w:cs="Times New Roman"/>
                <w:kern w:val="0"/>
                <w:sz w:val="24"/>
              </w:rPr>
              <w:t>D</w:t>
            </w:r>
            <w:r>
              <w:rPr>
                <w:rFonts w:hint="eastAsia" w:ascii="Times New Roman" w:hAnsi="Times New Roman" w:eastAsia="仿宋" w:cs="Times New Roman"/>
                <w:kern w:val="0"/>
                <w:sz w:val="24"/>
              </w:rPr>
              <w:t>—储罐的直径（</w:t>
            </w:r>
            <w:r>
              <w:rPr>
                <w:rFonts w:ascii="Times New Roman" w:hAnsi="Times New Roman" w:eastAsia="仿宋" w:cs="Times New Roman"/>
                <w:kern w:val="0"/>
                <w:sz w:val="24"/>
              </w:rPr>
              <w:t>m</w:t>
            </w:r>
            <w:r>
              <w:rPr>
                <w:rFonts w:hint="eastAsia" w:ascii="Times New Roman" w:hAnsi="Times New Roman" w:eastAsia="仿宋" w:cs="Times New Roman"/>
                <w:kern w:val="0"/>
                <w:sz w:val="24"/>
              </w:rPr>
              <w:t>）；</w:t>
            </w:r>
          </w:p>
          <w:p w14:paraId="3075F2F5">
            <w:pPr>
              <w:widowControl/>
              <w:shd w:val="clear" w:color="auto" w:fill="FFFFFF"/>
              <w:spacing w:line="360" w:lineRule="auto"/>
              <w:ind w:firstLine="1440" w:firstLineChars="600"/>
              <w:jc w:val="left"/>
              <w:rPr>
                <w:rFonts w:ascii="Times New Roman" w:hAnsi="Times New Roman" w:eastAsia="仿宋" w:cs="Times New Roman"/>
                <w:kern w:val="0"/>
                <w:sz w:val="24"/>
              </w:rPr>
            </w:pPr>
            <w:r>
              <w:rPr>
                <w:rFonts w:ascii="Times New Roman" w:hAnsi="Times New Roman" w:eastAsia="仿宋" w:cs="Times New Roman"/>
                <w:kern w:val="0"/>
                <w:sz w:val="24"/>
              </w:rPr>
              <w:t>H</w:t>
            </w:r>
            <w:r>
              <w:rPr>
                <w:rFonts w:hint="eastAsia" w:ascii="Times New Roman" w:hAnsi="Times New Roman" w:eastAsia="仿宋" w:cs="Times New Roman"/>
                <w:kern w:val="0"/>
                <w:sz w:val="24"/>
              </w:rPr>
              <w:t>—储罐平均留空高度（</w:t>
            </w:r>
            <w:r>
              <w:rPr>
                <w:rFonts w:ascii="Times New Roman" w:hAnsi="Times New Roman" w:eastAsia="仿宋" w:cs="Times New Roman"/>
                <w:kern w:val="0"/>
                <w:sz w:val="24"/>
              </w:rPr>
              <w:t>m</w:t>
            </w:r>
            <w:r>
              <w:rPr>
                <w:rFonts w:hint="eastAsia" w:ascii="Times New Roman" w:hAnsi="Times New Roman" w:eastAsia="仿宋" w:cs="Times New Roman"/>
                <w:kern w:val="0"/>
                <w:sz w:val="24"/>
              </w:rPr>
              <w:t>）；</w:t>
            </w:r>
          </w:p>
          <w:p w14:paraId="37F67573">
            <w:pPr>
              <w:widowControl/>
              <w:shd w:val="clear" w:color="auto" w:fill="FFFFFF"/>
              <w:spacing w:line="360" w:lineRule="auto"/>
              <w:ind w:firstLine="1440" w:firstLineChars="600"/>
              <w:jc w:val="left"/>
              <w:rPr>
                <w:rFonts w:ascii="Times New Roman" w:hAnsi="Times New Roman" w:eastAsia="仿宋" w:cs="Times New Roman"/>
                <w:kern w:val="0"/>
                <w:sz w:val="24"/>
              </w:rPr>
            </w:pPr>
            <w:r>
              <w:rPr>
                <w:rFonts w:hint="eastAsia" w:ascii="Times New Roman" w:hAnsi="Times New Roman" w:eastAsia="仿宋" w:cs="Times New Roman"/>
                <w:kern w:val="0"/>
                <w:sz w:val="24"/>
              </w:rPr>
              <w:t>ΔT—日环境温度变化（即温度差）的平均值</w:t>
            </w:r>
            <w:r>
              <w:rPr>
                <w:rFonts w:ascii="Times New Roman" w:hAnsi="Times New Roman" w:eastAsia="仿宋" w:cs="Times New Roman"/>
                <w:kern w:val="0"/>
                <w:sz w:val="24"/>
              </w:rPr>
              <w:t>(℃)</w:t>
            </w:r>
            <w:r>
              <w:rPr>
                <w:rFonts w:hint="eastAsia" w:ascii="Times New Roman" w:hAnsi="Times New Roman" w:eastAsia="仿宋" w:cs="Times New Roman"/>
                <w:kern w:val="0"/>
                <w:sz w:val="24"/>
              </w:rPr>
              <w:t>；</w:t>
            </w:r>
          </w:p>
          <w:p w14:paraId="05048B75">
            <w:pPr>
              <w:widowControl/>
              <w:shd w:val="clear" w:color="auto" w:fill="FFFFFF"/>
              <w:spacing w:line="360" w:lineRule="auto"/>
              <w:ind w:firstLine="1440" w:firstLineChars="600"/>
              <w:jc w:val="left"/>
              <w:rPr>
                <w:rFonts w:ascii="Times New Roman" w:hAnsi="Times New Roman" w:eastAsia="仿宋" w:cs="Times New Roman"/>
                <w:kern w:val="0"/>
                <w:sz w:val="24"/>
              </w:rPr>
            </w:pPr>
            <w:r>
              <w:rPr>
                <w:rFonts w:ascii="Times New Roman" w:hAnsi="Times New Roman" w:eastAsia="仿宋" w:cs="Times New Roman"/>
                <w:kern w:val="0"/>
                <w:sz w:val="24"/>
              </w:rPr>
              <w:t>FP</w:t>
            </w:r>
            <w:r>
              <w:rPr>
                <w:rFonts w:hint="eastAsia" w:ascii="Times New Roman" w:hAnsi="Times New Roman" w:eastAsia="仿宋" w:cs="Times New Roman"/>
                <w:kern w:val="0"/>
                <w:sz w:val="24"/>
              </w:rPr>
              <w:t xml:space="preserve">—涂料系数（铅漆 </w:t>
            </w:r>
            <w:r>
              <w:rPr>
                <w:rFonts w:ascii="Times New Roman" w:hAnsi="Times New Roman" w:eastAsia="仿宋" w:cs="Times New Roman"/>
                <w:kern w:val="0"/>
                <w:sz w:val="24"/>
              </w:rPr>
              <w:t>Fp=1.39</w:t>
            </w:r>
            <w:r>
              <w:rPr>
                <w:rFonts w:hint="eastAsia" w:ascii="Times New Roman" w:hAnsi="Times New Roman" w:eastAsia="仿宋" w:cs="Times New Roman"/>
                <w:kern w:val="0"/>
                <w:sz w:val="24"/>
              </w:rPr>
              <w:t xml:space="preserve">，白漆 </w:t>
            </w:r>
            <w:r>
              <w:rPr>
                <w:rFonts w:ascii="Times New Roman" w:hAnsi="Times New Roman" w:eastAsia="仿宋" w:cs="Times New Roman"/>
                <w:kern w:val="0"/>
                <w:sz w:val="24"/>
              </w:rPr>
              <w:t>Fp=1.02</w:t>
            </w:r>
            <w:r>
              <w:rPr>
                <w:rFonts w:hint="eastAsia" w:ascii="Times New Roman" w:hAnsi="Times New Roman" w:eastAsia="仿宋" w:cs="Times New Roman"/>
                <w:kern w:val="0"/>
                <w:sz w:val="24"/>
              </w:rPr>
              <w:t>）；</w:t>
            </w:r>
          </w:p>
          <w:p w14:paraId="1A66B058">
            <w:pPr>
              <w:widowControl/>
              <w:shd w:val="clear" w:color="auto" w:fill="FFFFFF"/>
              <w:spacing w:line="360" w:lineRule="auto"/>
              <w:ind w:firstLine="1440" w:firstLineChars="600"/>
              <w:jc w:val="left"/>
            </w:pPr>
            <w:r>
              <w:rPr>
                <w:rFonts w:ascii="Times New Roman" w:hAnsi="Times New Roman" w:eastAsia="仿宋" w:cs="Times New Roman"/>
                <w:kern w:val="0"/>
                <w:sz w:val="24"/>
              </w:rPr>
              <w:t>C</w:t>
            </w:r>
            <w:r>
              <w:rPr>
                <w:rFonts w:hint="eastAsia" w:ascii="Times New Roman" w:hAnsi="Times New Roman" w:eastAsia="仿宋" w:cs="Times New Roman"/>
                <w:kern w:val="0"/>
                <w:sz w:val="24"/>
              </w:rPr>
              <w:t xml:space="preserve">—小直径储罐的修正系数（罐径 </w:t>
            </w:r>
            <w:r>
              <w:rPr>
                <w:rFonts w:ascii="Times New Roman" w:hAnsi="Times New Roman" w:eastAsia="仿宋" w:cs="Times New Roman"/>
                <w:kern w:val="0"/>
                <w:sz w:val="24"/>
              </w:rPr>
              <w:t>0-9m</w:t>
            </w:r>
            <w:r>
              <w:rPr>
                <w:rFonts w:hint="eastAsia" w:ascii="Times New Roman" w:hAnsi="Times New Roman" w:eastAsia="仿宋" w:cs="Times New Roman"/>
                <w:kern w:val="0"/>
                <w:sz w:val="24"/>
              </w:rPr>
              <w:t>，</w:t>
            </w:r>
            <w:r>
              <w:rPr>
                <w:rFonts w:ascii="Times New Roman" w:hAnsi="Times New Roman" w:eastAsia="仿宋" w:cs="Times New Roman"/>
                <w:kern w:val="0"/>
                <w:sz w:val="24"/>
              </w:rPr>
              <w:t>C=1-0.0123(D-9)</w:t>
            </w:r>
            <w:r>
              <w:rPr>
                <w:rFonts w:ascii="Times New Roman" w:hAnsi="Times New Roman" w:eastAsia="仿宋" w:cs="Times New Roman"/>
                <w:kern w:val="0"/>
                <w:sz w:val="24"/>
                <w:vertAlign w:val="superscript"/>
              </w:rPr>
              <w:t>2</w:t>
            </w:r>
            <w:r>
              <w:rPr>
                <w:rFonts w:hint="eastAsia" w:ascii="Times New Roman" w:hAnsi="Times New Roman" w:eastAsia="仿宋" w:cs="Times New Roman"/>
                <w:kern w:val="0"/>
                <w:sz w:val="24"/>
              </w:rPr>
              <w:t>，罐径≥</w:t>
            </w:r>
            <w:r>
              <w:rPr>
                <w:rFonts w:ascii="Times New Roman" w:hAnsi="Times New Roman" w:eastAsia="仿宋" w:cs="Times New Roman"/>
                <w:kern w:val="0"/>
                <w:sz w:val="24"/>
              </w:rPr>
              <w:t>9m</w:t>
            </w:r>
            <w:r>
              <w:rPr>
                <w:rFonts w:hint="eastAsia" w:ascii="Times New Roman" w:hAnsi="Times New Roman" w:eastAsia="仿宋" w:cs="Times New Roman"/>
                <w:kern w:val="0"/>
                <w:sz w:val="24"/>
              </w:rPr>
              <w:t>，</w:t>
            </w:r>
            <w:r>
              <w:rPr>
                <w:rFonts w:ascii="Times New Roman" w:hAnsi="Times New Roman" w:eastAsia="仿宋" w:cs="Times New Roman"/>
                <w:kern w:val="0"/>
                <w:sz w:val="24"/>
              </w:rPr>
              <w:t>C=1</w:t>
            </w:r>
            <w:r>
              <w:rPr>
                <w:rFonts w:hint="eastAsia" w:ascii="Times New Roman" w:hAnsi="Times New Roman" w:eastAsia="仿宋" w:cs="Times New Roman"/>
                <w:kern w:val="0"/>
                <w:sz w:val="24"/>
              </w:rPr>
              <w:t>）。</w:t>
            </w:r>
          </w:p>
          <w:p w14:paraId="7087D338">
            <w:pPr>
              <w:wordWrap w:val="0"/>
              <w:topLinePunct/>
              <w:spacing w:line="360" w:lineRule="auto"/>
              <w:jc w:val="center"/>
              <w:outlineLvl w:val="2"/>
              <w:rPr>
                <w:rFonts w:ascii="Times New Roman" w:hAnsi="Times New Roman" w:eastAsia="宋体" w:cs="Times New Roman"/>
                <w:b/>
                <w:bCs/>
                <w:color w:val="000000"/>
                <w:sz w:val="24"/>
              </w:rPr>
            </w:pPr>
            <w:r>
              <w:rPr>
                <w:rFonts w:ascii="Times New Roman" w:hAnsi="Times New Roman" w:eastAsia="宋体" w:cs="Times New Roman"/>
                <w:b/>
                <w:bCs/>
                <w:color w:val="000000"/>
                <w:sz w:val="24"/>
              </w:rPr>
              <w:t>表</w:t>
            </w:r>
            <w:r>
              <w:rPr>
                <w:rFonts w:hint="eastAsia" w:ascii="Times New Roman" w:hAnsi="Times New Roman" w:eastAsia="宋体" w:cs="Times New Roman"/>
                <w:b/>
                <w:bCs/>
                <w:color w:val="000000"/>
                <w:sz w:val="24"/>
              </w:rPr>
              <w:t>4-15  储罐小呼吸损耗取值</w:t>
            </w:r>
          </w:p>
          <w:tbl>
            <w:tblPr>
              <w:tblStyle w:val="29"/>
              <w:tblW w:w="80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3"/>
              <w:gridCol w:w="576"/>
              <w:gridCol w:w="683"/>
              <w:gridCol w:w="482"/>
              <w:gridCol w:w="647"/>
              <w:gridCol w:w="647"/>
              <w:gridCol w:w="647"/>
              <w:gridCol w:w="588"/>
              <w:gridCol w:w="706"/>
              <w:gridCol w:w="697"/>
            </w:tblGrid>
            <w:tr w14:paraId="591DD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363" w:type="dxa"/>
                  <w:tcBorders>
                    <w:tl2br w:val="nil"/>
                    <w:tr2bl w:val="nil"/>
                  </w:tcBorders>
                </w:tcPr>
                <w:p w14:paraId="25BEEE7A">
                  <w:pPr>
                    <w:jc w:val="center"/>
                    <w:rPr>
                      <w:rFonts w:ascii="Times New Roman" w:hAnsi="Times New Roman" w:cs="Times New Roman"/>
                      <w:b/>
                      <w:bCs/>
                      <w:szCs w:val="21"/>
                    </w:rPr>
                  </w:pPr>
                  <w:r>
                    <w:rPr>
                      <w:rFonts w:hint="eastAsia" w:ascii="Times New Roman" w:hAnsi="Times New Roman" w:cs="Times New Roman"/>
                      <w:b/>
                      <w:bCs/>
                      <w:szCs w:val="21"/>
                    </w:rPr>
                    <w:t>符号</w:t>
                  </w:r>
                </w:p>
              </w:tc>
              <w:tc>
                <w:tcPr>
                  <w:tcW w:w="576" w:type="dxa"/>
                  <w:tcBorders>
                    <w:tl2br w:val="nil"/>
                    <w:tr2bl w:val="nil"/>
                  </w:tcBorders>
                </w:tcPr>
                <w:p w14:paraId="28CF7DC9">
                  <w:pPr>
                    <w:jc w:val="center"/>
                    <w:rPr>
                      <w:rFonts w:ascii="Times New Roman" w:hAnsi="Times New Roman" w:cs="Times New Roman"/>
                      <w:b/>
                      <w:bCs/>
                      <w:szCs w:val="21"/>
                    </w:rPr>
                  </w:pPr>
                  <w:r>
                    <w:rPr>
                      <w:rFonts w:ascii="Times New Roman" w:hAnsi="Times New Roman" w:cs="Times New Roman"/>
                      <w:b/>
                      <w:bCs/>
                      <w:szCs w:val="21"/>
                    </w:rPr>
                    <w:t>KE</w:t>
                  </w:r>
                </w:p>
              </w:tc>
              <w:tc>
                <w:tcPr>
                  <w:tcW w:w="683" w:type="dxa"/>
                  <w:tcBorders>
                    <w:tl2br w:val="nil"/>
                    <w:tr2bl w:val="nil"/>
                  </w:tcBorders>
                </w:tcPr>
                <w:p w14:paraId="3B195C17">
                  <w:pPr>
                    <w:jc w:val="center"/>
                    <w:rPr>
                      <w:rFonts w:ascii="Times New Roman" w:hAnsi="Times New Roman" w:cs="Times New Roman"/>
                      <w:b/>
                      <w:bCs/>
                      <w:szCs w:val="21"/>
                    </w:rPr>
                  </w:pPr>
                  <w:r>
                    <w:rPr>
                      <w:rFonts w:ascii="Times New Roman" w:hAnsi="Times New Roman" w:cs="Times New Roman"/>
                      <w:b/>
                      <w:bCs/>
                      <w:szCs w:val="21"/>
                    </w:rPr>
                    <w:t>P</w:t>
                  </w:r>
                </w:p>
              </w:tc>
              <w:tc>
                <w:tcPr>
                  <w:tcW w:w="482" w:type="dxa"/>
                  <w:tcBorders>
                    <w:tl2br w:val="nil"/>
                    <w:tr2bl w:val="nil"/>
                  </w:tcBorders>
                </w:tcPr>
                <w:p w14:paraId="56EEB08D">
                  <w:pPr>
                    <w:jc w:val="center"/>
                    <w:rPr>
                      <w:rFonts w:ascii="Times New Roman" w:hAnsi="Times New Roman" w:cs="Times New Roman"/>
                      <w:b/>
                      <w:bCs/>
                      <w:szCs w:val="21"/>
                    </w:rPr>
                  </w:pPr>
                  <w:r>
                    <w:rPr>
                      <w:rFonts w:ascii="Times New Roman" w:hAnsi="Times New Roman" w:cs="Times New Roman"/>
                      <w:b/>
                      <w:bCs/>
                      <w:szCs w:val="21"/>
                    </w:rPr>
                    <w:t>V</w:t>
                  </w:r>
                </w:p>
              </w:tc>
              <w:tc>
                <w:tcPr>
                  <w:tcW w:w="647" w:type="dxa"/>
                  <w:tcBorders>
                    <w:tl2br w:val="nil"/>
                    <w:tr2bl w:val="nil"/>
                  </w:tcBorders>
                </w:tcPr>
                <w:p w14:paraId="1DF7F508">
                  <w:pPr>
                    <w:jc w:val="center"/>
                    <w:rPr>
                      <w:rFonts w:ascii="Times New Roman" w:hAnsi="Times New Roman" w:cs="Times New Roman"/>
                      <w:b/>
                      <w:bCs/>
                      <w:color w:val="FF0000"/>
                      <w:szCs w:val="21"/>
                      <w:highlight w:val="yellow"/>
                    </w:rPr>
                  </w:pPr>
                  <w:r>
                    <w:rPr>
                      <w:rFonts w:ascii="Times New Roman" w:hAnsi="Times New Roman" w:cs="Times New Roman"/>
                      <w:b/>
                      <w:bCs/>
                      <w:color w:val="FF0000"/>
                      <w:szCs w:val="21"/>
                      <w:highlight w:val="yellow"/>
                    </w:rPr>
                    <w:t>D</w:t>
                  </w:r>
                </w:p>
              </w:tc>
              <w:tc>
                <w:tcPr>
                  <w:tcW w:w="647" w:type="dxa"/>
                  <w:tcBorders>
                    <w:tl2br w:val="nil"/>
                    <w:tr2bl w:val="nil"/>
                  </w:tcBorders>
                </w:tcPr>
                <w:p w14:paraId="4C7FE549">
                  <w:pPr>
                    <w:jc w:val="center"/>
                    <w:rPr>
                      <w:rFonts w:ascii="Times New Roman" w:hAnsi="Times New Roman" w:cs="Times New Roman"/>
                      <w:b/>
                      <w:bCs/>
                      <w:color w:val="FF0000"/>
                      <w:szCs w:val="21"/>
                      <w:highlight w:val="yellow"/>
                    </w:rPr>
                  </w:pPr>
                  <w:r>
                    <w:rPr>
                      <w:rFonts w:ascii="Times New Roman" w:hAnsi="Times New Roman" w:cs="Times New Roman"/>
                      <w:b/>
                      <w:bCs/>
                      <w:color w:val="FF0000"/>
                      <w:szCs w:val="21"/>
                      <w:highlight w:val="yellow"/>
                    </w:rPr>
                    <w:t>H</w:t>
                  </w:r>
                </w:p>
              </w:tc>
              <w:tc>
                <w:tcPr>
                  <w:tcW w:w="647" w:type="dxa"/>
                  <w:tcBorders>
                    <w:tl2br w:val="nil"/>
                    <w:tr2bl w:val="nil"/>
                  </w:tcBorders>
                </w:tcPr>
                <w:p w14:paraId="618BEFE5">
                  <w:pPr>
                    <w:jc w:val="center"/>
                    <w:rPr>
                      <w:rFonts w:ascii="Times New Roman" w:hAnsi="Times New Roman" w:cs="Times New Roman"/>
                      <w:b/>
                      <w:bCs/>
                      <w:szCs w:val="21"/>
                    </w:rPr>
                  </w:pPr>
                  <w:r>
                    <w:rPr>
                      <w:rFonts w:hint="eastAsia" w:ascii="Times New Roman" w:hAnsi="Times New Roman" w:eastAsia="仿宋" w:cs="Times New Roman"/>
                      <w:kern w:val="0"/>
                      <w:sz w:val="24"/>
                    </w:rPr>
                    <w:t>ΔT</w:t>
                  </w:r>
                </w:p>
              </w:tc>
              <w:tc>
                <w:tcPr>
                  <w:tcW w:w="588" w:type="dxa"/>
                  <w:tcBorders>
                    <w:tl2br w:val="nil"/>
                    <w:tr2bl w:val="nil"/>
                  </w:tcBorders>
                </w:tcPr>
                <w:p w14:paraId="507EFDE1">
                  <w:pPr>
                    <w:jc w:val="center"/>
                    <w:rPr>
                      <w:rFonts w:ascii="Times New Roman" w:hAnsi="Times New Roman" w:cs="Times New Roman"/>
                      <w:b/>
                      <w:bCs/>
                      <w:szCs w:val="21"/>
                    </w:rPr>
                  </w:pPr>
                  <w:r>
                    <w:rPr>
                      <w:rFonts w:ascii="Times New Roman" w:hAnsi="Times New Roman" w:cs="Times New Roman"/>
                      <w:b/>
                      <w:bCs/>
                      <w:szCs w:val="21"/>
                    </w:rPr>
                    <w:t>EP</w:t>
                  </w:r>
                </w:p>
              </w:tc>
              <w:tc>
                <w:tcPr>
                  <w:tcW w:w="706" w:type="dxa"/>
                  <w:tcBorders>
                    <w:tl2br w:val="nil"/>
                    <w:tr2bl w:val="nil"/>
                  </w:tcBorders>
                </w:tcPr>
                <w:p w14:paraId="32DE8AD6">
                  <w:pPr>
                    <w:jc w:val="center"/>
                    <w:rPr>
                      <w:rFonts w:ascii="Times New Roman" w:hAnsi="Times New Roman" w:cs="Times New Roman"/>
                      <w:b/>
                      <w:bCs/>
                      <w:szCs w:val="21"/>
                    </w:rPr>
                  </w:pPr>
                  <w:r>
                    <w:rPr>
                      <w:rFonts w:ascii="Times New Roman" w:hAnsi="Times New Roman" w:cs="Times New Roman"/>
                      <w:b/>
                      <w:bCs/>
                      <w:szCs w:val="21"/>
                    </w:rPr>
                    <w:t>C</w:t>
                  </w:r>
                </w:p>
              </w:tc>
              <w:tc>
                <w:tcPr>
                  <w:tcW w:w="697" w:type="dxa"/>
                  <w:tcBorders>
                    <w:tl2br w:val="nil"/>
                    <w:tr2bl w:val="nil"/>
                  </w:tcBorders>
                </w:tcPr>
                <w:p w14:paraId="1E811560">
                  <w:pPr>
                    <w:jc w:val="center"/>
                    <w:rPr>
                      <w:rFonts w:ascii="Times New Roman" w:hAnsi="Times New Roman" w:cs="Times New Roman"/>
                      <w:b/>
                      <w:bCs/>
                      <w:szCs w:val="21"/>
                    </w:rPr>
                  </w:pPr>
                  <w:r>
                    <w:rPr>
                      <w:rFonts w:ascii="Times New Roman" w:hAnsi="Times New Roman" w:cs="Times New Roman"/>
                      <w:b/>
                      <w:bCs/>
                      <w:szCs w:val="21"/>
                    </w:rPr>
                    <w:t>Lps</w:t>
                  </w:r>
                </w:p>
              </w:tc>
            </w:tr>
            <w:tr w14:paraId="72D45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363" w:type="dxa"/>
                  <w:tcBorders>
                    <w:tl2br w:val="nil"/>
                    <w:tr2bl w:val="nil"/>
                  </w:tcBorders>
                </w:tcPr>
                <w:p w14:paraId="67F53C7D">
                  <w:pPr>
                    <w:jc w:val="center"/>
                    <w:rPr>
                      <w:rFonts w:ascii="Times New Roman" w:hAnsi="Times New Roman" w:cs="Times New Roman"/>
                      <w:szCs w:val="21"/>
                    </w:rPr>
                  </w:pPr>
                  <w:r>
                    <w:rPr>
                      <w:rFonts w:hint="eastAsia" w:ascii="Times New Roman" w:hAnsi="Times New Roman" w:cs="Times New Roman"/>
                      <w:szCs w:val="21"/>
                    </w:rPr>
                    <w:t>1个50m</w:t>
                  </w:r>
                  <w:r>
                    <w:rPr>
                      <w:rFonts w:hint="eastAsia" w:ascii="Times New Roman" w:hAnsi="Times New Roman" w:cs="Times New Roman"/>
                      <w:szCs w:val="21"/>
                      <w:vertAlign w:val="superscript"/>
                    </w:rPr>
                    <w:t>3</w:t>
                  </w:r>
                  <w:r>
                    <w:rPr>
                      <w:rFonts w:hint="eastAsia" w:ascii="Times New Roman" w:hAnsi="Times New Roman" w:cs="Times New Roman"/>
                      <w:szCs w:val="21"/>
                    </w:rPr>
                    <w:t>卧式精钢储罐</w:t>
                  </w:r>
                </w:p>
              </w:tc>
              <w:tc>
                <w:tcPr>
                  <w:tcW w:w="576" w:type="dxa"/>
                  <w:tcBorders>
                    <w:tl2br w:val="nil"/>
                    <w:tr2bl w:val="nil"/>
                  </w:tcBorders>
                  <w:vAlign w:val="center"/>
                </w:tcPr>
                <w:p w14:paraId="461E7C99">
                  <w:pPr>
                    <w:jc w:val="center"/>
                    <w:rPr>
                      <w:rFonts w:ascii="Times New Roman" w:hAnsi="Times New Roman" w:cs="Times New Roman"/>
                      <w:szCs w:val="21"/>
                    </w:rPr>
                  </w:pPr>
                  <w:r>
                    <w:rPr>
                      <w:rFonts w:ascii="Times New Roman" w:hAnsi="Times New Roman" w:cs="Times New Roman"/>
                      <w:szCs w:val="21"/>
                    </w:rPr>
                    <w:t>24</w:t>
                  </w:r>
                </w:p>
              </w:tc>
              <w:tc>
                <w:tcPr>
                  <w:tcW w:w="683" w:type="dxa"/>
                  <w:tcBorders>
                    <w:tl2br w:val="nil"/>
                    <w:tr2bl w:val="nil"/>
                  </w:tcBorders>
                  <w:vAlign w:val="center"/>
                </w:tcPr>
                <w:p w14:paraId="1A9ED6B8">
                  <w:pPr>
                    <w:jc w:val="center"/>
                    <w:rPr>
                      <w:rFonts w:ascii="Times New Roman" w:hAnsi="Times New Roman" w:cs="Times New Roman"/>
                      <w:szCs w:val="21"/>
                    </w:rPr>
                  </w:pPr>
                  <w:r>
                    <w:rPr>
                      <w:rFonts w:hint="eastAsia" w:ascii="Times New Roman" w:hAnsi="Times New Roman" w:cs="Times New Roman"/>
                      <w:color w:val="FF0000"/>
                      <w:szCs w:val="21"/>
                      <w:highlight w:val="yellow"/>
                    </w:rPr>
                    <w:t>1460</w:t>
                  </w:r>
                </w:p>
              </w:tc>
              <w:tc>
                <w:tcPr>
                  <w:tcW w:w="482" w:type="dxa"/>
                  <w:tcBorders>
                    <w:tl2br w:val="nil"/>
                    <w:tr2bl w:val="nil"/>
                  </w:tcBorders>
                  <w:vAlign w:val="center"/>
                </w:tcPr>
                <w:p w14:paraId="5AA02237">
                  <w:pPr>
                    <w:jc w:val="center"/>
                    <w:rPr>
                      <w:rFonts w:ascii="Times New Roman" w:hAnsi="Times New Roman" w:cs="Times New Roman"/>
                      <w:szCs w:val="21"/>
                    </w:rPr>
                  </w:pPr>
                  <w:r>
                    <w:rPr>
                      <w:rFonts w:ascii="Times New Roman" w:hAnsi="Times New Roman" w:cs="Times New Roman"/>
                      <w:szCs w:val="21"/>
                    </w:rPr>
                    <w:t>1.2</w:t>
                  </w:r>
                </w:p>
              </w:tc>
              <w:tc>
                <w:tcPr>
                  <w:tcW w:w="647" w:type="dxa"/>
                  <w:tcBorders>
                    <w:tl2br w:val="nil"/>
                    <w:tr2bl w:val="nil"/>
                  </w:tcBorders>
                  <w:vAlign w:val="center"/>
                </w:tcPr>
                <w:p w14:paraId="4C4D7BDC">
                  <w:pPr>
                    <w:jc w:val="center"/>
                    <w:rPr>
                      <w:rFonts w:ascii="Times New Roman" w:hAnsi="Times New Roman" w:cs="Times New Roman"/>
                      <w:color w:val="FF0000"/>
                      <w:szCs w:val="21"/>
                      <w:highlight w:val="yellow"/>
                    </w:rPr>
                  </w:pPr>
                  <w:r>
                    <w:rPr>
                      <w:rFonts w:hint="eastAsia" w:ascii="Times New Roman" w:hAnsi="Times New Roman" w:cs="Times New Roman"/>
                      <w:color w:val="FF0000"/>
                      <w:szCs w:val="21"/>
                      <w:highlight w:val="yellow"/>
                    </w:rPr>
                    <w:t>4.14</w:t>
                  </w:r>
                </w:p>
              </w:tc>
              <w:tc>
                <w:tcPr>
                  <w:tcW w:w="647" w:type="dxa"/>
                  <w:tcBorders>
                    <w:tl2br w:val="nil"/>
                    <w:tr2bl w:val="nil"/>
                  </w:tcBorders>
                  <w:vAlign w:val="center"/>
                </w:tcPr>
                <w:p w14:paraId="539585A1">
                  <w:pPr>
                    <w:jc w:val="center"/>
                    <w:rPr>
                      <w:rFonts w:ascii="Times New Roman" w:hAnsi="Times New Roman" w:cs="Times New Roman"/>
                      <w:color w:val="FF0000"/>
                      <w:szCs w:val="21"/>
                      <w:highlight w:val="yellow"/>
                    </w:rPr>
                  </w:pPr>
                  <w:r>
                    <w:rPr>
                      <w:rFonts w:hint="eastAsia" w:ascii="Times New Roman" w:hAnsi="Times New Roman" w:cs="Times New Roman"/>
                      <w:color w:val="FF0000"/>
                      <w:szCs w:val="21"/>
                      <w:highlight w:val="yellow"/>
                    </w:rPr>
                    <w:t>0.19</w:t>
                  </w:r>
                </w:p>
              </w:tc>
              <w:tc>
                <w:tcPr>
                  <w:tcW w:w="647" w:type="dxa"/>
                  <w:tcBorders>
                    <w:tl2br w:val="nil"/>
                    <w:tr2bl w:val="nil"/>
                  </w:tcBorders>
                  <w:vAlign w:val="center"/>
                </w:tcPr>
                <w:p w14:paraId="2A34621B">
                  <w:pPr>
                    <w:jc w:val="center"/>
                    <w:rPr>
                      <w:rFonts w:ascii="Times New Roman" w:hAnsi="Times New Roman" w:cs="Times New Roman"/>
                      <w:szCs w:val="21"/>
                    </w:rPr>
                  </w:pPr>
                  <w:r>
                    <w:rPr>
                      <w:rFonts w:hint="eastAsia" w:ascii="Times New Roman" w:hAnsi="Times New Roman" w:cs="Times New Roman"/>
                      <w:szCs w:val="21"/>
                    </w:rPr>
                    <w:t>15</w:t>
                  </w:r>
                </w:p>
              </w:tc>
              <w:tc>
                <w:tcPr>
                  <w:tcW w:w="588" w:type="dxa"/>
                  <w:tcBorders>
                    <w:tl2br w:val="nil"/>
                    <w:tr2bl w:val="nil"/>
                  </w:tcBorders>
                  <w:vAlign w:val="center"/>
                </w:tcPr>
                <w:p w14:paraId="36A47FE0">
                  <w:pPr>
                    <w:jc w:val="center"/>
                    <w:rPr>
                      <w:rFonts w:ascii="Times New Roman" w:hAnsi="Times New Roman" w:cs="Times New Roman"/>
                      <w:szCs w:val="21"/>
                    </w:rPr>
                  </w:pPr>
                  <w:r>
                    <w:rPr>
                      <w:rFonts w:hint="eastAsia" w:ascii="Times New Roman" w:hAnsi="Times New Roman" w:cs="Times New Roman"/>
                      <w:szCs w:val="21"/>
                    </w:rPr>
                    <w:t>1.02</w:t>
                  </w:r>
                </w:p>
              </w:tc>
              <w:tc>
                <w:tcPr>
                  <w:tcW w:w="706" w:type="dxa"/>
                  <w:tcBorders>
                    <w:tl2br w:val="nil"/>
                    <w:tr2bl w:val="nil"/>
                  </w:tcBorders>
                  <w:vAlign w:val="center"/>
                </w:tcPr>
                <w:p w14:paraId="5FCA7496">
                  <w:pPr>
                    <w:jc w:val="center"/>
                    <w:rPr>
                      <w:rFonts w:ascii="Times New Roman" w:hAnsi="Times New Roman" w:cs="Times New Roman"/>
                      <w:szCs w:val="21"/>
                    </w:rPr>
                  </w:pPr>
                  <w:r>
                    <w:rPr>
                      <w:rFonts w:hint="eastAsia" w:ascii="Times New Roman" w:hAnsi="Times New Roman" w:cs="Times New Roman"/>
                      <w:szCs w:val="21"/>
                    </w:rPr>
                    <w:t>0.710</w:t>
                  </w:r>
                </w:p>
              </w:tc>
              <w:tc>
                <w:tcPr>
                  <w:tcW w:w="697" w:type="dxa"/>
                  <w:tcBorders>
                    <w:tl2br w:val="nil"/>
                    <w:tr2bl w:val="nil"/>
                  </w:tcBorders>
                  <w:vAlign w:val="center"/>
                </w:tcPr>
                <w:p w14:paraId="74E791E1">
                  <w:pPr>
                    <w:jc w:val="center"/>
                    <w:rPr>
                      <w:rFonts w:ascii="Times New Roman" w:hAnsi="Times New Roman" w:cs="Times New Roman"/>
                      <w:szCs w:val="21"/>
                    </w:rPr>
                  </w:pPr>
                  <w:r>
                    <w:rPr>
                      <w:rFonts w:hint="eastAsia" w:ascii="Times New Roman" w:hAnsi="Times New Roman" w:cs="Times New Roman"/>
                      <w:szCs w:val="21"/>
                    </w:rPr>
                    <w:t>0.254</w:t>
                  </w:r>
                </w:p>
              </w:tc>
            </w:tr>
            <w:tr w14:paraId="225F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7339" w:type="dxa"/>
                  <w:gridSpan w:val="9"/>
                  <w:tcBorders>
                    <w:tl2br w:val="nil"/>
                    <w:tr2bl w:val="nil"/>
                  </w:tcBorders>
                </w:tcPr>
                <w:p w14:paraId="579ED567">
                  <w:pPr>
                    <w:jc w:val="center"/>
                    <w:rPr>
                      <w:rFonts w:ascii="Times New Roman" w:hAnsi="Times New Roman" w:cs="Times New Roman"/>
                      <w:szCs w:val="21"/>
                    </w:rPr>
                  </w:pPr>
                  <w:r>
                    <w:rPr>
                      <w:rFonts w:hint="eastAsia" w:ascii="Times New Roman" w:hAnsi="Times New Roman" w:cs="Times New Roman"/>
                      <w:szCs w:val="21"/>
                    </w:rPr>
                    <w:t>7个50m</w:t>
                  </w:r>
                  <w:r>
                    <w:rPr>
                      <w:rFonts w:hint="eastAsia" w:ascii="Times New Roman" w:hAnsi="Times New Roman" w:cs="Times New Roman"/>
                      <w:szCs w:val="21"/>
                      <w:vertAlign w:val="superscript"/>
                    </w:rPr>
                    <w:t>3</w:t>
                  </w:r>
                  <w:r>
                    <w:rPr>
                      <w:rFonts w:hint="eastAsia" w:ascii="Times New Roman" w:hAnsi="Times New Roman" w:cs="Times New Roman"/>
                      <w:szCs w:val="21"/>
                    </w:rPr>
                    <w:t>卧式精钢储罐</w:t>
                  </w:r>
                </w:p>
              </w:tc>
              <w:tc>
                <w:tcPr>
                  <w:tcW w:w="697" w:type="dxa"/>
                  <w:tcBorders>
                    <w:tl2br w:val="nil"/>
                    <w:tr2bl w:val="nil"/>
                  </w:tcBorders>
                  <w:vAlign w:val="center"/>
                </w:tcPr>
                <w:p w14:paraId="036DB25A">
                  <w:pPr>
                    <w:jc w:val="center"/>
                    <w:rPr>
                      <w:rFonts w:ascii="Times New Roman" w:hAnsi="Times New Roman" w:cs="Times New Roman"/>
                      <w:szCs w:val="21"/>
                    </w:rPr>
                  </w:pPr>
                  <w:r>
                    <w:rPr>
                      <w:rFonts w:hint="eastAsia" w:ascii="Times New Roman" w:hAnsi="Times New Roman" w:cs="Times New Roman"/>
                      <w:szCs w:val="21"/>
                    </w:rPr>
                    <w:t>1.78</w:t>
                  </w:r>
                </w:p>
              </w:tc>
            </w:tr>
            <w:tr w14:paraId="5ECDE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63" w:type="dxa"/>
                  <w:tcBorders>
                    <w:tl2br w:val="nil"/>
                    <w:tr2bl w:val="nil"/>
                  </w:tcBorders>
                </w:tcPr>
                <w:p w14:paraId="5494A0E3">
                  <w:pPr>
                    <w:jc w:val="center"/>
                    <w:rPr>
                      <w:rFonts w:ascii="Times New Roman" w:hAnsi="Times New Roman" w:cs="Times New Roman"/>
                      <w:szCs w:val="21"/>
                    </w:rPr>
                  </w:pPr>
                  <w:r>
                    <w:rPr>
                      <w:rFonts w:hint="eastAsia" w:ascii="Times New Roman" w:hAnsi="Times New Roman" w:cs="Times New Roman"/>
                      <w:szCs w:val="21"/>
                    </w:rPr>
                    <w:t>1座一座单体1000t精钢立式储罐</w:t>
                  </w:r>
                </w:p>
              </w:tc>
              <w:tc>
                <w:tcPr>
                  <w:tcW w:w="576" w:type="dxa"/>
                  <w:tcBorders>
                    <w:tl2br w:val="nil"/>
                    <w:tr2bl w:val="nil"/>
                  </w:tcBorders>
                  <w:vAlign w:val="center"/>
                </w:tcPr>
                <w:p w14:paraId="64ECF4C9">
                  <w:pPr>
                    <w:jc w:val="center"/>
                    <w:rPr>
                      <w:rFonts w:ascii="Times New Roman" w:hAnsi="Times New Roman" w:cs="Times New Roman"/>
                      <w:color w:val="FF0000"/>
                      <w:szCs w:val="21"/>
                    </w:rPr>
                  </w:pPr>
                  <w:r>
                    <w:rPr>
                      <w:rFonts w:hint="eastAsia" w:ascii="Times New Roman" w:hAnsi="Times New Roman" w:cs="Times New Roman"/>
                      <w:szCs w:val="21"/>
                    </w:rPr>
                    <w:t>24</w:t>
                  </w:r>
                </w:p>
              </w:tc>
              <w:tc>
                <w:tcPr>
                  <w:tcW w:w="683" w:type="dxa"/>
                  <w:tcBorders>
                    <w:tl2br w:val="nil"/>
                    <w:tr2bl w:val="nil"/>
                  </w:tcBorders>
                  <w:vAlign w:val="center"/>
                </w:tcPr>
                <w:p w14:paraId="7177B86E">
                  <w:pPr>
                    <w:jc w:val="center"/>
                    <w:rPr>
                      <w:rFonts w:ascii="Times New Roman" w:hAnsi="Times New Roman" w:cs="Times New Roman"/>
                      <w:szCs w:val="21"/>
                    </w:rPr>
                  </w:pPr>
                  <w:r>
                    <w:rPr>
                      <w:rFonts w:hint="eastAsia" w:ascii="Times New Roman" w:hAnsi="Times New Roman" w:cs="Times New Roman"/>
                      <w:color w:val="FF0000"/>
                      <w:szCs w:val="21"/>
                      <w:highlight w:val="yellow"/>
                    </w:rPr>
                    <w:t>1460</w:t>
                  </w:r>
                </w:p>
              </w:tc>
              <w:tc>
                <w:tcPr>
                  <w:tcW w:w="482" w:type="dxa"/>
                  <w:tcBorders>
                    <w:tl2br w:val="nil"/>
                    <w:tr2bl w:val="nil"/>
                  </w:tcBorders>
                  <w:vAlign w:val="center"/>
                </w:tcPr>
                <w:p w14:paraId="18EB4601">
                  <w:pPr>
                    <w:jc w:val="center"/>
                    <w:rPr>
                      <w:rFonts w:ascii="Times New Roman" w:hAnsi="Times New Roman" w:cs="Times New Roman"/>
                      <w:szCs w:val="21"/>
                    </w:rPr>
                  </w:pPr>
                  <w:r>
                    <w:rPr>
                      <w:rFonts w:hint="eastAsia" w:ascii="Times New Roman" w:hAnsi="Times New Roman" w:cs="Times New Roman"/>
                      <w:szCs w:val="21"/>
                    </w:rPr>
                    <w:t>1.2</w:t>
                  </w:r>
                </w:p>
              </w:tc>
              <w:tc>
                <w:tcPr>
                  <w:tcW w:w="647" w:type="dxa"/>
                  <w:tcBorders>
                    <w:tl2br w:val="nil"/>
                    <w:tr2bl w:val="nil"/>
                  </w:tcBorders>
                  <w:vAlign w:val="center"/>
                </w:tcPr>
                <w:p w14:paraId="14E95986">
                  <w:pPr>
                    <w:jc w:val="center"/>
                    <w:rPr>
                      <w:rFonts w:ascii="Times New Roman" w:hAnsi="Times New Roman" w:cs="Times New Roman"/>
                      <w:color w:val="FF0000"/>
                      <w:szCs w:val="21"/>
                      <w:highlight w:val="yellow"/>
                    </w:rPr>
                  </w:pPr>
                  <w:r>
                    <w:rPr>
                      <w:rFonts w:hint="eastAsia" w:ascii="Times New Roman" w:hAnsi="Times New Roman" w:cs="Times New Roman"/>
                      <w:color w:val="FF0000"/>
                      <w:szCs w:val="21"/>
                      <w:highlight w:val="yellow"/>
                    </w:rPr>
                    <w:t>10.8</w:t>
                  </w:r>
                </w:p>
              </w:tc>
              <w:tc>
                <w:tcPr>
                  <w:tcW w:w="647" w:type="dxa"/>
                  <w:tcBorders>
                    <w:tl2br w:val="nil"/>
                    <w:tr2bl w:val="nil"/>
                  </w:tcBorders>
                  <w:vAlign w:val="center"/>
                </w:tcPr>
                <w:p w14:paraId="571C3641">
                  <w:pPr>
                    <w:jc w:val="center"/>
                    <w:rPr>
                      <w:rFonts w:ascii="Times New Roman" w:hAnsi="Times New Roman" w:cs="Times New Roman"/>
                      <w:color w:val="FF0000"/>
                      <w:szCs w:val="21"/>
                      <w:highlight w:val="yellow"/>
                    </w:rPr>
                  </w:pPr>
                  <w:r>
                    <w:rPr>
                      <w:rFonts w:hint="eastAsia" w:ascii="Times New Roman" w:hAnsi="Times New Roman" w:cs="Times New Roman"/>
                      <w:color w:val="FF0000"/>
                      <w:szCs w:val="21"/>
                      <w:highlight w:val="yellow"/>
                    </w:rPr>
                    <w:t>5.5</w:t>
                  </w:r>
                </w:p>
              </w:tc>
              <w:tc>
                <w:tcPr>
                  <w:tcW w:w="647" w:type="dxa"/>
                  <w:tcBorders>
                    <w:tl2br w:val="nil"/>
                    <w:tr2bl w:val="nil"/>
                  </w:tcBorders>
                  <w:vAlign w:val="center"/>
                </w:tcPr>
                <w:p w14:paraId="705A4DE0">
                  <w:pPr>
                    <w:jc w:val="center"/>
                    <w:rPr>
                      <w:rFonts w:ascii="Times New Roman" w:hAnsi="Times New Roman" w:cs="Times New Roman"/>
                      <w:szCs w:val="21"/>
                    </w:rPr>
                  </w:pPr>
                  <w:r>
                    <w:rPr>
                      <w:rFonts w:hint="eastAsia" w:ascii="Times New Roman" w:hAnsi="Times New Roman" w:cs="Times New Roman"/>
                      <w:szCs w:val="21"/>
                    </w:rPr>
                    <w:t>15</w:t>
                  </w:r>
                </w:p>
              </w:tc>
              <w:tc>
                <w:tcPr>
                  <w:tcW w:w="588" w:type="dxa"/>
                  <w:tcBorders>
                    <w:tl2br w:val="nil"/>
                    <w:tr2bl w:val="nil"/>
                  </w:tcBorders>
                  <w:vAlign w:val="center"/>
                </w:tcPr>
                <w:p w14:paraId="536A8AA7">
                  <w:pPr>
                    <w:jc w:val="center"/>
                    <w:rPr>
                      <w:rFonts w:ascii="Times New Roman" w:hAnsi="Times New Roman" w:cs="Times New Roman"/>
                      <w:szCs w:val="21"/>
                    </w:rPr>
                  </w:pPr>
                  <w:r>
                    <w:rPr>
                      <w:rFonts w:hint="eastAsia" w:ascii="Times New Roman" w:hAnsi="Times New Roman" w:cs="Times New Roman"/>
                      <w:szCs w:val="21"/>
                    </w:rPr>
                    <w:t>1.39</w:t>
                  </w:r>
                </w:p>
              </w:tc>
              <w:tc>
                <w:tcPr>
                  <w:tcW w:w="706" w:type="dxa"/>
                  <w:tcBorders>
                    <w:tl2br w:val="nil"/>
                    <w:tr2bl w:val="nil"/>
                  </w:tcBorders>
                  <w:vAlign w:val="center"/>
                </w:tcPr>
                <w:p w14:paraId="3956014F">
                  <w:pPr>
                    <w:jc w:val="center"/>
                    <w:rPr>
                      <w:rFonts w:ascii="Times New Roman" w:hAnsi="Times New Roman" w:cs="Times New Roman"/>
                      <w:szCs w:val="21"/>
                    </w:rPr>
                  </w:pPr>
                  <w:r>
                    <w:rPr>
                      <w:rFonts w:hint="eastAsia" w:ascii="Times New Roman" w:hAnsi="Times New Roman" w:cs="Times New Roman"/>
                      <w:szCs w:val="21"/>
                    </w:rPr>
                    <w:t>1</w:t>
                  </w:r>
                </w:p>
              </w:tc>
              <w:tc>
                <w:tcPr>
                  <w:tcW w:w="697" w:type="dxa"/>
                  <w:tcBorders>
                    <w:tl2br w:val="nil"/>
                    <w:tr2bl w:val="nil"/>
                  </w:tcBorders>
                  <w:vAlign w:val="center"/>
                </w:tcPr>
                <w:p w14:paraId="337D08F8">
                  <w:pPr>
                    <w:jc w:val="center"/>
                    <w:rPr>
                      <w:rFonts w:ascii="Times New Roman" w:hAnsi="Times New Roman" w:cs="Times New Roman"/>
                      <w:szCs w:val="21"/>
                    </w:rPr>
                  </w:pPr>
                  <w:r>
                    <w:rPr>
                      <w:rFonts w:hint="eastAsia" w:ascii="Times New Roman" w:hAnsi="Times New Roman" w:cs="Times New Roman"/>
                      <w:szCs w:val="21"/>
                    </w:rPr>
                    <w:t>14.29</w:t>
                  </w:r>
                </w:p>
              </w:tc>
            </w:tr>
            <w:tr w14:paraId="61C1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36" w:type="dxa"/>
                  <w:gridSpan w:val="10"/>
                  <w:tcBorders>
                    <w:tl2br w:val="nil"/>
                    <w:tr2bl w:val="nil"/>
                  </w:tcBorders>
                </w:tcPr>
                <w:p w14:paraId="1B31D4E6">
                  <w:pPr>
                    <w:widowControl/>
                    <w:jc w:val="left"/>
                    <w:rPr>
                      <w:rFonts w:ascii="Times New Roman" w:hAnsi="Times New Roman" w:cs="Times New Roman"/>
                      <w:szCs w:val="21"/>
                    </w:rPr>
                  </w:pPr>
                  <w:r>
                    <w:rPr>
                      <w:rFonts w:hint="eastAsia" w:ascii="Times New Roman" w:hAnsi="Times New Roman" w:cs="Times New Roman"/>
                      <w:color w:val="FF0000"/>
                      <w:szCs w:val="21"/>
                      <w:highlight w:val="yellow"/>
                    </w:rPr>
                    <w:t>注：50m</w:t>
                  </w:r>
                  <w:r>
                    <w:rPr>
                      <w:rFonts w:hint="eastAsia" w:ascii="Times New Roman" w:hAnsi="Times New Roman" w:cs="Times New Roman"/>
                      <w:color w:val="FF0000"/>
                      <w:szCs w:val="21"/>
                      <w:highlight w:val="yellow"/>
                      <w:vertAlign w:val="superscript"/>
                    </w:rPr>
                    <w:t>3</w:t>
                  </w:r>
                  <w:r>
                    <w:rPr>
                      <w:rFonts w:hint="eastAsia" w:ascii="Times New Roman" w:hAnsi="Times New Roman" w:cs="Times New Roman"/>
                      <w:color w:val="FF0000"/>
                      <w:szCs w:val="21"/>
                      <w:highlight w:val="yellow"/>
                    </w:rPr>
                    <w:t>卧式精钢储罐</w:t>
                  </w:r>
                  <w:r>
                    <w:rPr>
                      <w:rFonts w:ascii="Times New Roman" w:hAnsi="Times New Roman" w:cs="Times New Roman"/>
                      <w:color w:val="FF0000"/>
                      <w:szCs w:val="21"/>
                      <w:highlight w:val="yellow"/>
                    </w:rPr>
                    <w:t>D</w:t>
                  </w:r>
                  <w:r>
                    <w:rPr>
                      <w:rFonts w:hint="eastAsia" w:ascii="Times New Roman" w:hAnsi="Times New Roman" w:cs="Times New Roman"/>
                      <w:color w:val="FF0000"/>
                      <w:szCs w:val="21"/>
                      <w:highlight w:val="yellow"/>
                    </w:rPr>
                    <w:t>（</w:t>
                  </w:r>
                  <w:r>
                    <w:rPr>
                      <w:rFonts w:ascii="KaTeX_Math" w:hAnsi="KaTeX_Math" w:eastAsia="KaTeX_Math" w:cs="KaTeX_Math"/>
                      <w:i/>
                      <w:iCs/>
                      <w:color w:val="FF0000"/>
                      <w:kern w:val="0"/>
                      <w:sz w:val="24"/>
                      <w:highlight w:val="yellow"/>
                      <w:lang w:bidi="ar"/>
                    </w:rPr>
                    <w:t>D</w:t>
                  </w:r>
                  <w:r>
                    <w:rPr>
                      <w:rFonts w:ascii="KaTeX_Math" w:hAnsi="KaTeX_Math" w:eastAsia="KaTeX_Math" w:cs="KaTeX_Math"/>
                      <w:i/>
                      <w:iCs/>
                      <w:color w:val="FF0000"/>
                      <w:kern w:val="0"/>
                      <w:sz w:val="14"/>
                      <w:szCs w:val="14"/>
                      <w:highlight w:val="yellow"/>
                      <w:lang w:bidi="ar"/>
                    </w:rPr>
                    <w:t>eff</w:t>
                  </w:r>
                  <w:r>
                    <w:rPr>
                      <w:rFonts w:ascii="宋体" w:hAnsi="宋体" w:eastAsia="宋体" w:cs="宋体"/>
                      <w:color w:val="FF0000"/>
                      <w:kern w:val="0"/>
                      <w:sz w:val="2"/>
                      <w:szCs w:val="2"/>
                      <w:highlight w:val="yellow"/>
                      <w:lang w:bidi="ar"/>
                    </w:rPr>
                    <w:t>​</w:t>
                  </w:r>
                  <w:r>
                    <w:rPr>
                      <w:rFonts w:hint="eastAsia" w:ascii="Times New Roman" w:hAnsi="Times New Roman" w:cs="Times New Roman"/>
                      <w:color w:val="FF0000"/>
                      <w:szCs w:val="21"/>
                      <w:highlight w:val="yellow"/>
                    </w:rPr>
                    <w:t>）、</w:t>
                  </w:r>
                  <w:r>
                    <w:rPr>
                      <w:rFonts w:ascii="Times New Roman" w:hAnsi="Times New Roman" w:cs="Times New Roman"/>
                      <w:color w:val="FF0000"/>
                      <w:szCs w:val="21"/>
                      <w:highlight w:val="yellow"/>
                    </w:rPr>
                    <w:t>H</w:t>
                  </w:r>
                  <w:r>
                    <w:rPr>
                      <w:rFonts w:hint="eastAsia" w:ascii="Times New Roman" w:hAnsi="Times New Roman" w:cs="Times New Roman"/>
                      <w:color w:val="FF0000"/>
                      <w:szCs w:val="21"/>
                      <w:highlight w:val="yellow"/>
                    </w:rPr>
                    <w:t>（</w:t>
                  </w:r>
                  <w:r>
                    <w:rPr>
                      <w:rFonts w:ascii="KaTeX_Math" w:hAnsi="KaTeX_Math" w:eastAsia="KaTeX_Math" w:cs="KaTeX_Math"/>
                      <w:i/>
                      <w:iCs/>
                      <w:color w:val="FF0000"/>
                      <w:kern w:val="0"/>
                      <w:sz w:val="24"/>
                      <w:highlight w:val="yellow"/>
                      <w:lang w:bidi="ar"/>
                    </w:rPr>
                    <w:t>H</w:t>
                  </w:r>
                  <w:r>
                    <w:rPr>
                      <w:rFonts w:ascii="KaTeX_Math" w:hAnsi="KaTeX_Math" w:eastAsia="KaTeX_Math" w:cs="KaTeX_Math"/>
                      <w:i/>
                      <w:iCs/>
                      <w:color w:val="FF0000"/>
                      <w:kern w:val="0"/>
                      <w:sz w:val="14"/>
                      <w:szCs w:val="14"/>
                      <w:highlight w:val="yellow"/>
                      <w:lang w:bidi="ar"/>
                    </w:rPr>
                    <w:t>eff</w:t>
                  </w:r>
                  <w:r>
                    <w:rPr>
                      <w:rFonts w:ascii="宋体" w:hAnsi="宋体" w:eastAsia="宋体" w:cs="宋体"/>
                      <w:color w:val="FF0000"/>
                      <w:kern w:val="0"/>
                      <w:sz w:val="2"/>
                      <w:szCs w:val="2"/>
                      <w:highlight w:val="yellow"/>
                      <w:lang w:bidi="ar"/>
                    </w:rPr>
                    <w:t>​</w:t>
                  </w:r>
                  <w:r>
                    <w:rPr>
                      <w:rFonts w:hint="eastAsia" w:ascii="Times New Roman" w:hAnsi="Times New Roman" w:cs="Times New Roman"/>
                      <w:color w:val="FF0000"/>
                      <w:szCs w:val="21"/>
                      <w:highlight w:val="yellow"/>
                    </w:rPr>
                    <w:t>）为折算值</w:t>
                  </w:r>
                </w:p>
              </w:tc>
            </w:tr>
          </w:tbl>
          <w:p w14:paraId="4BCB90DA">
            <w:pPr>
              <w:pStyle w:val="4"/>
              <w:keepNext w:val="0"/>
              <w:keepLines w:val="0"/>
              <w:wordWrap w:val="0"/>
              <w:topLinePunct/>
              <w:ind w:firstLine="480"/>
              <w:rPr>
                <w:rFonts w:ascii="Times New Roman" w:hAnsi="Times New Roman" w:cs="Times New Roman"/>
                <w:b w:val="0"/>
                <w:color w:val="auto"/>
                <w:spacing w:val="0"/>
                <w:w w:val="100"/>
                <w:szCs w:val="24"/>
              </w:rPr>
            </w:pPr>
            <w:r>
              <w:rPr>
                <w:rFonts w:hint="eastAsia" w:ascii="Times New Roman" w:hAnsi="Times New Roman" w:cs="Times New Roman"/>
                <w:b w:val="0"/>
                <w:color w:val="auto"/>
                <w:spacing w:val="0"/>
                <w:w w:val="100"/>
                <w:szCs w:val="24"/>
              </w:rPr>
              <w:t>本项目沥青储罐大小呼吸废气总量为0.51t/a，则</w:t>
            </w:r>
            <w:r>
              <w:rPr>
                <w:rFonts w:ascii="Times New Roman" w:hAnsi="Times New Roman" w:cs="Times New Roman"/>
                <w:b w:val="0"/>
                <w:color w:val="auto"/>
                <w:spacing w:val="0"/>
                <w:w w:val="100"/>
                <w:szCs w:val="24"/>
              </w:rPr>
              <w:t>苯并[a]芘</w:t>
            </w:r>
            <w:r>
              <w:rPr>
                <w:rFonts w:hint="eastAsia" w:ascii="Times New Roman" w:hAnsi="Times New Roman" w:cs="Times New Roman"/>
                <w:b w:val="0"/>
                <w:color w:val="auto"/>
                <w:spacing w:val="0"/>
                <w:w w:val="100"/>
                <w:szCs w:val="24"/>
              </w:rPr>
              <w:t>产生量为0.000</w:t>
            </w:r>
            <w:r>
              <w:rPr>
                <w:rFonts w:ascii="Times New Roman" w:hAnsi="Times New Roman" w:cs="Times New Roman"/>
                <w:b w:val="0"/>
                <w:color w:val="auto"/>
                <w:spacing w:val="0"/>
                <w:w w:val="100"/>
                <w:szCs w:val="24"/>
              </w:rPr>
              <w:t>0</w:t>
            </w:r>
            <w:r>
              <w:rPr>
                <w:rFonts w:hint="eastAsia" w:ascii="Times New Roman" w:hAnsi="Times New Roman" w:cs="Times New Roman"/>
                <w:b w:val="0"/>
                <w:color w:val="auto"/>
                <w:spacing w:val="0"/>
                <w:w w:val="100"/>
                <w:szCs w:val="24"/>
              </w:rPr>
              <w:t>765t/</w:t>
            </w:r>
            <w:r>
              <w:rPr>
                <w:rFonts w:ascii="Times New Roman" w:hAnsi="Times New Roman" w:cs="Times New Roman"/>
                <w:b w:val="0"/>
                <w:color w:val="auto"/>
                <w:spacing w:val="0"/>
                <w:w w:val="100"/>
                <w:szCs w:val="24"/>
              </w:rPr>
              <w:t>a</w:t>
            </w:r>
            <w:r>
              <w:rPr>
                <w:rFonts w:hint="eastAsia" w:ascii="Times New Roman" w:hAnsi="Times New Roman" w:cs="Times New Roman"/>
                <w:b w:val="0"/>
                <w:color w:val="auto"/>
                <w:spacing w:val="0"/>
                <w:w w:val="100"/>
                <w:szCs w:val="24"/>
              </w:rPr>
              <w:t>，非甲烷总烃产生量为0.357t/a，按照180d，24h计。</w:t>
            </w:r>
          </w:p>
          <w:p w14:paraId="5B80E478">
            <w:pPr>
              <w:spacing w:line="360" w:lineRule="auto"/>
              <w:ind w:firstLine="482" w:firstLineChars="200"/>
              <w:rPr>
                <w:rFonts w:ascii="Times New Roman" w:hAnsi="Times New Roman" w:eastAsia="宋体" w:cs="Times New Roman"/>
                <w:sz w:val="24"/>
              </w:rPr>
            </w:pPr>
            <w:r>
              <w:rPr>
                <w:rFonts w:hint="eastAsia" w:ascii="Times New Roman" w:hAnsi="Times New Roman" w:eastAsia="宋体" w:cs="Times New Roman"/>
                <w:b/>
                <w:bCs/>
                <w:sz w:val="24"/>
              </w:rPr>
              <w:t>拟采取治理措施：</w:t>
            </w:r>
            <w:r>
              <w:rPr>
                <w:rFonts w:hint="eastAsia" w:ascii="Times New Roman" w:hAnsi="Times New Roman" w:eastAsia="宋体" w:cs="Times New Roman"/>
                <w:sz w:val="24"/>
              </w:rPr>
              <w:t>沥青储罐(7个50m</w:t>
            </w:r>
            <w:r>
              <w:rPr>
                <w:rFonts w:hint="eastAsia" w:ascii="Times New Roman" w:hAnsi="Times New Roman" w:eastAsia="宋体" w:cs="Times New Roman"/>
                <w:sz w:val="24"/>
                <w:vertAlign w:val="superscript"/>
              </w:rPr>
              <w:t>3</w:t>
            </w:r>
            <w:r>
              <w:rPr>
                <w:rFonts w:hint="eastAsia" w:ascii="Times New Roman" w:hAnsi="Times New Roman" w:eastAsia="宋体" w:cs="Times New Roman"/>
                <w:sz w:val="24"/>
              </w:rPr>
              <w:t>卧式精钢储罐，一座单体1000t精钢立式储罐)呼吸废气经密闭集气管道串联负压收集引至洗涤塔+电捕焦油器+等离子光解净化除尘器+活性炭吸附装置处理后通过25m高排气筒DA002排放。</w:t>
            </w:r>
          </w:p>
          <w:p w14:paraId="7AC9B14C">
            <w:pPr>
              <w:spacing w:line="360" w:lineRule="auto"/>
              <w:ind w:firstLine="482" w:firstLineChars="200"/>
              <w:rPr>
                <w:rFonts w:ascii="Times New Roman" w:hAnsi="Times New Roman" w:eastAsia="宋体" w:cs="Times New Roman"/>
                <w:sz w:val="24"/>
                <w:highlight w:val="red"/>
              </w:rPr>
            </w:pPr>
            <w:r>
              <w:rPr>
                <w:rFonts w:ascii="Times New Roman" w:hAnsi="Times New Roman" w:eastAsia="宋体" w:cs="Times New Roman"/>
                <w:b/>
                <w:bCs/>
                <w:sz w:val="24"/>
              </w:rPr>
              <w:t>排放情况：</w:t>
            </w:r>
            <w:r>
              <w:rPr>
                <w:rFonts w:ascii="Times New Roman" w:hAnsi="Times New Roman" w:eastAsia="宋体" w:cs="Times New Roman"/>
                <w:sz w:val="24"/>
              </w:rPr>
              <w:t>经计算，</w:t>
            </w:r>
            <w:r>
              <w:rPr>
                <w:rFonts w:hint="eastAsia" w:ascii="Times New Roman" w:hAnsi="Times New Roman" w:eastAsia="宋体" w:cs="Times New Roman"/>
                <w:sz w:val="24"/>
              </w:rPr>
              <w:t>沥青储罐呼吸沥青烟气</w:t>
            </w:r>
            <w:r>
              <w:rPr>
                <w:rFonts w:ascii="Times New Roman" w:hAnsi="Times New Roman" w:eastAsia="宋体" w:cs="Times New Roman"/>
                <w:sz w:val="24"/>
              </w:rPr>
              <w:t>产生、治理及排放情况见下表。</w:t>
            </w:r>
          </w:p>
          <w:p w14:paraId="26A3AB6B">
            <w:pPr>
              <w:wordWrap w:val="0"/>
              <w:topLinePunct/>
              <w:spacing w:line="360" w:lineRule="auto"/>
              <w:jc w:val="center"/>
              <w:outlineLvl w:val="2"/>
              <w:rPr>
                <w:rFonts w:ascii="Times New Roman" w:hAnsi="Times New Roman" w:eastAsia="宋体" w:cs="Times New Roman"/>
                <w:b/>
                <w:bCs/>
                <w:color w:val="FF0000"/>
                <w:sz w:val="24"/>
              </w:rPr>
            </w:pPr>
            <w:r>
              <w:rPr>
                <w:rFonts w:hint="eastAsia" w:ascii="Times New Roman" w:hAnsi="Times New Roman" w:eastAsia="宋体" w:cs="Times New Roman"/>
                <w:b/>
                <w:bCs/>
                <w:sz w:val="24"/>
              </w:rPr>
              <w:t xml:space="preserve"> </w:t>
            </w:r>
            <w:r>
              <w:rPr>
                <w:rFonts w:ascii="Times New Roman" w:hAnsi="Times New Roman" w:eastAsia="宋体" w:cs="Times New Roman"/>
                <w:b/>
                <w:bCs/>
                <w:sz w:val="24"/>
              </w:rPr>
              <w:t>表</w:t>
            </w:r>
            <w:r>
              <w:rPr>
                <w:rFonts w:hint="eastAsia" w:ascii="Times New Roman" w:hAnsi="Times New Roman" w:eastAsia="宋体" w:cs="Times New Roman"/>
                <w:b/>
                <w:bCs/>
                <w:sz w:val="24"/>
              </w:rPr>
              <w:t>4-16  沥青储罐呼吸沥青烟气</w:t>
            </w:r>
            <w:r>
              <w:rPr>
                <w:rFonts w:ascii="Times New Roman" w:hAnsi="Times New Roman" w:eastAsia="宋体" w:cs="Times New Roman"/>
                <w:b/>
                <w:bCs/>
                <w:sz w:val="24"/>
              </w:rPr>
              <w:t>产排情况一览表</w:t>
            </w:r>
          </w:p>
          <w:tbl>
            <w:tblPr>
              <w:tblStyle w:val="76"/>
              <w:tblW w:w="81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
              <w:gridCol w:w="429"/>
              <w:gridCol w:w="517"/>
              <w:gridCol w:w="632"/>
              <w:gridCol w:w="782"/>
              <w:gridCol w:w="943"/>
              <w:gridCol w:w="1186"/>
              <w:gridCol w:w="589"/>
              <w:gridCol w:w="756"/>
              <w:gridCol w:w="974"/>
              <w:gridCol w:w="947"/>
            </w:tblGrid>
            <w:tr w14:paraId="39216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jc w:val="center"/>
              </w:trPr>
              <w:tc>
                <w:tcPr>
                  <w:tcW w:w="261" w:type="pct"/>
                  <w:vMerge w:val="restart"/>
                  <w:tcBorders>
                    <w:tl2br w:val="nil"/>
                    <w:tr2bl w:val="nil"/>
                  </w:tcBorders>
                  <w:shd w:val="clear" w:color="auto" w:fill="FFFFFF"/>
                  <w:vAlign w:val="center"/>
                </w:tcPr>
                <w:p w14:paraId="6FF3F69E">
                  <w:pPr>
                    <w:jc w:val="center"/>
                    <w:rPr>
                      <w:rFonts w:ascii="Times New Roman" w:hAnsi="Times New Roman" w:cs="Times New Roman"/>
                      <w:b/>
                      <w:bCs/>
                      <w:szCs w:val="21"/>
                    </w:rPr>
                  </w:pPr>
                  <w:r>
                    <w:rPr>
                      <w:rFonts w:ascii="Times New Roman" w:hAnsi="Times New Roman" w:cs="Times New Roman"/>
                      <w:b/>
                      <w:bCs/>
                      <w:szCs w:val="21"/>
                    </w:rPr>
                    <w:t>产污环节</w:t>
                  </w:r>
                </w:p>
              </w:tc>
              <w:tc>
                <w:tcPr>
                  <w:tcW w:w="262" w:type="pct"/>
                  <w:vMerge w:val="restart"/>
                  <w:tcBorders>
                    <w:tl2br w:val="nil"/>
                    <w:tr2bl w:val="nil"/>
                  </w:tcBorders>
                  <w:shd w:val="clear" w:color="auto" w:fill="FFFFFF"/>
                  <w:vAlign w:val="center"/>
                </w:tcPr>
                <w:p w14:paraId="7D4907ED">
                  <w:pPr>
                    <w:jc w:val="center"/>
                    <w:rPr>
                      <w:rFonts w:ascii="Times New Roman" w:hAnsi="Times New Roman" w:cs="Times New Roman"/>
                      <w:b/>
                      <w:bCs/>
                      <w:szCs w:val="21"/>
                    </w:rPr>
                  </w:pPr>
                  <w:r>
                    <w:rPr>
                      <w:rFonts w:hint="eastAsia" w:ascii="Times New Roman" w:hAnsi="Times New Roman" w:cs="Times New Roman"/>
                      <w:b/>
                      <w:bCs/>
                      <w:szCs w:val="21"/>
                    </w:rPr>
                    <w:t>排放形式</w:t>
                  </w:r>
                </w:p>
              </w:tc>
              <w:tc>
                <w:tcPr>
                  <w:tcW w:w="316" w:type="pct"/>
                  <w:tcBorders>
                    <w:tl2br w:val="nil"/>
                    <w:tr2bl w:val="nil"/>
                  </w:tcBorders>
                  <w:shd w:val="clear" w:color="auto" w:fill="FFFFFF"/>
                  <w:vAlign w:val="center"/>
                </w:tcPr>
                <w:p w14:paraId="75C20B1A">
                  <w:pPr>
                    <w:jc w:val="center"/>
                    <w:rPr>
                      <w:rFonts w:ascii="Times New Roman" w:hAnsi="Times New Roman" w:cs="Times New Roman"/>
                      <w:b/>
                      <w:bCs/>
                      <w:szCs w:val="21"/>
                    </w:rPr>
                  </w:pPr>
                </w:p>
              </w:tc>
              <w:tc>
                <w:tcPr>
                  <w:tcW w:w="1440" w:type="pct"/>
                  <w:gridSpan w:val="3"/>
                  <w:tcBorders>
                    <w:tl2br w:val="nil"/>
                    <w:tr2bl w:val="nil"/>
                  </w:tcBorders>
                  <w:shd w:val="clear" w:color="auto" w:fill="FFFFFF"/>
                  <w:vAlign w:val="center"/>
                </w:tcPr>
                <w:p w14:paraId="3030D5F7">
                  <w:pPr>
                    <w:jc w:val="center"/>
                    <w:rPr>
                      <w:rFonts w:ascii="Times New Roman" w:hAnsi="Times New Roman" w:cs="Times New Roman"/>
                      <w:b/>
                      <w:bCs/>
                      <w:szCs w:val="21"/>
                    </w:rPr>
                  </w:pPr>
                  <w:r>
                    <w:rPr>
                      <w:rFonts w:ascii="Times New Roman" w:hAnsi="Times New Roman" w:cs="Times New Roman"/>
                      <w:b/>
                      <w:bCs/>
                      <w:szCs w:val="21"/>
                    </w:rPr>
                    <w:t>产生情况</w:t>
                  </w:r>
                </w:p>
              </w:tc>
              <w:tc>
                <w:tcPr>
                  <w:tcW w:w="725" w:type="pct"/>
                  <w:vMerge w:val="restart"/>
                  <w:tcBorders>
                    <w:tl2br w:val="nil"/>
                    <w:tr2bl w:val="nil"/>
                  </w:tcBorders>
                  <w:shd w:val="clear" w:color="auto" w:fill="FFFFFF"/>
                  <w:vAlign w:val="center"/>
                </w:tcPr>
                <w:p w14:paraId="5C8D1F66">
                  <w:pPr>
                    <w:jc w:val="center"/>
                    <w:rPr>
                      <w:rFonts w:ascii="Times New Roman" w:hAnsi="Times New Roman" w:cs="Times New Roman"/>
                      <w:b/>
                      <w:bCs/>
                      <w:szCs w:val="21"/>
                    </w:rPr>
                  </w:pPr>
                  <w:r>
                    <w:rPr>
                      <w:rFonts w:ascii="Times New Roman" w:hAnsi="Times New Roman" w:cs="Times New Roman"/>
                      <w:b/>
                      <w:bCs/>
                      <w:szCs w:val="21"/>
                    </w:rPr>
                    <w:t>治理措施及效率</w:t>
                  </w:r>
                </w:p>
              </w:tc>
              <w:tc>
                <w:tcPr>
                  <w:tcW w:w="1417" w:type="pct"/>
                  <w:gridSpan w:val="3"/>
                  <w:tcBorders>
                    <w:tl2br w:val="nil"/>
                    <w:tr2bl w:val="nil"/>
                  </w:tcBorders>
                  <w:shd w:val="clear" w:color="auto" w:fill="FFFFFF"/>
                  <w:vAlign w:val="center"/>
                </w:tcPr>
                <w:p w14:paraId="2CFA6E83">
                  <w:pPr>
                    <w:jc w:val="center"/>
                    <w:rPr>
                      <w:rFonts w:ascii="Times New Roman" w:hAnsi="Times New Roman" w:cs="Times New Roman"/>
                      <w:b/>
                      <w:bCs/>
                      <w:szCs w:val="21"/>
                    </w:rPr>
                  </w:pPr>
                  <w:r>
                    <w:rPr>
                      <w:rFonts w:ascii="Times New Roman" w:hAnsi="Times New Roman" w:cs="Times New Roman"/>
                      <w:b/>
                      <w:bCs/>
                      <w:szCs w:val="21"/>
                    </w:rPr>
                    <w:t>排放情况</w:t>
                  </w:r>
                </w:p>
              </w:tc>
              <w:tc>
                <w:tcPr>
                  <w:tcW w:w="576" w:type="pct"/>
                  <w:tcBorders>
                    <w:tl2br w:val="nil"/>
                    <w:tr2bl w:val="nil"/>
                  </w:tcBorders>
                  <w:shd w:val="clear" w:color="auto" w:fill="FFFFFF"/>
                  <w:vAlign w:val="center"/>
                </w:tcPr>
                <w:p w14:paraId="1E6E64FE">
                  <w:pPr>
                    <w:jc w:val="center"/>
                    <w:rPr>
                      <w:rFonts w:ascii="Times New Roman" w:hAnsi="Times New Roman" w:cs="Times New Roman"/>
                      <w:b/>
                      <w:bCs/>
                      <w:szCs w:val="21"/>
                    </w:rPr>
                  </w:pPr>
                  <w:r>
                    <w:rPr>
                      <w:rFonts w:ascii="Times New Roman" w:hAnsi="Times New Roman" w:cs="Times New Roman"/>
                      <w:b/>
                      <w:bCs/>
                      <w:szCs w:val="21"/>
                    </w:rPr>
                    <w:t>执行</w:t>
                  </w:r>
                </w:p>
                <w:p w14:paraId="0C25301B">
                  <w:pPr>
                    <w:jc w:val="center"/>
                    <w:rPr>
                      <w:rFonts w:ascii="Times New Roman" w:hAnsi="Times New Roman" w:cs="Times New Roman"/>
                      <w:b/>
                      <w:bCs/>
                      <w:szCs w:val="21"/>
                    </w:rPr>
                  </w:pPr>
                  <w:r>
                    <w:rPr>
                      <w:rFonts w:ascii="Times New Roman" w:hAnsi="Times New Roman" w:cs="Times New Roman"/>
                      <w:b/>
                      <w:bCs/>
                      <w:szCs w:val="21"/>
                    </w:rPr>
                    <w:t>标准</w:t>
                  </w:r>
                </w:p>
                <w:p w14:paraId="09B32865">
                  <w:pPr>
                    <w:jc w:val="center"/>
                    <w:rPr>
                      <w:rFonts w:ascii="Times New Roman" w:hAnsi="Times New Roman" w:cs="Times New Roman"/>
                      <w:b/>
                      <w:bCs/>
                      <w:szCs w:val="21"/>
                    </w:rPr>
                  </w:pPr>
                  <w:r>
                    <w:rPr>
                      <w:rFonts w:hint="eastAsia" w:ascii="Times New Roman" w:hAnsi="Times New Roman" w:cs="Times New Roman"/>
                      <w:b/>
                      <w:bCs/>
                      <w:szCs w:val="21"/>
                    </w:rPr>
                    <w:t>（最高允许排放）</w:t>
                  </w:r>
                </w:p>
              </w:tc>
            </w:tr>
            <w:tr w14:paraId="35156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jc w:val="center"/>
              </w:trPr>
              <w:tc>
                <w:tcPr>
                  <w:tcW w:w="261" w:type="pct"/>
                  <w:vMerge w:val="continue"/>
                  <w:tcBorders>
                    <w:tl2br w:val="nil"/>
                    <w:tr2bl w:val="nil"/>
                  </w:tcBorders>
                  <w:shd w:val="clear" w:color="auto" w:fill="FFFFFF"/>
                  <w:vAlign w:val="center"/>
                </w:tcPr>
                <w:p w14:paraId="50968440">
                  <w:pPr>
                    <w:jc w:val="center"/>
                    <w:rPr>
                      <w:rFonts w:ascii="Times New Roman" w:hAnsi="Times New Roman" w:cs="Times New Roman"/>
                      <w:b/>
                      <w:bCs/>
                      <w:szCs w:val="21"/>
                    </w:rPr>
                  </w:pPr>
                </w:p>
              </w:tc>
              <w:tc>
                <w:tcPr>
                  <w:tcW w:w="262" w:type="pct"/>
                  <w:vMerge w:val="continue"/>
                  <w:tcBorders>
                    <w:tl2br w:val="nil"/>
                    <w:tr2bl w:val="nil"/>
                  </w:tcBorders>
                  <w:shd w:val="clear" w:color="auto" w:fill="FFFFFF"/>
                  <w:vAlign w:val="center"/>
                </w:tcPr>
                <w:p w14:paraId="395C5D5F">
                  <w:pPr>
                    <w:jc w:val="center"/>
                    <w:rPr>
                      <w:rFonts w:ascii="Times New Roman" w:hAnsi="Times New Roman" w:cs="Times New Roman"/>
                      <w:b/>
                      <w:bCs/>
                      <w:szCs w:val="21"/>
                    </w:rPr>
                  </w:pPr>
                </w:p>
              </w:tc>
              <w:tc>
                <w:tcPr>
                  <w:tcW w:w="316" w:type="pct"/>
                  <w:vMerge w:val="restart"/>
                  <w:tcBorders>
                    <w:tl2br w:val="nil"/>
                    <w:tr2bl w:val="nil"/>
                  </w:tcBorders>
                  <w:shd w:val="clear" w:color="auto" w:fill="FFFFFF"/>
                  <w:vAlign w:val="center"/>
                </w:tcPr>
                <w:p w14:paraId="2776E25A">
                  <w:pPr>
                    <w:jc w:val="center"/>
                    <w:rPr>
                      <w:rFonts w:ascii="Times New Roman" w:hAnsi="Times New Roman" w:cs="Times New Roman"/>
                      <w:b/>
                      <w:bCs/>
                      <w:szCs w:val="21"/>
                    </w:rPr>
                  </w:pPr>
                  <w:r>
                    <w:rPr>
                      <w:rFonts w:hint="eastAsia" w:ascii="Times New Roman" w:hAnsi="Times New Roman" w:cs="Times New Roman"/>
                      <w:b/>
                      <w:bCs/>
                      <w:szCs w:val="21"/>
                    </w:rPr>
                    <w:t>污染物</w:t>
                  </w:r>
                </w:p>
              </w:tc>
              <w:tc>
                <w:tcPr>
                  <w:tcW w:w="386" w:type="pct"/>
                  <w:vMerge w:val="restart"/>
                  <w:tcBorders>
                    <w:tl2br w:val="nil"/>
                    <w:tr2bl w:val="nil"/>
                  </w:tcBorders>
                  <w:shd w:val="clear" w:color="auto" w:fill="FFFFFF"/>
                  <w:vAlign w:val="center"/>
                </w:tcPr>
                <w:p w14:paraId="16D64C32">
                  <w:pPr>
                    <w:jc w:val="center"/>
                    <w:rPr>
                      <w:rFonts w:ascii="Times New Roman" w:hAnsi="Times New Roman" w:cs="Times New Roman"/>
                      <w:b/>
                      <w:bCs/>
                      <w:szCs w:val="21"/>
                    </w:rPr>
                  </w:pPr>
                  <w:r>
                    <w:rPr>
                      <w:rFonts w:ascii="Times New Roman" w:hAnsi="Times New Roman" w:cs="Times New Roman"/>
                      <w:b/>
                      <w:bCs/>
                      <w:szCs w:val="21"/>
                    </w:rPr>
                    <w:t>产生量/</w:t>
                  </w:r>
                  <w:r>
                    <w:rPr>
                      <w:rFonts w:hint="eastAsia" w:ascii="Times New Roman" w:hAnsi="Times New Roman" w:cs="Times New Roman"/>
                      <w:b/>
                      <w:bCs/>
                      <w:color w:val="FF0000"/>
                      <w:szCs w:val="21"/>
                    </w:rPr>
                    <w:t>收集量</w:t>
                  </w:r>
                  <w:r>
                    <w:rPr>
                      <w:rFonts w:ascii="Times New Roman" w:hAnsi="Times New Roman" w:cs="Times New Roman"/>
                      <w:b/>
                      <w:bCs/>
                      <w:szCs w:val="21"/>
                    </w:rPr>
                    <w:t>（t/a）</w:t>
                  </w:r>
                </w:p>
              </w:tc>
              <w:tc>
                <w:tcPr>
                  <w:tcW w:w="478" w:type="pct"/>
                  <w:vMerge w:val="restart"/>
                  <w:tcBorders>
                    <w:tl2br w:val="nil"/>
                    <w:tr2bl w:val="nil"/>
                  </w:tcBorders>
                  <w:shd w:val="clear" w:color="auto" w:fill="FFFFFF"/>
                  <w:vAlign w:val="center"/>
                </w:tcPr>
                <w:p w14:paraId="3635E82A">
                  <w:pPr>
                    <w:jc w:val="center"/>
                    <w:rPr>
                      <w:rFonts w:ascii="Times New Roman" w:hAnsi="Times New Roman" w:cs="Times New Roman"/>
                      <w:b/>
                      <w:bCs/>
                      <w:szCs w:val="21"/>
                    </w:rPr>
                  </w:pPr>
                  <w:r>
                    <w:rPr>
                      <w:rFonts w:ascii="Times New Roman" w:hAnsi="Times New Roman" w:cs="Times New Roman"/>
                      <w:b/>
                      <w:bCs/>
                      <w:szCs w:val="21"/>
                    </w:rPr>
                    <w:t>产生</w:t>
                  </w:r>
                </w:p>
                <w:p w14:paraId="4D187078">
                  <w:pPr>
                    <w:jc w:val="center"/>
                    <w:rPr>
                      <w:rFonts w:ascii="Times New Roman" w:hAnsi="Times New Roman" w:cs="Times New Roman"/>
                      <w:b/>
                      <w:bCs/>
                      <w:szCs w:val="21"/>
                    </w:rPr>
                  </w:pPr>
                  <w:r>
                    <w:rPr>
                      <w:rFonts w:ascii="Times New Roman" w:hAnsi="Times New Roman" w:cs="Times New Roman"/>
                      <w:b/>
                      <w:bCs/>
                      <w:szCs w:val="21"/>
                    </w:rPr>
                    <w:t>速率（kg/h）</w:t>
                  </w:r>
                </w:p>
              </w:tc>
              <w:tc>
                <w:tcPr>
                  <w:tcW w:w="575" w:type="pct"/>
                  <w:vMerge w:val="restart"/>
                  <w:tcBorders>
                    <w:tl2br w:val="nil"/>
                    <w:tr2bl w:val="nil"/>
                  </w:tcBorders>
                  <w:shd w:val="clear" w:color="auto" w:fill="FFFFFF"/>
                  <w:vAlign w:val="center"/>
                </w:tcPr>
                <w:p w14:paraId="3D9F83EF">
                  <w:pPr>
                    <w:jc w:val="center"/>
                    <w:rPr>
                      <w:rFonts w:ascii="Times New Roman" w:hAnsi="Times New Roman" w:cs="Times New Roman"/>
                      <w:b/>
                      <w:bCs/>
                      <w:szCs w:val="21"/>
                    </w:rPr>
                  </w:pPr>
                  <w:r>
                    <w:rPr>
                      <w:rFonts w:ascii="Times New Roman" w:hAnsi="Times New Roman" w:cs="Times New Roman"/>
                      <w:b/>
                      <w:bCs/>
                      <w:szCs w:val="21"/>
                    </w:rPr>
                    <w:t>产生浓度（mg/m</w:t>
                  </w:r>
                  <w:r>
                    <w:rPr>
                      <w:rFonts w:ascii="Times New Roman" w:hAnsi="Times New Roman" w:cs="Times New Roman"/>
                      <w:b/>
                      <w:bCs/>
                      <w:szCs w:val="21"/>
                      <w:vertAlign w:val="superscript"/>
                    </w:rPr>
                    <w:t>3</w:t>
                  </w:r>
                  <w:r>
                    <w:rPr>
                      <w:rFonts w:ascii="Times New Roman" w:hAnsi="Times New Roman" w:cs="Times New Roman"/>
                      <w:b/>
                      <w:bCs/>
                      <w:szCs w:val="21"/>
                    </w:rPr>
                    <w:t>）</w:t>
                  </w:r>
                </w:p>
              </w:tc>
              <w:tc>
                <w:tcPr>
                  <w:tcW w:w="725" w:type="pct"/>
                  <w:vMerge w:val="continue"/>
                  <w:tcBorders>
                    <w:tl2br w:val="nil"/>
                    <w:tr2bl w:val="nil"/>
                  </w:tcBorders>
                  <w:shd w:val="clear" w:color="auto" w:fill="FFFFFF"/>
                  <w:vAlign w:val="center"/>
                </w:tcPr>
                <w:p w14:paraId="2B954796">
                  <w:pPr>
                    <w:jc w:val="center"/>
                    <w:rPr>
                      <w:rFonts w:ascii="Times New Roman" w:hAnsi="Times New Roman" w:cs="Times New Roman"/>
                      <w:b/>
                      <w:bCs/>
                      <w:szCs w:val="21"/>
                    </w:rPr>
                  </w:pPr>
                </w:p>
              </w:tc>
              <w:tc>
                <w:tcPr>
                  <w:tcW w:w="360" w:type="pct"/>
                  <w:vMerge w:val="restart"/>
                  <w:tcBorders>
                    <w:tl2br w:val="nil"/>
                    <w:tr2bl w:val="nil"/>
                  </w:tcBorders>
                  <w:shd w:val="clear" w:color="auto" w:fill="FFFFFF"/>
                  <w:vAlign w:val="center"/>
                </w:tcPr>
                <w:p w14:paraId="18E7FE37">
                  <w:pPr>
                    <w:jc w:val="center"/>
                    <w:rPr>
                      <w:rFonts w:ascii="Times New Roman" w:hAnsi="Times New Roman" w:cs="Times New Roman"/>
                      <w:b/>
                      <w:bCs/>
                      <w:szCs w:val="21"/>
                    </w:rPr>
                  </w:pPr>
                  <w:r>
                    <w:rPr>
                      <w:rFonts w:ascii="Times New Roman" w:hAnsi="Times New Roman" w:cs="Times New Roman"/>
                      <w:b/>
                      <w:bCs/>
                      <w:szCs w:val="21"/>
                    </w:rPr>
                    <w:t>排放量（t/a）</w:t>
                  </w:r>
                </w:p>
              </w:tc>
              <w:tc>
                <w:tcPr>
                  <w:tcW w:w="462" w:type="pct"/>
                  <w:vMerge w:val="restart"/>
                  <w:tcBorders>
                    <w:tl2br w:val="nil"/>
                    <w:tr2bl w:val="nil"/>
                  </w:tcBorders>
                  <w:shd w:val="clear" w:color="auto" w:fill="FFFFFF"/>
                  <w:vAlign w:val="center"/>
                </w:tcPr>
                <w:p w14:paraId="17104AB7">
                  <w:pPr>
                    <w:jc w:val="center"/>
                    <w:rPr>
                      <w:rFonts w:ascii="Times New Roman" w:hAnsi="Times New Roman" w:cs="Times New Roman"/>
                      <w:b/>
                      <w:bCs/>
                      <w:szCs w:val="21"/>
                    </w:rPr>
                  </w:pPr>
                  <w:r>
                    <w:rPr>
                      <w:rFonts w:ascii="Times New Roman" w:hAnsi="Times New Roman" w:cs="Times New Roman"/>
                      <w:b/>
                      <w:bCs/>
                      <w:szCs w:val="21"/>
                    </w:rPr>
                    <w:t>排放</w:t>
                  </w:r>
                </w:p>
                <w:p w14:paraId="670F13F0">
                  <w:pPr>
                    <w:jc w:val="center"/>
                    <w:rPr>
                      <w:rFonts w:ascii="Times New Roman" w:hAnsi="Times New Roman" w:cs="Times New Roman"/>
                      <w:b/>
                      <w:bCs/>
                      <w:szCs w:val="21"/>
                    </w:rPr>
                  </w:pPr>
                  <w:r>
                    <w:rPr>
                      <w:rFonts w:ascii="Times New Roman" w:hAnsi="Times New Roman" w:cs="Times New Roman"/>
                      <w:b/>
                      <w:bCs/>
                      <w:szCs w:val="21"/>
                    </w:rPr>
                    <w:t>速率</w:t>
                  </w:r>
                </w:p>
                <w:p w14:paraId="487CC6A3">
                  <w:pPr>
                    <w:jc w:val="center"/>
                    <w:rPr>
                      <w:rFonts w:ascii="Times New Roman" w:hAnsi="Times New Roman" w:cs="Times New Roman"/>
                      <w:b/>
                      <w:bCs/>
                      <w:szCs w:val="21"/>
                    </w:rPr>
                  </w:pPr>
                  <w:r>
                    <w:rPr>
                      <w:rFonts w:ascii="Times New Roman" w:hAnsi="Times New Roman" w:cs="Times New Roman"/>
                      <w:b/>
                      <w:bCs/>
                      <w:szCs w:val="21"/>
                    </w:rPr>
                    <w:t>（kg/h）</w:t>
                  </w:r>
                </w:p>
              </w:tc>
              <w:tc>
                <w:tcPr>
                  <w:tcW w:w="593" w:type="pct"/>
                  <w:vMerge w:val="restart"/>
                  <w:tcBorders>
                    <w:tl2br w:val="nil"/>
                    <w:tr2bl w:val="nil"/>
                  </w:tcBorders>
                  <w:shd w:val="clear" w:color="auto" w:fill="FFFFFF"/>
                  <w:vAlign w:val="center"/>
                </w:tcPr>
                <w:p w14:paraId="75DD3CFE">
                  <w:pPr>
                    <w:jc w:val="center"/>
                    <w:rPr>
                      <w:rFonts w:ascii="Times New Roman" w:hAnsi="Times New Roman" w:cs="Times New Roman"/>
                      <w:b/>
                      <w:bCs/>
                      <w:szCs w:val="21"/>
                    </w:rPr>
                  </w:pPr>
                  <w:r>
                    <w:rPr>
                      <w:rFonts w:ascii="Times New Roman" w:hAnsi="Times New Roman" w:cs="Times New Roman"/>
                      <w:b/>
                      <w:bCs/>
                      <w:szCs w:val="21"/>
                    </w:rPr>
                    <w:t>排放</w:t>
                  </w:r>
                </w:p>
                <w:p w14:paraId="4379DE0D">
                  <w:pPr>
                    <w:jc w:val="center"/>
                    <w:rPr>
                      <w:rFonts w:ascii="Times New Roman" w:hAnsi="Times New Roman" w:cs="Times New Roman"/>
                      <w:b/>
                      <w:bCs/>
                      <w:szCs w:val="21"/>
                    </w:rPr>
                  </w:pPr>
                  <w:r>
                    <w:rPr>
                      <w:rFonts w:ascii="Times New Roman" w:hAnsi="Times New Roman" w:cs="Times New Roman"/>
                      <w:b/>
                      <w:bCs/>
                      <w:szCs w:val="21"/>
                    </w:rPr>
                    <w:t>浓度（mg/m</w:t>
                  </w:r>
                  <w:r>
                    <w:rPr>
                      <w:rFonts w:ascii="Times New Roman" w:hAnsi="Times New Roman" w:cs="Times New Roman"/>
                      <w:b/>
                      <w:bCs/>
                      <w:szCs w:val="21"/>
                      <w:vertAlign w:val="superscript"/>
                    </w:rPr>
                    <w:t>3</w:t>
                  </w:r>
                  <w:r>
                    <w:rPr>
                      <w:rFonts w:ascii="Times New Roman" w:hAnsi="Times New Roman" w:cs="Times New Roman"/>
                      <w:b/>
                      <w:bCs/>
                      <w:szCs w:val="21"/>
                    </w:rPr>
                    <w:t>）</w:t>
                  </w:r>
                </w:p>
              </w:tc>
              <w:tc>
                <w:tcPr>
                  <w:tcW w:w="576" w:type="pct"/>
                  <w:tcBorders>
                    <w:bottom w:val="single" w:color="auto" w:sz="4" w:space="0"/>
                    <w:tl2br w:val="nil"/>
                    <w:tr2bl w:val="nil"/>
                  </w:tcBorders>
                  <w:shd w:val="clear" w:color="auto" w:fill="FFFFFF"/>
                  <w:vAlign w:val="center"/>
                </w:tcPr>
                <w:p w14:paraId="35486347">
                  <w:pPr>
                    <w:jc w:val="center"/>
                    <w:rPr>
                      <w:rFonts w:ascii="Times New Roman" w:hAnsi="Times New Roman" w:cs="Times New Roman"/>
                      <w:b/>
                      <w:bCs/>
                      <w:szCs w:val="21"/>
                    </w:rPr>
                  </w:pPr>
                  <w:r>
                    <w:rPr>
                      <w:rFonts w:ascii="Times New Roman" w:hAnsi="Times New Roman" w:cs="Times New Roman"/>
                      <w:b/>
                      <w:bCs/>
                      <w:szCs w:val="21"/>
                    </w:rPr>
                    <w:t>浓度(mg/m</w:t>
                  </w:r>
                  <w:r>
                    <w:rPr>
                      <w:rFonts w:ascii="Times New Roman" w:hAnsi="Times New Roman" w:cs="Times New Roman"/>
                      <w:b/>
                      <w:bCs/>
                      <w:szCs w:val="21"/>
                      <w:vertAlign w:val="superscript"/>
                    </w:rPr>
                    <w:t>3</w:t>
                  </w:r>
                  <w:r>
                    <w:rPr>
                      <w:rFonts w:ascii="Times New Roman" w:hAnsi="Times New Roman" w:cs="Times New Roman"/>
                      <w:b/>
                      <w:bCs/>
                      <w:szCs w:val="21"/>
                    </w:rPr>
                    <w:t>)</w:t>
                  </w:r>
                </w:p>
              </w:tc>
            </w:tr>
            <w:tr w14:paraId="59F38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261" w:type="pct"/>
                  <w:vMerge w:val="continue"/>
                  <w:tcBorders>
                    <w:tl2br w:val="nil"/>
                    <w:tr2bl w:val="nil"/>
                  </w:tcBorders>
                  <w:shd w:val="clear" w:color="auto" w:fill="FFFFFF"/>
                  <w:vAlign w:val="center"/>
                </w:tcPr>
                <w:p w14:paraId="119E6E3F">
                  <w:pPr>
                    <w:jc w:val="center"/>
                    <w:rPr>
                      <w:rFonts w:ascii="Times New Roman" w:hAnsi="Times New Roman" w:cs="Times New Roman"/>
                      <w:b/>
                      <w:bCs/>
                      <w:szCs w:val="21"/>
                    </w:rPr>
                  </w:pPr>
                </w:p>
              </w:tc>
              <w:tc>
                <w:tcPr>
                  <w:tcW w:w="262" w:type="pct"/>
                  <w:vMerge w:val="continue"/>
                  <w:tcBorders>
                    <w:tl2br w:val="nil"/>
                    <w:tr2bl w:val="nil"/>
                  </w:tcBorders>
                  <w:shd w:val="clear" w:color="auto" w:fill="FFFFFF"/>
                  <w:vAlign w:val="center"/>
                </w:tcPr>
                <w:p w14:paraId="05F80F0D">
                  <w:pPr>
                    <w:jc w:val="center"/>
                    <w:rPr>
                      <w:rFonts w:ascii="Times New Roman" w:hAnsi="Times New Roman" w:cs="Times New Roman"/>
                      <w:b/>
                      <w:bCs/>
                      <w:szCs w:val="21"/>
                    </w:rPr>
                  </w:pPr>
                </w:p>
              </w:tc>
              <w:tc>
                <w:tcPr>
                  <w:tcW w:w="316" w:type="pct"/>
                  <w:vMerge w:val="continue"/>
                  <w:tcBorders>
                    <w:tl2br w:val="nil"/>
                    <w:tr2bl w:val="nil"/>
                  </w:tcBorders>
                  <w:shd w:val="clear" w:color="auto" w:fill="FFFFFF"/>
                  <w:vAlign w:val="center"/>
                </w:tcPr>
                <w:p w14:paraId="186626FD">
                  <w:pPr>
                    <w:jc w:val="center"/>
                    <w:rPr>
                      <w:rFonts w:ascii="Times New Roman" w:hAnsi="Times New Roman" w:cs="Times New Roman"/>
                      <w:b/>
                      <w:bCs/>
                      <w:szCs w:val="21"/>
                    </w:rPr>
                  </w:pPr>
                </w:p>
              </w:tc>
              <w:tc>
                <w:tcPr>
                  <w:tcW w:w="386" w:type="pct"/>
                  <w:vMerge w:val="continue"/>
                  <w:tcBorders>
                    <w:tl2br w:val="nil"/>
                    <w:tr2bl w:val="nil"/>
                  </w:tcBorders>
                  <w:shd w:val="clear" w:color="auto" w:fill="FFFFFF"/>
                  <w:vAlign w:val="center"/>
                </w:tcPr>
                <w:p w14:paraId="21F27368">
                  <w:pPr>
                    <w:jc w:val="center"/>
                    <w:rPr>
                      <w:rFonts w:ascii="Times New Roman" w:hAnsi="Times New Roman" w:cs="Times New Roman"/>
                      <w:b/>
                      <w:bCs/>
                      <w:szCs w:val="21"/>
                    </w:rPr>
                  </w:pPr>
                </w:p>
              </w:tc>
              <w:tc>
                <w:tcPr>
                  <w:tcW w:w="478" w:type="pct"/>
                  <w:vMerge w:val="continue"/>
                  <w:tcBorders>
                    <w:tl2br w:val="nil"/>
                    <w:tr2bl w:val="nil"/>
                  </w:tcBorders>
                  <w:shd w:val="clear" w:color="auto" w:fill="FFFFFF"/>
                  <w:vAlign w:val="center"/>
                </w:tcPr>
                <w:p w14:paraId="6D4218CC">
                  <w:pPr>
                    <w:jc w:val="center"/>
                    <w:rPr>
                      <w:rFonts w:ascii="Times New Roman" w:hAnsi="Times New Roman" w:cs="Times New Roman"/>
                      <w:b/>
                      <w:bCs/>
                      <w:szCs w:val="21"/>
                    </w:rPr>
                  </w:pPr>
                </w:p>
              </w:tc>
              <w:tc>
                <w:tcPr>
                  <w:tcW w:w="575" w:type="pct"/>
                  <w:vMerge w:val="continue"/>
                  <w:tcBorders>
                    <w:tl2br w:val="nil"/>
                    <w:tr2bl w:val="nil"/>
                  </w:tcBorders>
                  <w:shd w:val="clear" w:color="auto" w:fill="FFFFFF"/>
                  <w:vAlign w:val="center"/>
                </w:tcPr>
                <w:p w14:paraId="1BBE36E8">
                  <w:pPr>
                    <w:jc w:val="center"/>
                    <w:rPr>
                      <w:rFonts w:ascii="Times New Roman" w:hAnsi="Times New Roman" w:cs="Times New Roman"/>
                      <w:b/>
                      <w:bCs/>
                      <w:szCs w:val="21"/>
                    </w:rPr>
                  </w:pPr>
                </w:p>
              </w:tc>
              <w:tc>
                <w:tcPr>
                  <w:tcW w:w="725" w:type="pct"/>
                  <w:vMerge w:val="continue"/>
                  <w:tcBorders>
                    <w:tl2br w:val="nil"/>
                    <w:tr2bl w:val="nil"/>
                  </w:tcBorders>
                  <w:shd w:val="clear" w:color="auto" w:fill="FFFFFF"/>
                  <w:vAlign w:val="center"/>
                </w:tcPr>
                <w:p w14:paraId="6B4D323A">
                  <w:pPr>
                    <w:jc w:val="center"/>
                    <w:rPr>
                      <w:rFonts w:ascii="Times New Roman" w:hAnsi="Times New Roman" w:cs="Times New Roman"/>
                      <w:b/>
                      <w:bCs/>
                      <w:szCs w:val="21"/>
                    </w:rPr>
                  </w:pPr>
                </w:p>
              </w:tc>
              <w:tc>
                <w:tcPr>
                  <w:tcW w:w="360" w:type="pct"/>
                  <w:vMerge w:val="continue"/>
                  <w:tcBorders>
                    <w:tl2br w:val="nil"/>
                    <w:tr2bl w:val="nil"/>
                  </w:tcBorders>
                  <w:shd w:val="clear" w:color="auto" w:fill="FFFFFF"/>
                  <w:vAlign w:val="center"/>
                </w:tcPr>
                <w:p w14:paraId="0B8CD402">
                  <w:pPr>
                    <w:jc w:val="center"/>
                    <w:rPr>
                      <w:rFonts w:ascii="Times New Roman" w:hAnsi="Times New Roman" w:cs="Times New Roman"/>
                      <w:b/>
                      <w:bCs/>
                      <w:szCs w:val="21"/>
                    </w:rPr>
                  </w:pPr>
                </w:p>
              </w:tc>
              <w:tc>
                <w:tcPr>
                  <w:tcW w:w="462" w:type="pct"/>
                  <w:vMerge w:val="continue"/>
                  <w:tcBorders>
                    <w:tl2br w:val="nil"/>
                    <w:tr2bl w:val="nil"/>
                  </w:tcBorders>
                  <w:shd w:val="clear" w:color="auto" w:fill="FFFFFF"/>
                  <w:vAlign w:val="center"/>
                </w:tcPr>
                <w:p w14:paraId="34AE0ACC">
                  <w:pPr>
                    <w:jc w:val="center"/>
                    <w:rPr>
                      <w:rFonts w:ascii="Times New Roman" w:hAnsi="Times New Roman" w:cs="Times New Roman"/>
                      <w:b/>
                      <w:bCs/>
                      <w:szCs w:val="21"/>
                    </w:rPr>
                  </w:pPr>
                </w:p>
              </w:tc>
              <w:tc>
                <w:tcPr>
                  <w:tcW w:w="593" w:type="pct"/>
                  <w:vMerge w:val="continue"/>
                  <w:tcBorders>
                    <w:tl2br w:val="nil"/>
                    <w:tr2bl w:val="nil"/>
                  </w:tcBorders>
                  <w:shd w:val="clear" w:color="auto" w:fill="FFFFFF"/>
                  <w:vAlign w:val="center"/>
                </w:tcPr>
                <w:p w14:paraId="13E1052F">
                  <w:pPr>
                    <w:jc w:val="center"/>
                    <w:rPr>
                      <w:rFonts w:ascii="Times New Roman" w:hAnsi="Times New Roman" w:cs="Times New Roman"/>
                      <w:b/>
                      <w:bCs/>
                      <w:szCs w:val="21"/>
                    </w:rPr>
                  </w:pPr>
                </w:p>
              </w:tc>
              <w:tc>
                <w:tcPr>
                  <w:tcW w:w="576" w:type="pct"/>
                  <w:tcBorders>
                    <w:top w:val="single" w:color="auto" w:sz="4" w:space="0"/>
                    <w:tl2br w:val="nil"/>
                    <w:tr2bl w:val="nil"/>
                  </w:tcBorders>
                  <w:shd w:val="clear" w:color="auto" w:fill="FFFFFF"/>
                  <w:vAlign w:val="center"/>
                </w:tcPr>
                <w:p w14:paraId="3A90A415">
                  <w:pPr>
                    <w:jc w:val="center"/>
                    <w:rPr>
                      <w:rFonts w:ascii="Times New Roman" w:hAnsi="Times New Roman" w:cs="Times New Roman"/>
                      <w:b/>
                      <w:bCs/>
                      <w:szCs w:val="21"/>
                    </w:rPr>
                  </w:pPr>
                  <w:r>
                    <w:rPr>
                      <w:rFonts w:hint="eastAsia" w:ascii="Times New Roman" w:hAnsi="Times New Roman" w:cs="Times New Roman"/>
                      <w:b/>
                      <w:bCs/>
                      <w:szCs w:val="21"/>
                    </w:rPr>
                    <w:t>速率</w:t>
                  </w:r>
                  <w:r>
                    <w:rPr>
                      <w:rFonts w:ascii="Times New Roman" w:hAnsi="Times New Roman" w:cs="Times New Roman"/>
                      <w:b/>
                      <w:bCs/>
                      <w:szCs w:val="21"/>
                    </w:rPr>
                    <w:t>（kg/h）</w:t>
                  </w:r>
                </w:p>
              </w:tc>
            </w:tr>
            <w:tr w14:paraId="1C1C1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jc w:val="center"/>
              </w:trPr>
              <w:tc>
                <w:tcPr>
                  <w:tcW w:w="261" w:type="pct"/>
                  <w:vMerge w:val="restart"/>
                  <w:tcBorders>
                    <w:tl2br w:val="nil"/>
                    <w:tr2bl w:val="nil"/>
                  </w:tcBorders>
                  <w:shd w:val="clear" w:color="auto" w:fill="FFFFFF"/>
                  <w:vAlign w:val="center"/>
                </w:tcPr>
                <w:p w14:paraId="6DE0B19F">
                  <w:pPr>
                    <w:jc w:val="center"/>
                    <w:rPr>
                      <w:rFonts w:ascii="Times New Roman" w:hAnsi="Times New Roman" w:cs="Times New Roman"/>
                      <w:szCs w:val="21"/>
                    </w:rPr>
                  </w:pPr>
                  <w:r>
                    <w:rPr>
                      <w:rFonts w:hint="eastAsia" w:ascii="Times New Roman" w:hAnsi="Times New Roman" w:cs="Times New Roman"/>
                      <w:szCs w:val="21"/>
                    </w:rPr>
                    <w:t>沥青储罐</w:t>
                  </w:r>
                </w:p>
              </w:tc>
              <w:tc>
                <w:tcPr>
                  <w:tcW w:w="262" w:type="pct"/>
                  <w:vMerge w:val="restart"/>
                  <w:tcBorders>
                    <w:tl2br w:val="nil"/>
                    <w:tr2bl w:val="nil"/>
                  </w:tcBorders>
                  <w:shd w:val="clear" w:color="auto" w:fill="FFFFFF"/>
                  <w:vAlign w:val="center"/>
                </w:tcPr>
                <w:p w14:paraId="600B08E9">
                  <w:pPr>
                    <w:jc w:val="center"/>
                    <w:rPr>
                      <w:rFonts w:ascii="Times New Roman" w:hAnsi="Times New Roman" w:cs="Times New Roman"/>
                      <w:szCs w:val="21"/>
                    </w:rPr>
                  </w:pPr>
                  <w:r>
                    <w:rPr>
                      <w:rFonts w:hint="eastAsia" w:ascii="Times New Roman" w:hAnsi="Times New Roman" w:cs="Times New Roman"/>
                      <w:szCs w:val="21"/>
                    </w:rPr>
                    <w:t>有组织</w:t>
                  </w:r>
                </w:p>
              </w:tc>
              <w:tc>
                <w:tcPr>
                  <w:tcW w:w="316" w:type="pct"/>
                  <w:vMerge w:val="restart"/>
                  <w:tcBorders>
                    <w:tl2br w:val="nil"/>
                    <w:tr2bl w:val="nil"/>
                  </w:tcBorders>
                  <w:shd w:val="clear" w:color="auto" w:fill="FFFFFF"/>
                  <w:vAlign w:val="center"/>
                </w:tcPr>
                <w:p w14:paraId="2261BF11">
                  <w:pPr>
                    <w:jc w:val="center"/>
                    <w:rPr>
                      <w:rFonts w:ascii="Times New Roman" w:hAnsi="Times New Roman" w:cs="Times New Roman"/>
                      <w:szCs w:val="21"/>
                    </w:rPr>
                  </w:pPr>
                  <w:r>
                    <w:rPr>
                      <w:rFonts w:hint="eastAsia" w:ascii="Times New Roman" w:hAnsi="Times New Roman" w:cs="Times New Roman"/>
                      <w:szCs w:val="21"/>
                    </w:rPr>
                    <w:t>沥青烟</w:t>
                  </w:r>
                </w:p>
              </w:tc>
              <w:tc>
                <w:tcPr>
                  <w:tcW w:w="386" w:type="pct"/>
                  <w:vMerge w:val="restart"/>
                  <w:tcBorders>
                    <w:tl2br w:val="nil"/>
                    <w:tr2bl w:val="nil"/>
                  </w:tcBorders>
                  <w:shd w:val="clear" w:color="auto" w:fill="FFFFFF"/>
                  <w:vAlign w:val="center"/>
                </w:tcPr>
                <w:p w14:paraId="1AEBC2A6">
                  <w:pPr>
                    <w:jc w:val="center"/>
                    <w:rPr>
                      <w:rFonts w:ascii="Times New Roman" w:hAnsi="Times New Roman" w:cs="Times New Roman"/>
                      <w:szCs w:val="21"/>
                    </w:rPr>
                  </w:pPr>
                  <w:r>
                    <w:rPr>
                      <w:rFonts w:hint="eastAsia" w:ascii="Times New Roman" w:hAnsi="Times New Roman" w:cs="Times New Roman"/>
                      <w:szCs w:val="21"/>
                    </w:rPr>
                    <w:t>0.4845</w:t>
                  </w:r>
                </w:p>
              </w:tc>
              <w:tc>
                <w:tcPr>
                  <w:tcW w:w="478" w:type="pct"/>
                  <w:vMerge w:val="restart"/>
                  <w:tcBorders>
                    <w:tl2br w:val="nil"/>
                    <w:tr2bl w:val="nil"/>
                  </w:tcBorders>
                  <w:shd w:val="clear" w:color="auto" w:fill="FFFFFF"/>
                  <w:vAlign w:val="center"/>
                </w:tcPr>
                <w:p w14:paraId="61971B1E">
                  <w:pPr>
                    <w:jc w:val="center"/>
                    <w:rPr>
                      <w:rFonts w:ascii="Times New Roman" w:hAnsi="Times New Roman" w:cs="Times New Roman"/>
                      <w:szCs w:val="21"/>
                    </w:rPr>
                  </w:pPr>
                  <w:r>
                    <w:rPr>
                      <w:rFonts w:hint="eastAsia" w:ascii="Times New Roman" w:hAnsi="Times New Roman" w:cs="Times New Roman"/>
                      <w:szCs w:val="21"/>
                    </w:rPr>
                    <w:t>0.112</w:t>
                  </w:r>
                </w:p>
              </w:tc>
              <w:tc>
                <w:tcPr>
                  <w:tcW w:w="575" w:type="pct"/>
                  <w:vMerge w:val="restart"/>
                  <w:tcBorders>
                    <w:tl2br w:val="nil"/>
                    <w:tr2bl w:val="nil"/>
                  </w:tcBorders>
                  <w:shd w:val="clear" w:color="auto" w:fill="FFFFFF"/>
                  <w:vAlign w:val="center"/>
                </w:tcPr>
                <w:p w14:paraId="7CF82C4E">
                  <w:pPr>
                    <w:jc w:val="center"/>
                    <w:rPr>
                      <w:rFonts w:ascii="Times New Roman" w:hAnsi="Times New Roman" w:cs="Times New Roman"/>
                      <w:szCs w:val="21"/>
                    </w:rPr>
                  </w:pPr>
                  <w:r>
                    <w:rPr>
                      <w:rFonts w:hint="eastAsia" w:ascii="Times New Roman" w:hAnsi="Times New Roman" w:cs="Times New Roman"/>
                      <w:szCs w:val="21"/>
                    </w:rPr>
                    <w:t>5.13</w:t>
                  </w:r>
                </w:p>
              </w:tc>
              <w:tc>
                <w:tcPr>
                  <w:tcW w:w="725" w:type="pct"/>
                  <w:vMerge w:val="restart"/>
                  <w:tcBorders>
                    <w:tl2br w:val="nil"/>
                    <w:tr2bl w:val="nil"/>
                  </w:tcBorders>
                  <w:shd w:val="clear" w:color="auto" w:fill="FFFFFF"/>
                  <w:vAlign w:val="center"/>
                </w:tcPr>
                <w:p w14:paraId="57C8A771">
                  <w:pPr>
                    <w:wordWrap w:val="0"/>
                    <w:topLinePunct/>
                    <w:jc w:val="center"/>
                    <w:rPr>
                      <w:rFonts w:ascii="Times New Roman" w:hAnsi="Times New Roman" w:cs="Times New Roman"/>
                      <w:szCs w:val="21"/>
                    </w:rPr>
                  </w:pPr>
                  <w:r>
                    <w:rPr>
                      <w:rFonts w:ascii="Times New Roman" w:hAnsi="Times New Roman" w:cs="Times New Roman"/>
                      <w:szCs w:val="21"/>
                    </w:rPr>
                    <w:t>经密闭集气管道串联负压收集引至洗涤塔+电捕焦油器+等离子光解净化除尘器+活性炭吸附装置处理后通过25m高排气筒DA002排放。</w:t>
                  </w:r>
                  <w:r>
                    <w:rPr>
                      <w:rFonts w:hint="eastAsia" w:ascii="Times New Roman" w:hAnsi="Times New Roman" w:cs="Times New Roman"/>
                      <w:szCs w:val="21"/>
                    </w:rPr>
                    <w:t>收集效率95%，处理效率99%。离心通用风机流量21830m</w:t>
                  </w:r>
                  <w:r>
                    <w:rPr>
                      <w:rFonts w:hint="eastAsia" w:ascii="Times New Roman" w:hAnsi="Times New Roman" w:cs="Times New Roman"/>
                      <w:szCs w:val="21"/>
                      <w:vertAlign w:val="superscript"/>
                    </w:rPr>
                    <w:t>3</w:t>
                  </w:r>
                  <w:r>
                    <w:rPr>
                      <w:rFonts w:hint="eastAsia" w:ascii="Times New Roman" w:hAnsi="Times New Roman" w:cs="Times New Roman"/>
                      <w:szCs w:val="21"/>
                    </w:rPr>
                    <w:t>/h（最不利，最小流量）。</w:t>
                  </w:r>
                </w:p>
              </w:tc>
              <w:tc>
                <w:tcPr>
                  <w:tcW w:w="360" w:type="pct"/>
                  <w:vMerge w:val="restart"/>
                  <w:tcBorders>
                    <w:tl2br w:val="nil"/>
                    <w:tr2bl w:val="nil"/>
                  </w:tcBorders>
                  <w:shd w:val="clear" w:color="auto" w:fill="FFFFFF"/>
                  <w:vAlign w:val="center"/>
                </w:tcPr>
                <w:p w14:paraId="47CC84AC">
                  <w:pPr>
                    <w:jc w:val="center"/>
                    <w:rPr>
                      <w:rFonts w:ascii="Times New Roman" w:hAnsi="Times New Roman" w:cs="Times New Roman"/>
                      <w:szCs w:val="21"/>
                    </w:rPr>
                  </w:pPr>
                  <w:r>
                    <w:rPr>
                      <w:rFonts w:hint="eastAsia" w:ascii="Times New Roman" w:hAnsi="Times New Roman" w:cs="Times New Roman"/>
                      <w:szCs w:val="21"/>
                    </w:rPr>
                    <w:t>0.00485</w:t>
                  </w:r>
                </w:p>
              </w:tc>
              <w:tc>
                <w:tcPr>
                  <w:tcW w:w="462" w:type="pct"/>
                  <w:vMerge w:val="restart"/>
                  <w:tcBorders>
                    <w:tl2br w:val="nil"/>
                    <w:tr2bl w:val="nil"/>
                  </w:tcBorders>
                  <w:shd w:val="clear" w:color="auto" w:fill="FFFFFF"/>
                  <w:vAlign w:val="center"/>
                </w:tcPr>
                <w:p w14:paraId="0C0AA689">
                  <w:pPr>
                    <w:jc w:val="center"/>
                    <w:rPr>
                      <w:rFonts w:ascii="Times New Roman" w:hAnsi="Times New Roman" w:cs="Times New Roman"/>
                      <w:szCs w:val="21"/>
                    </w:rPr>
                  </w:pPr>
                  <w:r>
                    <w:rPr>
                      <w:rFonts w:hint="eastAsia" w:ascii="Times New Roman" w:hAnsi="Times New Roman" w:cs="Times New Roman"/>
                      <w:szCs w:val="21"/>
                    </w:rPr>
                    <w:t>0.001</w:t>
                  </w:r>
                </w:p>
              </w:tc>
              <w:tc>
                <w:tcPr>
                  <w:tcW w:w="593" w:type="pct"/>
                  <w:vMerge w:val="restart"/>
                  <w:tcBorders>
                    <w:tl2br w:val="nil"/>
                    <w:tr2bl w:val="nil"/>
                  </w:tcBorders>
                  <w:shd w:val="clear" w:color="auto" w:fill="FFFFFF"/>
                  <w:vAlign w:val="center"/>
                </w:tcPr>
                <w:p w14:paraId="0FA38667">
                  <w:pPr>
                    <w:jc w:val="center"/>
                    <w:rPr>
                      <w:rFonts w:ascii="Times New Roman" w:hAnsi="Times New Roman" w:cs="Times New Roman"/>
                      <w:szCs w:val="21"/>
                    </w:rPr>
                  </w:pPr>
                  <w:r>
                    <w:rPr>
                      <w:rFonts w:hint="eastAsia" w:ascii="Times New Roman" w:hAnsi="Times New Roman" w:cs="Times New Roman"/>
                      <w:szCs w:val="21"/>
                    </w:rPr>
                    <w:t>0.051</w:t>
                  </w:r>
                </w:p>
              </w:tc>
              <w:tc>
                <w:tcPr>
                  <w:tcW w:w="943" w:type="dxa"/>
                  <w:tcBorders>
                    <w:bottom w:val="single" w:color="auto" w:sz="4" w:space="0"/>
                    <w:tl2br w:val="nil"/>
                    <w:tr2bl w:val="nil"/>
                  </w:tcBorders>
                  <w:shd w:val="clear" w:color="auto" w:fill="FFFFFF"/>
                  <w:vAlign w:val="center"/>
                </w:tcPr>
                <w:p w14:paraId="0F67CC7A">
                  <w:pPr>
                    <w:jc w:val="center"/>
                    <w:rPr>
                      <w:rFonts w:ascii="Times New Roman" w:hAnsi="Times New Roman" w:cs="Times New Roman"/>
                      <w:szCs w:val="21"/>
                    </w:rPr>
                  </w:pPr>
                  <w:r>
                    <w:rPr>
                      <w:rFonts w:hint="eastAsia" w:ascii="Times New Roman" w:hAnsi="Times New Roman" w:cs="Times New Roman"/>
                      <w:szCs w:val="21"/>
                    </w:rPr>
                    <w:t>75</w:t>
                  </w:r>
                </w:p>
              </w:tc>
            </w:tr>
            <w:tr w14:paraId="20E26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5" w:hRule="atLeast"/>
                <w:jc w:val="center"/>
              </w:trPr>
              <w:tc>
                <w:tcPr>
                  <w:tcW w:w="261" w:type="pct"/>
                  <w:vMerge w:val="continue"/>
                  <w:tcBorders>
                    <w:tl2br w:val="nil"/>
                    <w:tr2bl w:val="nil"/>
                  </w:tcBorders>
                  <w:shd w:val="clear" w:color="auto" w:fill="FFFFFF"/>
                  <w:vAlign w:val="center"/>
                </w:tcPr>
                <w:p w14:paraId="7D313A1F">
                  <w:pPr>
                    <w:jc w:val="center"/>
                    <w:rPr>
                      <w:rFonts w:ascii="Times New Roman" w:hAnsi="Times New Roman" w:cs="Times New Roman"/>
                      <w:szCs w:val="21"/>
                    </w:rPr>
                  </w:pPr>
                </w:p>
              </w:tc>
              <w:tc>
                <w:tcPr>
                  <w:tcW w:w="262" w:type="pct"/>
                  <w:vMerge w:val="continue"/>
                  <w:tcBorders>
                    <w:tl2br w:val="nil"/>
                    <w:tr2bl w:val="nil"/>
                  </w:tcBorders>
                  <w:shd w:val="clear" w:color="auto" w:fill="FFFFFF"/>
                  <w:vAlign w:val="center"/>
                </w:tcPr>
                <w:p w14:paraId="648FBC1C">
                  <w:pPr>
                    <w:jc w:val="center"/>
                    <w:rPr>
                      <w:rFonts w:ascii="Times New Roman" w:hAnsi="Times New Roman" w:cs="Times New Roman"/>
                      <w:szCs w:val="21"/>
                    </w:rPr>
                  </w:pPr>
                </w:p>
              </w:tc>
              <w:tc>
                <w:tcPr>
                  <w:tcW w:w="316" w:type="pct"/>
                  <w:vMerge w:val="continue"/>
                  <w:tcBorders>
                    <w:bottom w:val="single" w:color="auto" w:sz="4" w:space="0"/>
                    <w:tl2br w:val="nil"/>
                    <w:tr2bl w:val="nil"/>
                  </w:tcBorders>
                  <w:shd w:val="clear" w:color="auto" w:fill="FFFFFF"/>
                  <w:vAlign w:val="center"/>
                </w:tcPr>
                <w:p w14:paraId="793059F5">
                  <w:pPr>
                    <w:jc w:val="center"/>
                    <w:rPr>
                      <w:rFonts w:ascii="Times New Roman" w:hAnsi="Times New Roman" w:cs="Times New Roman"/>
                      <w:szCs w:val="21"/>
                    </w:rPr>
                  </w:pPr>
                </w:p>
              </w:tc>
              <w:tc>
                <w:tcPr>
                  <w:tcW w:w="386" w:type="pct"/>
                  <w:vMerge w:val="continue"/>
                  <w:tcBorders>
                    <w:bottom w:val="single" w:color="auto" w:sz="4" w:space="0"/>
                    <w:tl2br w:val="nil"/>
                    <w:tr2bl w:val="nil"/>
                  </w:tcBorders>
                  <w:shd w:val="clear" w:color="auto" w:fill="FFFFFF"/>
                  <w:vAlign w:val="center"/>
                </w:tcPr>
                <w:p w14:paraId="4EF7F966">
                  <w:pPr>
                    <w:jc w:val="center"/>
                    <w:rPr>
                      <w:rFonts w:ascii="Times New Roman" w:hAnsi="Times New Roman" w:cs="Times New Roman"/>
                      <w:szCs w:val="21"/>
                    </w:rPr>
                  </w:pPr>
                </w:p>
              </w:tc>
              <w:tc>
                <w:tcPr>
                  <w:tcW w:w="478" w:type="pct"/>
                  <w:vMerge w:val="continue"/>
                  <w:tcBorders>
                    <w:bottom w:val="single" w:color="auto" w:sz="4" w:space="0"/>
                    <w:tl2br w:val="nil"/>
                    <w:tr2bl w:val="nil"/>
                  </w:tcBorders>
                  <w:shd w:val="clear" w:color="auto" w:fill="FFFFFF"/>
                  <w:vAlign w:val="center"/>
                </w:tcPr>
                <w:p w14:paraId="1A279F64">
                  <w:pPr>
                    <w:jc w:val="center"/>
                    <w:rPr>
                      <w:rFonts w:ascii="Times New Roman" w:hAnsi="Times New Roman" w:cs="Times New Roman"/>
                      <w:szCs w:val="21"/>
                    </w:rPr>
                  </w:pPr>
                </w:p>
              </w:tc>
              <w:tc>
                <w:tcPr>
                  <w:tcW w:w="575" w:type="pct"/>
                  <w:vMerge w:val="continue"/>
                  <w:tcBorders>
                    <w:bottom w:val="single" w:color="auto" w:sz="4" w:space="0"/>
                    <w:tl2br w:val="nil"/>
                    <w:tr2bl w:val="nil"/>
                  </w:tcBorders>
                  <w:shd w:val="clear" w:color="auto" w:fill="FFFFFF"/>
                  <w:vAlign w:val="center"/>
                </w:tcPr>
                <w:p w14:paraId="7D1A70ED">
                  <w:pPr>
                    <w:jc w:val="center"/>
                    <w:rPr>
                      <w:rFonts w:ascii="Times New Roman" w:hAnsi="Times New Roman" w:cs="Times New Roman"/>
                      <w:szCs w:val="21"/>
                    </w:rPr>
                  </w:pPr>
                </w:p>
              </w:tc>
              <w:tc>
                <w:tcPr>
                  <w:tcW w:w="725" w:type="pct"/>
                  <w:vMerge w:val="continue"/>
                  <w:tcBorders>
                    <w:tl2br w:val="nil"/>
                    <w:tr2bl w:val="nil"/>
                  </w:tcBorders>
                  <w:shd w:val="clear" w:color="auto" w:fill="FFFFFF"/>
                  <w:vAlign w:val="center"/>
                </w:tcPr>
                <w:p w14:paraId="7A6B3DBD">
                  <w:pPr>
                    <w:jc w:val="center"/>
                    <w:rPr>
                      <w:rFonts w:ascii="Times New Roman" w:hAnsi="Times New Roman" w:cs="Times New Roman"/>
                      <w:szCs w:val="21"/>
                    </w:rPr>
                  </w:pPr>
                </w:p>
              </w:tc>
              <w:tc>
                <w:tcPr>
                  <w:tcW w:w="360" w:type="pct"/>
                  <w:vMerge w:val="continue"/>
                  <w:tcBorders>
                    <w:bottom w:val="single" w:color="auto" w:sz="4" w:space="0"/>
                    <w:tl2br w:val="nil"/>
                    <w:tr2bl w:val="nil"/>
                  </w:tcBorders>
                  <w:shd w:val="clear" w:color="auto" w:fill="FFFFFF"/>
                  <w:vAlign w:val="center"/>
                </w:tcPr>
                <w:p w14:paraId="7F2C6F6C">
                  <w:pPr>
                    <w:jc w:val="center"/>
                    <w:rPr>
                      <w:rFonts w:ascii="Times New Roman" w:hAnsi="Times New Roman" w:cs="Times New Roman"/>
                      <w:szCs w:val="21"/>
                    </w:rPr>
                  </w:pPr>
                </w:p>
              </w:tc>
              <w:tc>
                <w:tcPr>
                  <w:tcW w:w="462" w:type="pct"/>
                  <w:vMerge w:val="continue"/>
                  <w:tcBorders>
                    <w:bottom w:val="single" w:color="auto" w:sz="4" w:space="0"/>
                    <w:tl2br w:val="nil"/>
                    <w:tr2bl w:val="nil"/>
                  </w:tcBorders>
                  <w:shd w:val="clear" w:color="auto" w:fill="FFFFFF"/>
                  <w:vAlign w:val="center"/>
                </w:tcPr>
                <w:p w14:paraId="66BB747F">
                  <w:pPr>
                    <w:jc w:val="center"/>
                    <w:rPr>
                      <w:rFonts w:ascii="Times New Roman" w:hAnsi="Times New Roman" w:cs="Times New Roman"/>
                      <w:szCs w:val="21"/>
                    </w:rPr>
                  </w:pPr>
                </w:p>
              </w:tc>
              <w:tc>
                <w:tcPr>
                  <w:tcW w:w="593" w:type="pct"/>
                  <w:vMerge w:val="continue"/>
                  <w:tcBorders>
                    <w:bottom w:val="single" w:color="auto" w:sz="4" w:space="0"/>
                    <w:tl2br w:val="nil"/>
                    <w:tr2bl w:val="nil"/>
                  </w:tcBorders>
                  <w:shd w:val="clear" w:color="auto" w:fill="FFFFFF"/>
                  <w:vAlign w:val="center"/>
                </w:tcPr>
                <w:p w14:paraId="40712C7D">
                  <w:pPr>
                    <w:jc w:val="center"/>
                    <w:rPr>
                      <w:rFonts w:ascii="Times New Roman" w:hAnsi="Times New Roman" w:cs="Times New Roman"/>
                      <w:szCs w:val="21"/>
                    </w:rPr>
                  </w:pPr>
                </w:p>
              </w:tc>
              <w:tc>
                <w:tcPr>
                  <w:tcW w:w="943" w:type="dxa"/>
                  <w:tcBorders>
                    <w:top w:val="single" w:color="auto" w:sz="4" w:space="0"/>
                    <w:bottom w:val="single" w:color="auto" w:sz="4" w:space="0"/>
                    <w:tl2br w:val="nil"/>
                    <w:tr2bl w:val="nil"/>
                  </w:tcBorders>
                  <w:shd w:val="clear" w:color="auto" w:fill="FFFFFF"/>
                  <w:vAlign w:val="center"/>
                </w:tcPr>
                <w:p w14:paraId="50C49705">
                  <w:pPr>
                    <w:jc w:val="center"/>
                    <w:rPr>
                      <w:rFonts w:ascii="Times New Roman" w:hAnsi="Times New Roman" w:cs="Times New Roman"/>
                      <w:szCs w:val="21"/>
                    </w:rPr>
                  </w:pPr>
                  <w:r>
                    <w:rPr>
                      <w:rFonts w:ascii="Times New Roman" w:hAnsi="Times New Roman" w:cs="Times New Roman"/>
                      <w:color w:val="FF0000"/>
                      <w:szCs w:val="21"/>
                    </w:rPr>
                    <w:t>0.4635</w:t>
                  </w:r>
                </w:p>
              </w:tc>
            </w:tr>
            <w:tr w14:paraId="248DA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2" w:hRule="atLeast"/>
                <w:jc w:val="center"/>
              </w:trPr>
              <w:tc>
                <w:tcPr>
                  <w:tcW w:w="261" w:type="pct"/>
                  <w:vMerge w:val="continue"/>
                  <w:tcBorders>
                    <w:tl2br w:val="nil"/>
                    <w:tr2bl w:val="nil"/>
                  </w:tcBorders>
                  <w:shd w:val="clear" w:color="auto" w:fill="FFFFFF"/>
                  <w:vAlign w:val="center"/>
                </w:tcPr>
                <w:p w14:paraId="2954B1B5">
                  <w:pPr>
                    <w:jc w:val="center"/>
                    <w:rPr>
                      <w:rFonts w:ascii="Times New Roman" w:hAnsi="Times New Roman" w:cs="Times New Roman"/>
                      <w:szCs w:val="21"/>
                    </w:rPr>
                  </w:pPr>
                </w:p>
              </w:tc>
              <w:tc>
                <w:tcPr>
                  <w:tcW w:w="262" w:type="pct"/>
                  <w:vMerge w:val="continue"/>
                  <w:tcBorders>
                    <w:tl2br w:val="nil"/>
                    <w:tr2bl w:val="nil"/>
                  </w:tcBorders>
                  <w:shd w:val="clear" w:color="auto" w:fill="FFFFFF"/>
                  <w:vAlign w:val="center"/>
                </w:tcPr>
                <w:p w14:paraId="31323177">
                  <w:pPr>
                    <w:jc w:val="center"/>
                    <w:rPr>
                      <w:rFonts w:ascii="Times New Roman" w:hAnsi="Times New Roman" w:cs="Times New Roman"/>
                      <w:szCs w:val="21"/>
                    </w:rPr>
                  </w:pPr>
                </w:p>
              </w:tc>
              <w:tc>
                <w:tcPr>
                  <w:tcW w:w="316" w:type="pct"/>
                  <w:vMerge w:val="restart"/>
                  <w:tcBorders>
                    <w:top w:val="single" w:color="auto" w:sz="4" w:space="0"/>
                    <w:tl2br w:val="nil"/>
                    <w:tr2bl w:val="nil"/>
                  </w:tcBorders>
                  <w:shd w:val="clear" w:color="auto" w:fill="FFFFFF"/>
                  <w:vAlign w:val="center"/>
                </w:tcPr>
                <w:p w14:paraId="6DA06B5C">
                  <w:pPr>
                    <w:jc w:val="center"/>
                    <w:rPr>
                      <w:rFonts w:ascii="Times New Roman" w:hAnsi="Times New Roman" w:cs="Times New Roman"/>
                      <w:szCs w:val="21"/>
                    </w:rPr>
                  </w:pPr>
                  <w:r>
                    <w:rPr>
                      <w:rFonts w:ascii="Times New Roman" w:hAnsi="Times New Roman" w:cs="Times New Roman"/>
                      <w:szCs w:val="21"/>
                    </w:rPr>
                    <w:t>苯并[a]芘</w:t>
                  </w:r>
                </w:p>
              </w:tc>
              <w:tc>
                <w:tcPr>
                  <w:tcW w:w="386" w:type="pct"/>
                  <w:vMerge w:val="restart"/>
                  <w:tcBorders>
                    <w:top w:val="single" w:color="auto" w:sz="4" w:space="0"/>
                    <w:tl2br w:val="nil"/>
                    <w:tr2bl w:val="nil"/>
                  </w:tcBorders>
                  <w:shd w:val="clear" w:color="auto" w:fill="FFFFFF"/>
                  <w:vAlign w:val="center"/>
                </w:tcPr>
                <w:p w14:paraId="3E438D0D">
                  <w:pPr>
                    <w:jc w:val="center"/>
                    <w:rPr>
                      <w:rFonts w:ascii="Times New Roman" w:hAnsi="Times New Roman" w:cs="Times New Roman"/>
                      <w:szCs w:val="21"/>
                    </w:rPr>
                  </w:pPr>
                  <w:r>
                    <w:rPr>
                      <w:rFonts w:hint="eastAsia" w:ascii="Times New Roman" w:hAnsi="Times New Roman" w:cs="Times New Roman"/>
                      <w:szCs w:val="21"/>
                    </w:rPr>
                    <w:t>0.0000727</w:t>
                  </w:r>
                </w:p>
              </w:tc>
              <w:tc>
                <w:tcPr>
                  <w:tcW w:w="478" w:type="pct"/>
                  <w:vMerge w:val="restart"/>
                  <w:tcBorders>
                    <w:top w:val="single" w:color="auto" w:sz="4" w:space="0"/>
                    <w:tl2br w:val="nil"/>
                    <w:tr2bl w:val="nil"/>
                  </w:tcBorders>
                  <w:shd w:val="clear" w:color="auto" w:fill="FFFFFF"/>
                  <w:vAlign w:val="center"/>
                </w:tcPr>
                <w:p w14:paraId="40870377">
                  <w:pPr>
                    <w:jc w:val="center"/>
                    <w:rPr>
                      <w:rFonts w:ascii="Times New Roman" w:hAnsi="Times New Roman" w:cs="Times New Roman"/>
                      <w:szCs w:val="21"/>
                    </w:rPr>
                  </w:pPr>
                  <w:r>
                    <w:rPr>
                      <w:rFonts w:hint="eastAsia" w:ascii="Times New Roman" w:hAnsi="Times New Roman" w:cs="Times New Roman"/>
                      <w:szCs w:val="21"/>
                    </w:rPr>
                    <w:t>0.0000168</w:t>
                  </w:r>
                </w:p>
              </w:tc>
              <w:tc>
                <w:tcPr>
                  <w:tcW w:w="575" w:type="pct"/>
                  <w:vMerge w:val="restart"/>
                  <w:tcBorders>
                    <w:top w:val="single" w:color="auto" w:sz="4" w:space="0"/>
                    <w:tl2br w:val="nil"/>
                    <w:tr2bl w:val="nil"/>
                  </w:tcBorders>
                  <w:shd w:val="clear" w:color="auto" w:fill="FFFFFF"/>
                  <w:vAlign w:val="center"/>
                </w:tcPr>
                <w:p w14:paraId="169CBA9C">
                  <w:pPr>
                    <w:jc w:val="center"/>
                    <w:rPr>
                      <w:rFonts w:ascii="Times New Roman" w:hAnsi="Times New Roman" w:cs="Times New Roman"/>
                      <w:szCs w:val="21"/>
                    </w:rPr>
                  </w:pPr>
                  <w:r>
                    <w:rPr>
                      <w:rFonts w:hint="eastAsia" w:ascii="Times New Roman" w:hAnsi="Times New Roman" w:cs="Times New Roman"/>
                      <w:szCs w:val="21"/>
                    </w:rPr>
                    <w:t>0.00077</w:t>
                  </w:r>
                </w:p>
              </w:tc>
              <w:tc>
                <w:tcPr>
                  <w:tcW w:w="725" w:type="pct"/>
                  <w:vMerge w:val="continue"/>
                  <w:tcBorders>
                    <w:tl2br w:val="nil"/>
                    <w:tr2bl w:val="nil"/>
                  </w:tcBorders>
                  <w:shd w:val="clear" w:color="auto" w:fill="FFFFFF"/>
                  <w:vAlign w:val="center"/>
                </w:tcPr>
                <w:p w14:paraId="15AFA600">
                  <w:pPr>
                    <w:jc w:val="center"/>
                    <w:rPr>
                      <w:rFonts w:ascii="Times New Roman" w:hAnsi="Times New Roman" w:cs="Times New Roman"/>
                      <w:szCs w:val="21"/>
                    </w:rPr>
                  </w:pPr>
                </w:p>
              </w:tc>
              <w:tc>
                <w:tcPr>
                  <w:tcW w:w="360" w:type="pct"/>
                  <w:vMerge w:val="restart"/>
                  <w:tcBorders>
                    <w:top w:val="single" w:color="auto" w:sz="4" w:space="0"/>
                    <w:tl2br w:val="nil"/>
                    <w:tr2bl w:val="nil"/>
                  </w:tcBorders>
                  <w:shd w:val="clear" w:color="auto" w:fill="FFFFFF"/>
                  <w:vAlign w:val="center"/>
                </w:tcPr>
                <w:p w14:paraId="0E8011BD">
                  <w:pPr>
                    <w:jc w:val="center"/>
                    <w:rPr>
                      <w:rFonts w:ascii="Times New Roman" w:hAnsi="Times New Roman" w:cs="Times New Roman"/>
                      <w:szCs w:val="21"/>
                    </w:rPr>
                  </w:pPr>
                  <w:r>
                    <w:rPr>
                      <w:rFonts w:hint="eastAsia" w:ascii="Times New Roman" w:hAnsi="Times New Roman" w:cs="Times New Roman"/>
                      <w:szCs w:val="21"/>
                    </w:rPr>
                    <w:t>0.000000727</w:t>
                  </w:r>
                </w:p>
              </w:tc>
              <w:tc>
                <w:tcPr>
                  <w:tcW w:w="462" w:type="pct"/>
                  <w:vMerge w:val="restart"/>
                  <w:tcBorders>
                    <w:top w:val="single" w:color="auto" w:sz="4" w:space="0"/>
                    <w:tl2br w:val="nil"/>
                    <w:tr2bl w:val="nil"/>
                  </w:tcBorders>
                  <w:shd w:val="clear" w:color="auto" w:fill="FFFFFF"/>
                  <w:vAlign w:val="center"/>
                </w:tcPr>
                <w:p w14:paraId="62353AED">
                  <w:pPr>
                    <w:jc w:val="center"/>
                    <w:rPr>
                      <w:rFonts w:ascii="Times New Roman" w:hAnsi="Times New Roman" w:cs="Times New Roman"/>
                      <w:szCs w:val="21"/>
                    </w:rPr>
                  </w:pPr>
                  <w:r>
                    <w:rPr>
                      <w:rFonts w:hint="eastAsia" w:ascii="Times New Roman" w:hAnsi="Times New Roman" w:cs="Times New Roman"/>
                      <w:szCs w:val="21"/>
                    </w:rPr>
                    <w:t>1.68</w:t>
                  </w:r>
                  <w:r>
                    <w:rPr>
                      <w:rFonts w:ascii="Times New Roman" w:hAnsi="Times New Roman" w:cs="Times New Roman"/>
                      <w:szCs w:val="21"/>
                    </w:rPr>
                    <w:t>×</w:t>
                  </w:r>
                </w:p>
                <w:p w14:paraId="2F2289F0">
                  <w:pPr>
                    <w:jc w:val="center"/>
                    <w:rPr>
                      <w:rFonts w:ascii="Times New Roman" w:hAnsi="Times New Roman" w:cs="Times New Roman"/>
                      <w:szCs w:val="21"/>
                    </w:rPr>
                  </w:pPr>
                  <w:r>
                    <w:rPr>
                      <w:rFonts w:ascii="Times New Roman" w:hAnsi="Times New Roman" w:cs="Times New Roman"/>
                      <w:szCs w:val="21"/>
                    </w:rPr>
                    <w:t>10</w:t>
                  </w:r>
                  <w:r>
                    <w:rPr>
                      <w:rFonts w:hint="eastAsia" w:ascii="Times New Roman" w:hAnsi="Times New Roman" w:cs="Times New Roman"/>
                      <w:szCs w:val="21"/>
                      <w:vertAlign w:val="superscript"/>
                    </w:rPr>
                    <w:t>-7</w:t>
                  </w:r>
                </w:p>
              </w:tc>
              <w:tc>
                <w:tcPr>
                  <w:tcW w:w="593" w:type="pct"/>
                  <w:vMerge w:val="restart"/>
                  <w:tcBorders>
                    <w:top w:val="single" w:color="auto" w:sz="4" w:space="0"/>
                    <w:tl2br w:val="nil"/>
                    <w:tr2bl w:val="nil"/>
                  </w:tcBorders>
                  <w:shd w:val="clear" w:color="auto" w:fill="FFFFFF"/>
                  <w:vAlign w:val="center"/>
                </w:tcPr>
                <w:p w14:paraId="5B128EFB">
                  <w:pPr>
                    <w:jc w:val="center"/>
                    <w:rPr>
                      <w:rFonts w:ascii="Times New Roman" w:hAnsi="Times New Roman" w:cs="Times New Roman"/>
                      <w:szCs w:val="21"/>
                    </w:rPr>
                  </w:pPr>
                  <w:r>
                    <w:rPr>
                      <w:rFonts w:hint="eastAsia" w:ascii="Times New Roman" w:hAnsi="Times New Roman" w:cs="Times New Roman"/>
                      <w:szCs w:val="21"/>
                    </w:rPr>
                    <w:t>7.708</w:t>
                  </w:r>
                  <w:r>
                    <w:rPr>
                      <w:rFonts w:ascii="Times New Roman" w:hAnsi="Times New Roman" w:cs="Times New Roman"/>
                      <w:szCs w:val="21"/>
                    </w:rPr>
                    <w:t>×10</w:t>
                  </w:r>
                  <w:r>
                    <w:rPr>
                      <w:rFonts w:hint="eastAsia" w:ascii="Times New Roman" w:hAnsi="Times New Roman" w:cs="Times New Roman"/>
                      <w:szCs w:val="21"/>
                      <w:vertAlign w:val="superscript"/>
                    </w:rPr>
                    <w:t>-6</w:t>
                  </w:r>
                </w:p>
              </w:tc>
              <w:tc>
                <w:tcPr>
                  <w:tcW w:w="943" w:type="dxa"/>
                  <w:tcBorders>
                    <w:top w:val="single" w:color="auto" w:sz="4" w:space="0"/>
                    <w:bottom w:val="single" w:color="auto" w:sz="4" w:space="0"/>
                    <w:tl2br w:val="nil"/>
                    <w:tr2bl w:val="nil"/>
                  </w:tcBorders>
                  <w:shd w:val="clear" w:color="auto" w:fill="FFFFFF"/>
                  <w:vAlign w:val="center"/>
                </w:tcPr>
                <w:p w14:paraId="7204285E">
                  <w:pPr>
                    <w:jc w:val="center"/>
                    <w:rPr>
                      <w:rFonts w:ascii="Times New Roman" w:hAnsi="Times New Roman" w:cs="Times New Roman"/>
                      <w:szCs w:val="21"/>
                    </w:rPr>
                  </w:pPr>
                  <w:r>
                    <w:rPr>
                      <w:rFonts w:ascii="Times New Roman" w:hAnsi="Times New Roman" w:cs="Times New Roman"/>
                      <w:szCs w:val="21"/>
                    </w:rPr>
                    <w:t>0.3×10</w:t>
                  </w:r>
                  <w:r>
                    <w:rPr>
                      <w:rFonts w:ascii="Times New Roman" w:hAnsi="Times New Roman" w:cs="Times New Roman"/>
                      <w:szCs w:val="21"/>
                      <w:vertAlign w:val="superscript"/>
                    </w:rPr>
                    <w:t>-3</w:t>
                  </w:r>
                </w:p>
              </w:tc>
            </w:tr>
            <w:tr w14:paraId="45A8C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jc w:val="center"/>
              </w:trPr>
              <w:tc>
                <w:tcPr>
                  <w:tcW w:w="261" w:type="pct"/>
                  <w:vMerge w:val="continue"/>
                  <w:tcBorders>
                    <w:tl2br w:val="nil"/>
                    <w:tr2bl w:val="nil"/>
                  </w:tcBorders>
                  <w:shd w:val="clear" w:color="auto" w:fill="FFFFFF"/>
                  <w:vAlign w:val="center"/>
                </w:tcPr>
                <w:p w14:paraId="687F2EC0">
                  <w:pPr>
                    <w:jc w:val="center"/>
                    <w:rPr>
                      <w:rFonts w:ascii="Times New Roman" w:hAnsi="Times New Roman" w:cs="Times New Roman"/>
                      <w:szCs w:val="21"/>
                    </w:rPr>
                  </w:pPr>
                </w:p>
              </w:tc>
              <w:tc>
                <w:tcPr>
                  <w:tcW w:w="262" w:type="pct"/>
                  <w:vMerge w:val="continue"/>
                  <w:tcBorders>
                    <w:tl2br w:val="nil"/>
                    <w:tr2bl w:val="nil"/>
                  </w:tcBorders>
                  <w:shd w:val="clear" w:color="auto" w:fill="FFFFFF"/>
                  <w:vAlign w:val="center"/>
                </w:tcPr>
                <w:p w14:paraId="72316698">
                  <w:pPr>
                    <w:jc w:val="center"/>
                    <w:rPr>
                      <w:rFonts w:ascii="Times New Roman" w:hAnsi="Times New Roman" w:cs="Times New Roman"/>
                      <w:szCs w:val="21"/>
                    </w:rPr>
                  </w:pPr>
                </w:p>
              </w:tc>
              <w:tc>
                <w:tcPr>
                  <w:tcW w:w="316" w:type="pct"/>
                  <w:vMerge w:val="continue"/>
                  <w:tcBorders>
                    <w:bottom w:val="single" w:color="auto" w:sz="4" w:space="0"/>
                    <w:tl2br w:val="nil"/>
                    <w:tr2bl w:val="nil"/>
                  </w:tcBorders>
                  <w:shd w:val="clear" w:color="auto" w:fill="FFFFFF"/>
                  <w:vAlign w:val="center"/>
                </w:tcPr>
                <w:p w14:paraId="6C39D62B">
                  <w:pPr>
                    <w:jc w:val="center"/>
                    <w:rPr>
                      <w:rFonts w:ascii="Times New Roman" w:hAnsi="Times New Roman" w:cs="Times New Roman"/>
                      <w:szCs w:val="21"/>
                    </w:rPr>
                  </w:pPr>
                </w:p>
              </w:tc>
              <w:tc>
                <w:tcPr>
                  <w:tcW w:w="386" w:type="pct"/>
                  <w:vMerge w:val="continue"/>
                  <w:tcBorders>
                    <w:bottom w:val="single" w:color="auto" w:sz="4" w:space="0"/>
                    <w:tl2br w:val="nil"/>
                    <w:tr2bl w:val="nil"/>
                  </w:tcBorders>
                  <w:shd w:val="clear" w:color="auto" w:fill="FFFFFF"/>
                  <w:vAlign w:val="center"/>
                </w:tcPr>
                <w:p w14:paraId="01DA20B1">
                  <w:pPr>
                    <w:jc w:val="center"/>
                    <w:rPr>
                      <w:rFonts w:ascii="Times New Roman" w:hAnsi="Times New Roman" w:cs="Times New Roman"/>
                      <w:szCs w:val="21"/>
                    </w:rPr>
                  </w:pPr>
                </w:p>
              </w:tc>
              <w:tc>
                <w:tcPr>
                  <w:tcW w:w="478" w:type="pct"/>
                  <w:vMerge w:val="continue"/>
                  <w:tcBorders>
                    <w:bottom w:val="single" w:color="auto" w:sz="4" w:space="0"/>
                    <w:tl2br w:val="nil"/>
                    <w:tr2bl w:val="nil"/>
                  </w:tcBorders>
                  <w:shd w:val="clear" w:color="auto" w:fill="FFFFFF"/>
                  <w:vAlign w:val="center"/>
                </w:tcPr>
                <w:p w14:paraId="2824DD86">
                  <w:pPr>
                    <w:jc w:val="center"/>
                    <w:rPr>
                      <w:rFonts w:ascii="Times New Roman" w:hAnsi="Times New Roman" w:cs="Times New Roman"/>
                      <w:szCs w:val="21"/>
                    </w:rPr>
                  </w:pPr>
                </w:p>
              </w:tc>
              <w:tc>
                <w:tcPr>
                  <w:tcW w:w="575" w:type="pct"/>
                  <w:vMerge w:val="continue"/>
                  <w:tcBorders>
                    <w:bottom w:val="single" w:color="auto" w:sz="4" w:space="0"/>
                    <w:tl2br w:val="nil"/>
                    <w:tr2bl w:val="nil"/>
                  </w:tcBorders>
                  <w:shd w:val="clear" w:color="auto" w:fill="FFFFFF"/>
                  <w:vAlign w:val="center"/>
                </w:tcPr>
                <w:p w14:paraId="29533281">
                  <w:pPr>
                    <w:jc w:val="center"/>
                    <w:rPr>
                      <w:rFonts w:ascii="Times New Roman" w:hAnsi="Times New Roman" w:cs="Times New Roman"/>
                      <w:szCs w:val="21"/>
                    </w:rPr>
                  </w:pPr>
                </w:p>
              </w:tc>
              <w:tc>
                <w:tcPr>
                  <w:tcW w:w="725" w:type="pct"/>
                  <w:vMerge w:val="continue"/>
                  <w:tcBorders>
                    <w:tl2br w:val="nil"/>
                    <w:tr2bl w:val="nil"/>
                  </w:tcBorders>
                  <w:shd w:val="clear" w:color="auto" w:fill="FFFFFF"/>
                  <w:vAlign w:val="center"/>
                </w:tcPr>
                <w:p w14:paraId="77C53AA7">
                  <w:pPr>
                    <w:jc w:val="center"/>
                    <w:rPr>
                      <w:rFonts w:ascii="Times New Roman" w:hAnsi="Times New Roman" w:cs="Times New Roman"/>
                      <w:szCs w:val="21"/>
                    </w:rPr>
                  </w:pPr>
                </w:p>
              </w:tc>
              <w:tc>
                <w:tcPr>
                  <w:tcW w:w="360" w:type="pct"/>
                  <w:vMerge w:val="continue"/>
                  <w:tcBorders>
                    <w:bottom w:val="single" w:color="auto" w:sz="4" w:space="0"/>
                    <w:tl2br w:val="nil"/>
                    <w:tr2bl w:val="nil"/>
                  </w:tcBorders>
                  <w:shd w:val="clear" w:color="auto" w:fill="FFFFFF"/>
                  <w:vAlign w:val="center"/>
                </w:tcPr>
                <w:p w14:paraId="646816EC">
                  <w:pPr>
                    <w:jc w:val="center"/>
                    <w:rPr>
                      <w:rFonts w:ascii="Times New Roman" w:hAnsi="Times New Roman" w:cs="Times New Roman"/>
                      <w:szCs w:val="21"/>
                    </w:rPr>
                  </w:pPr>
                </w:p>
              </w:tc>
              <w:tc>
                <w:tcPr>
                  <w:tcW w:w="462" w:type="pct"/>
                  <w:vMerge w:val="continue"/>
                  <w:tcBorders>
                    <w:bottom w:val="single" w:color="auto" w:sz="4" w:space="0"/>
                    <w:tl2br w:val="nil"/>
                    <w:tr2bl w:val="nil"/>
                  </w:tcBorders>
                  <w:shd w:val="clear" w:color="auto" w:fill="FFFFFF"/>
                  <w:vAlign w:val="center"/>
                </w:tcPr>
                <w:p w14:paraId="08443820">
                  <w:pPr>
                    <w:jc w:val="center"/>
                    <w:rPr>
                      <w:rFonts w:ascii="Times New Roman" w:hAnsi="Times New Roman" w:cs="Times New Roman"/>
                      <w:szCs w:val="21"/>
                    </w:rPr>
                  </w:pPr>
                </w:p>
              </w:tc>
              <w:tc>
                <w:tcPr>
                  <w:tcW w:w="593" w:type="pct"/>
                  <w:vMerge w:val="continue"/>
                  <w:tcBorders>
                    <w:bottom w:val="single" w:color="auto" w:sz="4" w:space="0"/>
                    <w:tl2br w:val="nil"/>
                    <w:tr2bl w:val="nil"/>
                  </w:tcBorders>
                  <w:shd w:val="clear" w:color="auto" w:fill="FFFFFF"/>
                  <w:vAlign w:val="center"/>
                </w:tcPr>
                <w:p w14:paraId="3C29D5AD">
                  <w:pPr>
                    <w:jc w:val="center"/>
                    <w:rPr>
                      <w:rFonts w:ascii="Times New Roman" w:hAnsi="Times New Roman" w:cs="Times New Roman"/>
                      <w:szCs w:val="21"/>
                    </w:rPr>
                  </w:pPr>
                </w:p>
              </w:tc>
              <w:tc>
                <w:tcPr>
                  <w:tcW w:w="943" w:type="dxa"/>
                  <w:tcBorders>
                    <w:top w:val="single" w:color="auto" w:sz="4" w:space="0"/>
                    <w:bottom w:val="single" w:color="auto" w:sz="4" w:space="0"/>
                    <w:tl2br w:val="nil"/>
                    <w:tr2bl w:val="nil"/>
                  </w:tcBorders>
                  <w:shd w:val="clear" w:color="auto" w:fill="FFFFFF"/>
                  <w:vAlign w:val="center"/>
                </w:tcPr>
                <w:p w14:paraId="2BF73493">
                  <w:pPr>
                    <w:jc w:val="center"/>
                    <w:rPr>
                      <w:rFonts w:ascii="Times New Roman" w:hAnsi="Times New Roman" w:cs="Times New Roman"/>
                      <w:szCs w:val="21"/>
                    </w:rPr>
                  </w:pPr>
                  <w:r>
                    <w:rPr>
                      <w:rFonts w:ascii="Times New Roman" w:hAnsi="Times New Roman" w:cs="Times New Roman"/>
                      <w:color w:val="FF0000"/>
                      <w:szCs w:val="21"/>
                    </w:rPr>
                    <w:t>0.09375×10</w:t>
                  </w:r>
                  <w:r>
                    <w:rPr>
                      <w:rFonts w:hint="eastAsia" w:ascii="Times New Roman" w:hAnsi="Times New Roman" w:cs="Times New Roman"/>
                      <w:color w:val="FF0000"/>
                      <w:szCs w:val="21"/>
                      <w:vertAlign w:val="superscript"/>
                    </w:rPr>
                    <w:t>-3</w:t>
                  </w:r>
                </w:p>
              </w:tc>
            </w:tr>
            <w:tr w14:paraId="27E4B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jc w:val="center"/>
              </w:trPr>
              <w:tc>
                <w:tcPr>
                  <w:tcW w:w="261" w:type="pct"/>
                  <w:vMerge w:val="continue"/>
                  <w:tcBorders>
                    <w:tl2br w:val="nil"/>
                    <w:tr2bl w:val="nil"/>
                  </w:tcBorders>
                  <w:shd w:val="clear" w:color="auto" w:fill="FFFFFF"/>
                  <w:vAlign w:val="center"/>
                </w:tcPr>
                <w:p w14:paraId="76CECB41">
                  <w:pPr>
                    <w:jc w:val="center"/>
                    <w:rPr>
                      <w:rFonts w:ascii="Times New Roman" w:hAnsi="Times New Roman" w:cs="Times New Roman"/>
                      <w:szCs w:val="21"/>
                    </w:rPr>
                  </w:pPr>
                </w:p>
              </w:tc>
              <w:tc>
                <w:tcPr>
                  <w:tcW w:w="262" w:type="pct"/>
                  <w:vMerge w:val="continue"/>
                  <w:tcBorders>
                    <w:tl2br w:val="nil"/>
                    <w:tr2bl w:val="nil"/>
                  </w:tcBorders>
                  <w:shd w:val="clear" w:color="auto" w:fill="FFFFFF"/>
                  <w:vAlign w:val="center"/>
                </w:tcPr>
                <w:p w14:paraId="765864E9">
                  <w:pPr>
                    <w:jc w:val="center"/>
                    <w:rPr>
                      <w:rFonts w:ascii="Times New Roman" w:hAnsi="Times New Roman" w:cs="Times New Roman"/>
                      <w:szCs w:val="21"/>
                    </w:rPr>
                  </w:pPr>
                </w:p>
              </w:tc>
              <w:tc>
                <w:tcPr>
                  <w:tcW w:w="316" w:type="pct"/>
                  <w:vMerge w:val="restart"/>
                  <w:tcBorders>
                    <w:top w:val="single" w:color="auto" w:sz="4" w:space="0"/>
                    <w:tl2br w:val="nil"/>
                    <w:tr2bl w:val="nil"/>
                  </w:tcBorders>
                  <w:shd w:val="clear" w:color="auto" w:fill="FFFFFF"/>
                  <w:vAlign w:val="center"/>
                </w:tcPr>
                <w:p w14:paraId="382438DA">
                  <w:pPr>
                    <w:jc w:val="center"/>
                    <w:rPr>
                      <w:rFonts w:ascii="Times New Roman" w:hAnsi="Times New Roman" w:cs="Times New Roman"/>
                      <w:szCs w:val="21"/>
                    </w:rPr>
                  </w:pPr>
                  <w:r>
                    <w:rPr>
                      <w:rFonts w:hint="eastAsia" w:ascii="Times New Roman" w:hAnsi="Times New Roman" w:cs="Times New Roman"/>
                      <w:szCs w:val="21"/>
                    </w:rPr>
                    <w:t>非甲烷总烃</w:t>
                  </w:r>
                </w:p>
              </w:tc>
              <w:tc>
                <w:tcPr>
                  <w:tcW w:w="386" w:type="pct"/>
                  <w:vMerge w:val="restart"/>
                  <w:tcBorders>
                    <w:top w:val="single" w:color="auto" w:sz="4" w:space="0"/>
                    <w:tl2br w:val="nil"/>
                    <w:tr2bl w:val="nil"/>
                  </w:tcBorders>
                  <w:shd w:val="clear" w:color="auto" w:fill="FFFFFF"/>
                  <w:vAlign w:val="center"/>
                </w:tcPr>
                <w:p w14:paraId="60A5E6EC">
                  <w:pPr>
                    <w:jc w:val="center"/>
                    <w:rPr>
                      <w:rFonts w:ascii="Times New Roman" w:hAnsi="Times New Roman" w:cs="Times New Roman"/>
                      <w:szCs w:val="21"/>
                    </w:rPr>
                  </w:pPr>
                  <w:r>
                    <w:rPr>
                      <w:rFonts w:hint="eastAsia" w:ascii="Times New Roman" w:hAnsi="Times New Roman" w:cs="Times New Roman"/>
                      <w:szCs w:val="21"/>
                    </w:rPr>
                    <w:t>0.339</w:t>
                  </w:r>
                </w:p>
              </w:tc>
              <w:tc>
                <w:tcPr>
                  <w:tcW w:w="478" w:type="pct"/>
                  <w:vMerge w:val="restart"/>
                  <w:tcBorders>
                    <w:top w:val="single" w:color="auto" w:sz="4" w:space="0"/>
                    <w:tl2br w:val="nil"/>
                    <w:tr2bl w:val="nil"/>
                  </w:tcBorders>
                  <w:shd w:val="clear" w:color="auto" w:fill="FFFFFF"/>
                  <w:vAlign w:val="center"/>
                </w:tcPr>
                <w:p w14:paraId="5798E2DF">
                  <w:pPr>
                    <w:jc w:val="center"/>
                    <w:rPr>
                      <w:rFonts w:ascii="Times New Roman" w:hAnsi="Times New Roman" w:cs="Times New Roman"/>
                      <w:szCs w:val="21"/>
                    </w:rPr>
                  </w:pPr>
                  <w:r>
                    <w:rPr>
                      <w:rFonts w:hint="eastAsia" w:ascii="Times New Roman" w:hAnsi="Times New Roman" w:cs="Times New Roman"/>
                      <w:szCs w:val="21"/>
                    </w:rPr>
                    <w:t>0.079</w:t>
                  </w:r>
                </w:p>
              </w:tc>
              <w:tc>
                <w:tcPr>
                  <w:tcW w:w="575" w:type="pct"/>
                  <w:vMerge w:val="restart"/>
                  <w:tcBorders>
                    <w:top w:val="single" w:color="auto" w:sz="4" w:space="0"/>
                    <w:tl2br w:val="nil"/>
                    <w:tr2bl w:val="nil"/>
                  </w:tcBorders>
                  <w:shd w:val="clear" w:color="auto" w:fill="FFFFFF"/>
                  <w:vAlign w:val="center"/>
                </w:tcPr>
                <w:p w14:paraId="1F445783">
                  <w:pPr>
                    <w:jc w:val="center"/>
                    <w:rPr>
                      <w:rFonts w:ascii="Times New Roman" w:hAnsi="Times New Roman" w:cs="Times New Roman"/>
                      <w:szCs w:val="21"/>
                    </w:rPr>
                  </w:pPr>
                  <w:r>
                    <w:rPr>
                      <w:rFonts w:hint="eastAsia" w:ascii="Times New Roman" w:hAnsi="Times New Roman" w:cs="Times New Roman"/>
                      <w:szCs w:val="21"/>
                    </w:rPr>
                    <w:t>3.596</w:t>
                  </w:r>
                </w:p>
              </w:tc>
              <w:tc>
                <w:tcPr>
                  <w:tcW w:w="725" w:type="pct"/>
                  <w:vMerge w:val="continue"/>
                  <w:tcBorders>
                    <w:tl2br w:val="nil"/>
                    <w:tr2bl w:val="nil"/>
                  </w:tcBorders>
                  <w:shd w:val="clear" w:color="auto" w:fill="FFFFFF"/>
                  <w:vAlign w:val="center"/>
                </w:tcPr>
                <w:p w14:paraId="1BDDEF8B">
                  <w:pPr>
                    <w:jc w:val="center"/>
                    <w:rPr>
                      <w:rFonts w:ascii="Times New Roman" w:hAnsi="Times New Roman" w:cs="Times New Roman"/>
                      <w:szCs w:val="21"/>
                    </w:rPr>
                  </w:pPr>
                </w:p>
              </w:tc>
              <w:tc>
                <w:tcPr>
                  <w:tcW w:w="360" w:type="pct"/>
                  <w:vMerge w:val="restart"/>
                  <w:tcBorders>
                    <w:top w:val="single" w:color="auto" w:sz="4" w:space="0"/>
                    <w:tl2br w:val="nil"/>
                    <w:tr2bl w:val="nil"/>
                  </w:tcBorders>
                  <w:shd w:val="clear" w:color="auto" w:fill="FFFFFF"/>
                  <w:vAlign w:val="center"/>
                </w:tcPr>
                <w:p w14:paraId="2C3B6EC1">
                  <w:pPr>
                    <w:jc w:val="center"/>
                    <w:rPr>
                      <w:rFonts w:ascii="Times New Roman" w:hAnsi="Times New Roman" w:cs="Times New Roman"/>
                      <w:szCs w:val="21"/>
                    </w:rPr>
                  </w:pPr>
                  <w:r>
                    <w:rPr>
                      <w:rFonts w:hint="eastAsia" w:ascii="Times New Roman" w:hAnsi="Times New Roman" w:cs="Times New Roman"/>
                      <w:szCs w:val="21"/>
                    </w:rPr>
                    <w:t>0.00339</w:t>
                  </w:r>
                </w:p>
              </w:tc>
              <w:tc>
                <w:tcPr>
                  <w:tcW w:w="462" w:type="pct"/>
                  <w:vMerge w:val="restart"/>
                  <w:tcBorders>
                    <w:top w:val="single" w:color="auto" w:sz="4" w:space="0"/>
                    <w:tl2br w:val="nil"/>
                    <w:tr2bl w:val="nil"/>
                  </w:tcBorders>
                  <w:shd w:val="clear" w:color="auto" w:fill="FFFFFF"/>
                  <w:vAlign w:val="center"/>
                </w:tcPr>
                <w:p w14:paraId="7F14B1FC">
                  <w:pPr>
                    <w:jc w:val="center"/>
                    <w:rPr>
                      <w:rFonts w:ascii="Times New Roman" w:hAnsi="Times New Roman" w:cs="Times New Roman"/>
                      <w:szCs w:val="21"/>
                    </w:rPr>
                  </w:pPr>
                  <w:r>
                    <w:rPr>
                      <w:rFonts w:hint="eastAsia" w:ascii="Times New Roman" w:hAnsi="Times New Roman" w:cs="Times New Roman"/>
                      <w:szCs w:val="21"/>
                    </w:rPr>
                    <w:t>0.00078</w:t>
                  </w:r>
                </w:p>
              </w:tc>
              <w:tc>
                <w:tcPr>
                  <w:tcW w:w="593" w:type="pct"/>
                  <w:vMerge w:val="restart"/>
                  <w:tcBorders>
                    <w:top w:val="single" w:color="auto" w:sz="4" w:space="0"/>
                    <w:tl2br w:val="nil"/>
                    <w:tr2bl w:val="nil"/>
                  </w:tcBorders>
                  <w:shd w:val="clear" w:color="auto" w:fill="FFFFFF"/>
                  <w:vAlign w:val="center"/>
                </w:tcPr>
                <w:p w14:paraId="57FD0283">
                  <w:pPr>
                    <w:jc w:val="center"/>
                    <w:rPr>
                      <w:rFonts w:ascii="Times New Roman" w:hAnsi="Times New Roman" w:cs="Times New Roman"/>
                      <w:szCs w:val="21"/>
                    </w:rPr>
                  </w:pPr>
                  <w:r>
                    <w:rPr>
                      <w:rFonts w:hint="eastAsia" w:ascii="Times New Roman" w:hAnsi="Times New Roman" w:cs="Times New Roman"/>
                      <w:szCs w:val="21"/>
                    </w:rPr>
                    <w:t>0.036</w:t>
                  </w:r>
                </w:p>
              </w:tc>
              <w:tc>
                <w:tcPr>
                  <w:tcW w:w="943" w:type="dxa"/>
                  <w:tcBorders>
                    <w:top w:val="single" w:color="auto" w:sz="4" w:space="0"/>
                    <w:bottom w:val="single" w:color="auto" w:sz="4" w:space="0"/>
                    <w:tl2br w:val="nil"/>
                    <w:tr2bl w:val="nil"/>
                  </w:tcBorders>
                  <w:shd w:val="clear" w:color="auto" w:fill="FFFFFF"/>
                  <w:vAlign w:val="center"/>
                </w:tcPr>
                <w:p w14:paraId="20564012">
                  <w:pPr>
                    <w:jc w:val="center"/>
                    <w:rPr>
                      <w:rFonts w:ascii="Times New Roman" w:hAnsi="Times New Roman" w:cs="Times New Roman"/>
                      <w:szCs w:val="21"/>
                    </w:rPr>
                  </w:pPr>
                  <w:r>
                    <w:rPr>
                      <w:rFonts w:hint="eastAsia" w:ascii="Times New Roman" w:hAnsi="Times New Roman" w:cs="Times New Roman"/>
                      <w:szCs w:val="21"/>
                    </w:rPr>
                    <w:t>120</w:t>
                  </w:r>
                </w:p>
              </w:tc>
            </w:tr>
            <w:tr w14:paraId="1DF16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61" w:type="pct"/>
                  <w:vMerge w:val="continue"/>
                  <w:tcBorders>
                    <w:tl2br w:val="nil"/>
                    <w:tr2bl w:val="nil"/>
                  </w:tcBorders>
                  <w:shd w:val="clear" w:color="auto" w:fill="FFFFFF"/>
                  <w:vAlign w:val="center"/>
                </w:tcPr>
                <w:p w14:paraId="0D1772B8">
                  <w:pPr>
                    <w:jc w:val="center"/>
                    <w:rPr>
                      <w:rFonts w:ascii="Times New Roman" w:hAnsi="Times New Roman" w:cs="Times New Roman"/>
                      <w:szCs w:val="21"/>
                    </w:rPr>
                  </w:pPr>
                </w:p>
              </w:tc>
              <w:tc>
                <w:tcPr>
                  <w:tcW w:w="262" w:type="pct"/>
                  <w:vMerge w:val="continue"/>
                  <w:tcBorders>
                    <w:bottom w:val="single" w:color="auto" w:sz="4" w:space="0"/>
                    <w:tl2br w:val="nil"/>
                    <w:tr2bl w:val="nil"/>
                  </w:tcBorders>
                  <w:shd w:val="clear" w:color="auto" w:fill="FFFFFF"/>
                  <w:vAlign w:val="center"/>
                </w:tcPr>
                <w:p w14:paraId="5798B38A">
                  <w:pPr>
                    <w:jc w:val="center"/>
                    <w:rPr>
                      <w:rFonts w:ascii="Times New Roman" w:hAnsi="Times New Roman" w:cs="Times New Roman"/>
                      <w:szCs w:val="21"/>
                    </w:rPr>
                  </w:pPr>
                </w:p>
              </w:tc>
              <w:tc>
                <w:tcPr>
                  <w:tcW w:w="316" w:type="pct"/>
                  <w:vMerge w:val="continue"/>
                  <w:tcBorders>
                    <w:bottom w:val="single" w:color="auto" w:sz="4" w:space="0"/>
                    <w:tl2br w:val="nil"/>
                    <w:tr2bl w:val="nil"/>
                  </w:tcBorders>
                  <w:shd w:val="clear" w:color="auto" w:fill="FFFFFF"/>
                  <w:vAlign w:val="center"/>
                </w:tcPr>
                <w:p w14:paraId="182CA5E7">
                  <w:pPr>
                    <w:jc w:val="center"/>
                    <w:rPr>
                      <w:rFonts w:ascii="Times New Roman" w:hAnsi="Times New Roman" w:cs="Times New Roman"/>
                      <w:szCs w:val="21"/>
                    </w:rPr>
                  </w:pPr>
                </w:p>
              </w:tc>
              <w:tc>
                <w:tcPr>
                  <w:tcW w:w="386" w:type="pct"/>
                  <w:vMerge w:val="continue"/>
                  <w:tcBorders>
                    <w:bottom w:val="single" w:color="auto" w:sz="4" w:space="0"/>
                    <w:tl2br w:val="nil"/>
                    <w:tr2bl w:val="nil"/>
                  </w:tcBorders>
                  <w:shd w:val="clear" w:color="auto" w:fill="FFFFFF"/>
                  <w:vAlign w:val="center"/>
                </w:tcPr>
                <w:p w14:paraId="03E5508F">
                  <w:pPr>
                    <w:jc w:val="center"/>
                    <w:rPr>
                      <w:rFonts w:ascii="Times New Roman" w:hAnsi="Times New Roman" w:cs="Times New Roman"/>
                      <w:szCs w:val="21"/>
                    </w:rPr>
                  </w:pPr>
                </w:p>
              </w:tc>
              <w:tc>
                <w:tcPr>
                  <w:tcW w:w="478" w:type="pct"/>
                  <w:vMerge w:val="continue"/>
                  <w:tcBorders>
                    <w:bottom w:val="single" w:color="auto" w:sz="4" w:space="0"/>
                    <w:tl2br w:val="nil"/>
                    <w:tr2bl w:val="nil"/>
                  </w:tcBorders>
                  <w:shd w:val="clear" w:color="auto" w:fill="FFFFFF"/>
                  <w:vAlign w:val="center"/>
                </w:tcPr>
                <w:p w14:paraId="0F5035ED">
                  <w:pPr>
                    <w:jc w:val="center"/>
                    <w:rPr>
                      <w:rFonts w:ascii="Times New Roman" w:hAnsi="Times New Roman" w:cs="Times New Roman"/>
                      <w:szCs w:val="21"/>
                    </w:rPr>
                  </w:pPr>
                </w:p>
              </w:tc>
              <w:tc>
                <w:tcPr>
                  <w:tcW w:w="575" w:type="pct"/>
                  <w:vMerge w:val="continue"/>
                  <w:tcBorders>
                    <w:bottom w:val="single" w:color="auto" w:sz="4" w:space="0"/>
                    <w:tl2br w:val="nil"/>
                    <w:tr2bl w:val="nil"/>
                  </w:tcBorders>
                  <w:shd w:val="clear" w:color="auto" w:fill="FFFFFF"/>
                  <w:vAlign w:val="center"/>
                </w:tcPr>
                <w:p w14:paraId="13316C83">
                  <w:pPr>
                    <w:jc w:val="center"/>
                    <w:rPr>
                      <w:rFonts w:ascii="Times New Roman" w:hAnsi="Times New Roman" w:cs="Times New Roman"/>
                      <w:szCs w:val="21"/>
                    </w:rPr>
                  </w:pPr>
                </w:p>
              </w:tc>
              <w:tc>
                <w:tcPr>
                  <w:tcW w:w="725" w:type="pct"/>
                  <w:vMerge w:val="continue"/>
                  <w:tcBorders>
                    <w:bottom w:val="single" w:color="auto" w:sz="4" w:space="0"/>
                    <w:tl2br w:val="nil"/>
                    <w:tr2bl w:val="nil"/>
                  </w:tcBorders>
                  <w:shd w:val="clear" w:color="auto" w:fill="FFFFFF"/>
                  <w:vAlign w:val="center"/>
                </w:tcPr>
                <w:p w14:paraId="6A1CA5E5">
                  <w:pPr>
                    <w:jc w:val="center"/>
                    <w:rPr>
                      <w:rFonts w:ascii="Times New Roman" w:hAnsi="Times New Roman" w:cs="Times New Roman"/>
                      <w:szCs w:val="21"/>
                    </w:rPr>
                  </w:pPr>
                </w:p>
              </w:tc>
              <w:tc>
                <w:tcPr>
                  <w:tcW w:w="360" w:type="pct"/>
                  <w:vMerge w:val="continue"/>
                  <w:tcBorders>
                    <w:bottom w:val="single" w:color="auto" w:sz="4" w:space="0"/>
                    <w:tl2br w:val="nil"/>
                    <w:tr2bl w:val="nil"/>
                  </w:tcBorders>
                  <w:shd w:val="clear" w:color="auto" w:fill="FFFFFF"/>
                  <w:vAlign w:val="center"/>
                </w:tcPr>
                <w:p w14:paraId="681526E5">
                  <w:pPr>
                    <w:jc w:val="center"/>
                    <w:rPr>
                      <w:rFonts w:ascii="Times New Roman" w:hAnsi="Times New Roman" w:cs="Times New Roman"/>
                      <w:szCs w:val="21"/>
                    </w:rPr>
                  </w:pPr>
                </w:p>
              </w:tc>
              <w:tc>
                <w:tcPr>
                  <w:tcW w:w="462" w:type="pct"/>
                  <w:vMerge w:val="continue"/>
                  <w:tcBorders>
                    <w:bottom w:val="single" w:color="auto" w:sz="4" w:space="0"/>
                    <w:tl2br w:val="nil"/>
                    <w:tr2bl w:val="nil"/>
                  </w:tcBorders>
                  <w:shd w:val="clear" w:color="auto" w:fill="FFFFFF"/>
                  <w:vAlign w:val="center"/>
                </w:tcPr>
                <w:p w14:paraId="0E81FDD4">
                  <w:pPr>
                    <w:jc w:val="center"/>
                    <w:rPr>
                      <w:rFonts w:ascii="Times New Roman" w:hAnsi="Times New Roman" w:cs="Times New Roman"/>
                      <w:szCs w:val="21"/>
                    </w:rPr>
                  </w:pPr>
                </w:p>
              </w:tc>
              <w:tc>
                <w:tcPr>
                  <w:tcW w:w="593" w:type="pct"/>
                  <w:vMerge w:val="continue"/>
                  <w:tcBorders>
                    <w:bottom w:val="single" w:color="auto" w:sz="4" w:space="0"/>
                    <w:tl2br w:val="nil"/>
                    <w:tr2bl w:val="nil"/>
                  </w:tcBorders>
                  <w:shd w:val="clear" w:color="auto" w:fill="FFFFFF"/>
                  <w:vAlign w:val="center"/>
                </w:tcPr>
                <w:p w14:paraId="2BF3714E">
                  <w:pPr>
                    <w:jc w:val="center"/>
                    <w:rPr>
                      <w:rFonts w:ascii="Times New Roman" w:hAnsi="Times New Roman" w:cs="Times New Roman"/>
                      <w:szCs w:val="21"/>
                    </w:rPr>
                  </w:pPr>
                </w:p>
              </w:tc>
              <w:tc>
                <w:tcPr>
                  <w:tcW w:w="943" w:type="dxa"/>
                  <w:tcBorders>
                    <w:top w:val="single" w:color="auto" w:sz="4" w:space="0"/>
                    <w:bottom w:val="single" w:color="auto" w:sz="4" w:space="0"/>
                    <w:tl2br w:val="nil"/>
                    <w:tr2bl w:val="nil"/>
                  </w:tcBorders>
                  <w:shd w:val="clear" w:color="auto" w:fill="FFFFFF"/>
                  <w:vAlign w:val="center"/>
                </w:tcPr>
                <w:p w14:paraId="354E7529">
                  <w:pPr>
                    <w:jc w:val="center"/>
                    <w:rPr>
                      <w:rFonts w:ascii="Times New Roman" w:hAnsi="Times New Roman" w:eastAsia="仿宋" w:cs="Times New Roman"/>
                      <w:szCs w:val="21"/>
                    </w:rPr>
                  </w:pPr>
                  <w:r>
                    <w:rPr>
                      <w:rFonts w:hint="eastAsia" w:ascii="Times New Roman" w:hAnsi="Times New Roman" w:eastAsia="仿宋" w:cs="Times New Roman"/>
                      <w:color w:val="FF0000"/>
                      <w:szCs w:val="21"/>
                    </w:rPr>
                    <w:t>12</w:t>
                  </w:r>
                </w:p>
              </w:tc>
            </w:tr>
            <w:tr w14:paraId="5593C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61" w:type="pct"/>
                  <w:vMerge w:val="continue"/>
                  <w:tcBorders>
                    <w:tl2br w:val="nil"/>
                    <w:tr2bl w:val="nil"/>
                  </w:tcBorders>
                  <w:shd w:val="clear" w:color="auto" w:fill="FFFFFF"/>
                  <w:vAlign w:val="center"/>
                </w:tcPr>
                <w:p w14:paraId="50D8ADD8">
                  <w:pPr>
                    <w:jc w:val="center"/>
                    <w:rPr>
                      <w:rFonts w:ascii="Times New Roman" w:hAnsi="Times New Roman" w:cs="Times New Roman"/>
                      <w:szCs w:val="21"/>
                    </w:rPr>
                  </w:pPr>
                </w:p>
              </w:tc>
              <w:tc>
                <w:tcPr>
                  <w:tcW w:w="262" w:type="pct"/>
                  <w:vMerge w:val="restart"/>
                  <w:tcBorders>
                    <w:top w:val="single" w:color="auto" w:sz="4" w:space="0"/>
                    <w:tl2br w:val="nil"/>
                    <w:tr2bl w:val="nil"/>
                  </w:tcBorders>
                  <w:shd w:val="clear" w:color="auto" w:fill="FFFFFF"/>
                  <w:vAlign w:val="center"/>
                </w:tcPr>
                <w:p w14:paraId="23921B6D">
                  <w:pPr>
                    <w:jc w:val="center"/>
                    <w:rPr>
                      <w:rFonts w:ascii="Times New Roman" w:hAnsi="Times New Roman" w:cs="Times New Roman"/>
                      <w:szCs w:val="21"/>
                    </w:rPr>
                  </w:pPr>
                  <w:r>
                    <w:rPr>
                      <w:rFonts w:hint="eastAsia" w:ascii="Times New Roman" w:hAnsi="Times New Roman" w:cs="Times New Roman"/>
                      <w:szCs w:val="21"/>
                    </w:rPr>
                    <w:t>无组织</w:t>
                  </w:r>
                </w:p>
              </w:tc>
              <w:tc>
                <w:tcPr>
                  <w:tcW w:w="316" w:type="pct"/>
                  <w:tcBorders>
                    <w:top w:val="single" w:color="auto" w:sz="4" w:space="0"/>
                    <w:bottom w:val="single" w:color="auto" w:sz="4" w:space="0"/>
                    <w:tl2br w:val="nil"/>
                    <w:tr2bl w:val="nil"/>
                  </w:tcBorders>
                  <w:shd w:val="clear" w:color="auto" w:fill="FFFFFF"/>
                  <w:vAlign w:val="center"/>
                </w:tcPr>
                <w:p w14:paraId="3732E3EA">
                  <w:pPr>
                    <w:jc w:val="center"/>
                    <w:rPr>
                      <w:rFonts w:ascii="Times New Roman" w:hAnsi="Times New Roman" w:cs="Times New Roman"/>
                      <w:szCs w:val="21"/>
                    </w:rPr>
                  </w:pPr>
                  <w:r>
                    <w:rPr>
                      <w:rFonts w:hint="eastAsia" w:ascii="Times New Roman" w:hAnsi="Times New Roman" w:cs="Times New Roman"/>
                      <w:szCs w:val="21"/>
                    </w:rPr>
                    <w:t>沥青烟</w:t>
                  </w:r>
                </w:p>
              </w:tc>
              <w:tc>
                <w:tcPr>
                  <w:tcW w:w="386" w:type="pct"/>
                  <w:tcBorders>
                    <w:top w:val="single" w:color="auto" w:sz="4" w:space="0"/>
                    <w:bottom w:val="single" w:color="auto" w:sz="4" w:space="0"/>
                    <w:tl2br w:val="nil"/>
                    <w:tr2bl w:val="nil"/>
                  </w:tcBorders>
                  <w:shd w:val="clear" w:color="auto" w:fill="FFFFFF"/>
                  <w:vAlign w:val="center"/>
                </w:tcPr>
                <w:p w14:paraId="365E4E24">
                  <w:pPr>
                    <w:jc w:val="center"/>
                    <w:rPr>
                      <w:rFonts w:ascii="Times New Roman" w:hAnsi="Times New Roman" w:cs="Times New Roman"/>
                      <w:szCs w:val="21"/>
                    </w:rPr>
                  </w:pPr>
                  <w:r>
                    <w:rPr>
                      <w:rFonts w:hint="eastAsia" w:ascii="Times New Roman" w:hAnsi="Times New Roman" w:cs="Times New Roman"/>
                      <w:szCs w:val="21"/>
                    </w:rPr>
                    <w:t>0.0255</w:t>
                  </w:r>
                </w:p>
              </w:tc>
              <w:tc>
                <w:tcPr>
                  <w:tcW w:w="478" w:type="pct"/>
                  <w:tcBorders>
                    <w:top w:val="single" w:color="auto" w:sz="4" w:space="0"/>
                    <w:bottom w:val="single" w:color="auto" w:sz="4" w:space="0"/>
                    <w:tl2br w:val="nil"/>
                    <w:tr2bl w:val="nil"/>
                  </w:tcBorders>
                  <w:shd w:val="clear" w:color="auto" w:fill="FFFFFF"/>
                  <w:vAlign w:val="center"/>
                </w:tcPr>
                <w:p w14:paraId="5AE89584">
                  <w:pPr>
                    <w:jc w:val="center"/>
                    <w:rPr>
                      <w:rFonts w:ascii="Times New Roman" w:hAnsi="Times New Roman" w:cs="Times New Roman"/>
                      <w:szCs w:val="21"/>
                    </w:rPr>
                  </w:pPr>
                  <w:r>
                    <w:rPr>
                      <w:rFonts w:hint="eastAsia" w:ascii="Times New Roman" w:hAnsi="Times New Roman" w:cs="Times New Roman"/>
                      <w:szCs w:val="21"/>
                    </w:rPr>
                    <w:t>0.0059</w:t>
                  </w:r>
                </w:p>
              </w:tc>
              <w:tc>
                <w:tcPr>
                  <w:tcW w:w="575" w:type="pct"/>
                  <w:tcBorders>
                    <w:top w:val="single" w:color="auto" w:sz="4" w:space="0"/>
                    <w:bottom w:val="single" w:color="auto" w:sz="4" w:space="0"/>
                    <w:tl2br w:val="nil"/>
                    <w:tr2bl w:val="nil"/>
                  </w:tcBorders>
                  <w:shd w:val="clear" w:color="auto" w:fill="FFFFFF"/>
                  <w:vAlign w:val="center"/>
                </w:tcPr>
                <w:p w14:paraId="27BCCC03">
                  <w:pPr>
                    <w:jc w:val="center"/>
                    <w:rPr>
                      <w:rFonts w:ascii="Times New Roman" w:hAnsi="Times New Roman" w:cs="Times New Roman"/>
                      <w:szCs w:val="21"/>
                    </w:rPr>
                  </w:pPr>
                  <w:r>
                    <w:rPr>
                      <w:rFonts w:hint="eastAsia" w:ascii="Times New Roman" w:hAnsi="Times New Roman" w:cs="Times New Roman"/>
                      <w:szCs w:val="21"/>
                    </w:rPr>
                    <w:t>/</w:t>
                  </w:r>
                </w:p>
              </w:tc>
              <w:tc>
                <w:tcPr>
                  <w:tcW w:w="725" w:type="pct"/>
                  <w:vMerge w:val="restart"/>
                  <w:tcBorders>
                    <w:top w:val="single" w:color="auto" w:sz="4" w:space="0"/>
                    <w:tl2br w:val="nil"/>
                    <w:tr2bl w:val="nil"/>
                  </w:tcBorders>
                  <w:shd w:val="clear" w:color="auto" w:fill="FFFFFF"/>
                  <w:vAlign w:val="center"/>
                </w:tcPr>
                <w:p w14:paraId="10EB4784">
                  <w:pPr>
                    <w:jc w:val="center"/>
                    <w:rPr>
                      <w:rFonts w:ascii="Times New Roman" w:hAnsi="Times New Roman" w:cs="Times New Roman"/>
                      <w:szCs w:val="21"/>
                    </w:rPr>
                  </w:pPr>
                  <w:r>
                    <w:rPr>
                      <w:rFonts w:hint="eastAsia" w:ascii="Times New Roman" w:hAnsi="Times New Roman" w:cs="Times New Roman"/>
                      <w:szCs w:val="21"/>
                    </w:rPr>
                    <w:t>未收集呈无组织排放</w:t>
                  </w:r>
                </w:p>
              </w:tc>
              <w:tc>
                <w:tcPr>
                  <w:tcW w:w="590" w:type="dxa"/>
                  <w:tcBorders>
                    <w:top w:val="single" w:color="auto" w:sz="4" w:space="0"/>
                    <w:bottom w:val="single" w:color="auto" w:sz="4" w:space="0"/>
                    <w:tl2br w:val="nil"/>
                    <w:tr2bl w:val="nil"/>
                  </w:tcBorders>
                  <w:shd w:val="clear" w:color="auto" w:fill="FFFFFF"/>
                  <w:vAlign w:val="center"/>
                </w:tcPr>
                <w:p w14:paraId="2D233DD0">
                  <w:pPr>
                    <w:jc w:val="center"/>
                    <w:rPr>
                      <w:rFonts w:ascii="Times New Roman" w:hAnsi="Times New Roman" w:cs="Times New Roman"/>
                      <w:szCs w:val="21"/>
                    </w:rPr>
                  </w:pPr>
                  <w:r>
                    <w:rPr>
                      <w:rFonts w:hint="eastAsia" w:ascii="Times New Roman" w:hAnsi="Times New Roman" w:cs="Times New Roman"/>
                      <w:szCs w:val="21"/>
                    </w:rPr>
                    <w:t>0.0255</w:t>
                  </w:r>
                </w:p>
              </w:tc>
              <w:tc>
                <w:tcPr>
                  <w:tcW w:w="757" w:type="dxa"/>
                  <w:tcBorders>
                    <w:top w:val="single" w:color="auto" w:sz="4" w:space="0"/>
                    <w:bottom w:val="single" w:color="auto" w:sz="4" w:space="0"/>
                    <w:tl2br w:val="nil"/>
                    <w:tr2bl w:val="nil"/>
                  </w:tcBorders>
                  <w:shd w:val="clear" w:color="auto" w:fill="FFFFFF"/>
                  <w:vAlign w:val="center"/>
                </w:tcPr>
                <w:p w14:paraId="3C072A81">
                  <w:pPr>
                    <w:jc w:val="center"/>
                    <w:rPr>
                      <w:rFonts w:ascii="Times New Roman" w:hAnsi="Times New Roman" w:cs="Times New Roman"/>
                      <w:szCs w:val="21"/>
                    </w:rPr>
                  </w:pPr>
                  <w:r>
                    <w:rPr>
                      <w:rFonts w:hint="eastAsia" w:ascii="Times New Roman" w:hAnsi="Times New Roman" w:cs="Times New Roman"/>
                      <w:szCs w:val="21"/>
                    </w:rPr>
                    <w:t>0.0059</w:t>
                  </w:r>
                </w:p>
              </w:tc>
              <w:tc>
                <w:tcPr>
                  <w:tcW w:w="972" w:type="dxa"/>
                  <w:tcBorders>
                    <w:top w:val="single" w:color="auto" w:sz="4" w:space="0"/>
                    <w:bottom w:val="single" w:color="auto" w:sz="4" w:space="0"/>
                    <w:tl2br w:val="nil"/>
                    <w:tr2bl w:val="nil"/>
                  </w:tcBorders>
                  <w:shd w:val="clear" w:color="auto" w:fill="FFFFFF"/>
                  <w:vAlign w:val="center"/>
                </w:tcPr>
                <w:p w14:paraId="79F67DD0">
                  <w:pPr>
                    <w:jc w:val="center"/>
                    <w:rPr>
                      <w:rFonts w:ascii="Times New Roman" w:hAnsi="Times New Roman" w:cs="Times New Roman"/>
                      <w:szCs w:val="21"/>
                    </w:rPr>
                  </w:pPr>
                  <w:r>
                    <w:rPr>
                      <w:rFonts w:hint="eastAsia" w:ascii="Times New Roman" w:hAnsi="Times New Roman" w:cs="Times New Roman"/>
                      <w:szCs w:val="21"/>
                    </w:rPr>
                    <w:t>/</w:t>
                  </w:r>
                </w:p>
              </w:tc>
              <w:tc>
                <w:tcPr>
                  <w:tcW w:w="576" w:type="pct"/>
                  <w:tcBorders>
                    <w:top w:val="single" w:color="auto" w:sz="4" w:space="0"/>
                    <w:bottom w:val="single" w:color="auto" w:sz="4" w:space="0"/>
                    <w:tl2br w:val="nil"/>
                    <w:tr2bl w:val="nil"/>
                  </w:tcBorders>
                  <w:shd w:val="clear" w:color="auto" w:fill="FFFFFF"/>
                  <w:vAlign w:val="center"/>
                </w:tcPr>
                <w:p w14:paraId="0045846F">
                  <w:pPr>
                    <w:jc w:val="center"/>
                    <w:rPr>
                      <w:rFonts w:ascii="Times New Roman" w:hAnsi="Times New Roman" w:cs="Times New Roman"/>
                      <w:szCs w:val="21"/>
                    </w:rPr>
                  </w:pPr>
                  <w:r>
                    <w:rPr>
                      <w:rFonts w:ascii="Times New Roman" w:hAnsi="Times New Roman" w:cs="Times New Roman"/>
                      <w:szCs w:val="21"/>
                    </w:rPr>
                    <w:t xml:space="preserve">生产设备不得有明显的无组 </w:t>
                  </w:r>
                </w:p>
                <w:p w14:paraId="05F65126">
                  <w:pPr>
                    <w:jc w:val="center"/>
                    <w:rPr>
                      <w:rFonts w:ascii="Times New Roman" w:hAnsi="Times New Roman" w:cs="Times New Roman"/>
                      <w:szCs w:val="21"/>
                    </w:rPr>
                  </w:pPr>
                  <w:r>
                    <w:rPr>
                      <w:rFonts w:ascii="Times New Roman" w:hAnsi="Times New Roman" w:cs="Times New Roman"/>
                      <w:szCs w:val="21"/>
                    </w:rPr>
                    <w:t>织排放存在</w:t>
                  </w:r>
                </w:p>
              </w:tc>
            </w:tr>
            <w:tr w14:paraId="1C839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jc w:val="center"/>
              </w:trPr>
              <w:tc>
                <w:tcPr>
                  <w:tcW w:w="261" w:type="pct"/>
                  <w:vMerge w:val="continue"/>
                  <w:tcBorders>
                    <w:tl2br w:val="nil"/>
                    <w:tr2bl w:val="nil"/>
                  </w:tcBorders>
                  <w:shd w:val="clear" w:color="auto" w:fill="FFFFFF"/>
                  <w:vAlign w:val="center"/>
                </w:tcPr>
                <w:p w14:paraId="20986F7E">
                  <w:pPr>
                    <w:jc w:val="center"/>
                    <w:rPr>
                      <w:rFonts w:ascii="Times New Roman" w:hAnsi="Times New Roman" w:cs="Times New Roman"/>
                      <w:szCs w:val="21"/>
                    </w:rPr>
                  </w:pPr>
                </w:p>
              </w:tc>
              <w:tc>
                <w:tcPr>
                  <w:tcW w:w="262" w:type="pct"/>
                  <w:vMerge w:val="continue"/>
                  <w:tcBorders>
                    <w:tl2br w:val="nil"/>
                    <w:tr2bl w:val="nil"/>
                  </w:tcBorders>
                  <w:shd w:val="clear" w:color="auto" w:fill="FFFFFF"/>
                  <w:vAlign w:val="center"/>
                </w:tcPr>
                <w:p w14:paraId="12F9E5B4">
                  <w:pPr>
                    <w:jc w:val="center"/>
                    <w:rPr>
                      <w:rFonts w:ascii="Times New Roman" w:hAnsi="Times New Roman" w:cs="Times New Roman"/>
                      <w:szCs w:val="21"/>
                    </w:rPr>
                  </w:pPr>
                </w:p>
              </w:tc>
              <w:tc>
                <w:tcPr>
                  <w:tcW w:w="316" w:type="pct"/>
                  <w:tcBorders>
                    <w:top w:val="single" w:color="auto" w:sz="4" w:space="0"/>
                    <w:bottom w:val="single" w:color="auto" w:sz="4" w:space="0"/>
                    <w:tl2br w:val="nil"/>
                    <w:tr2bl w:val="nil"/>
                  </w:tcBorders>
                  <w:shd w:val="clear" w:color="auto" w:fill="FFFFFF"/>
                  <w:vAlign w:val="center"/>
                </w:tcPr>
                <w:p w14:paraId="17EDF552">
                  <w:pPr>
                    <w:jc w:val="center"/>
                    <w:rPr>
                      <w:rFonts w:ascii="Times New Roman" w:hAnsi="Times New Roman" w:cs="Times New Roman"/>
                      <w:szCs w:val="21"/>
                    </w:rPr>
                  </w:pPr>
                  <w:r>
                    <w:rPr>
                      <w:rFonts w:ascii="Times New Roman" w:hAnsi="Times New Roman" w:cs="Times New Roman"/>
                      <w:szCs w:val="21"/>
                    </w:rPr>
                    <w:t>苯并[a]芘</w:t>
                  </w:r>
                </w:p>
              </w:tc>
              <w:tc>
                <w:tcPr>
                  <w:tcW w:w="386" w:type="pct"/>
                  <w:tcBorders>
                    <w:top w:val="single" w:color="auto" w:sz="4" w:space="0"/>
                    <w:bottom w:val="single" w:color="auto" w:sz="4" w:space="0"/>
                    <w:tl2br w:val="nil"/>
                    <w:tr2bl w:val="nil"/>
                  </w:tcBorders>
                  <w:shd w:val="clear" w:color="auto" w:fill="FFFFFF"/>
                  <w:vAlign w:val="center"/>
                </w:tcPr>
                <w:p w14:paraId="1EE916D8">
                  <w:pPr>
                    <w:jc w:val="center"/>
                    <w:rPr>
                      <w:rFonts w:ascii="Times New Roman" w:hAnsi="Times New Roman" w:cs="Times New Roman"/>
                      <w:szCs w:val="21"/>
                    </w:rPr>
                  </w:pPr>
                  <w:r>
                    <w:rPr>
                      <w:rFonts w:hint="eastAsia" w:ascii="Times New Roman" w:hAnsi="Times New Roman" w:cs="Times New Roman"/>
                      <w:szCs w:val="21"/>
                    </w:rPr>
                    <w:t>0.0000038</w:t>
                  </w:r>
                </w:p>
              </w:tc>
              <w:tc>
                <w:tcPr>
                  <w:tcW w:w="478" w:type="pct"/>
                  <w:tcBorders>
                    <w:top w:val="single" w:color="auto" w:sz="4" w:space="0"/>
                    <w:bottom w:val="single" w:color="auto" w:sz="4" w:space="0"/>
                    <w:tl2br w:val="nil"/>
                    <w:tr2bl w:val="nil"/>
                  </w:tcBorders>
                  <w:shd w:val="clear" w:color="auto" w:fill="FFFFFF"/>
                  <w:vAlign w:val="center"/>
                </w:tcPr>
                <w:p w14:paraId="6F1E1DF4">
                  <w:pPr>
                    <w:jc w:val="center"/>
                    <w:rPr>
                      <w:rFonts w:ascii="Times New Roman" w:hAnsi="Times New Roman" w:cs="Times New Roman"/>
                      <w:szCs w:val="21"/>
                    </w:rPr>
                  </w:pPr>
                  <w:r>
                    <w:rPr>
                      <w:rFonts w:hint="eastAsia" w:ascii="Times New Roman" w:hAnsi="Times New Roman" w:cs="Times New Roman"/>
                      <w:szCs w:val="21"/>
                    </w:rPr>
                    <w:t>0.00000089</w:t>
                  </w:r>
                </w:p>
              </w:tc>
              <w:tc>
                <w:tcPr>
                  <w:tcW w:w="575" w:type="pct"/>
                  <w:tcBorders>
                    <w:top w:val="single" w:color="auto" w:sz="4" w:space="0"/>
                    <w:bottom w:val="single" w:color="auto" w:sz="4" w:space="0"/>
                    <w:tl2br w:val="nil"/>
                    <w:tr2bl w:val="nil"/>
                  </w:tcBorders>
                  <w:shd w:val="clear" w:color="auto" w:fill="FFFFFF"/>
                  <w:vAlign w:val="center"/>
                </w:tcPr>
                <w:p w14:paraId="71701066">
                  <w:pPr>
                    <w:jc w:val="center"/>
                    <w:rPr>
                      <w:rFonts w:ascii="Times New Roman" w:hAnsi="Times New Roman" w:cs="Times New Roman"/>
                      <w:szCs w:val="21"/>
                    </w:rPr>
                  </w:pPr>
                  <w:r>
                    <w:rPr>
                      <w:rFonts w:hint="eastAsia" w:ascii="Times New Roman" w:hAnsi="Times New Roman" w:cs="Times New Roman"/>
                      <w:szCs w:val="21"/>
                    </w:rPr>
                    <w:t>/</w:t>
                  </w:r>
                </w:p>
              </w:tc>
              <w:tc>
                <w:tcPr>
                  <w:tcW w:w="725" w:type="pct"/>
                  <w:vMerge w:val="continue"/>
                  <w:tcBorders>
                    <w:tl2br w:val="nil"/>
                    <w:tr2bl w:val="nil"/>
                  </w:tcBorders>
                  <w:shd w:val="clear" w:color="auto" w:fill="FFFFFF"/>
                  <w:vAlign w:val="center"/>
                </w:tcPr>
                <w:p w14:paraId="73321582">
                  <w:pPr>
                    <w:jc w:val="center"/>
                    <w:rPr>
                      <w:rFonts w:ascii="Times New Roman" w:hAnsi="Times New Roman" w:cs="Times New Roman"/>
                      <w:szCs w:val="21"/>
                    </w:rPr>
                  </w:pPr>
                </w:p>
              </w:tc>
              <w:tc>
                <w:tcPr>
                  <w:tcW w:w="590" w:type="dxa"/>
                  <w:tcBorders>
                    <w:top w:val="single" w:color="auto" w:sz="4" w:space="0"/>
                    <w:bottom w:val="single" w:color="auto" w:sz="4" w:space="0"/>
                    <w:tl2br w:val="nil"/>
                    <w:tr2bl w:val="nil"/>
                  </w:tcBorders>
                  <w:shd w:val="clear" w:color="auto" w:fill="FFFFFF"/>
                  <w:vAlign w:val="center"/>
                </w:tcPr>
                <w:p w14:paraId="63701130">
                  <w:pPr>
                    <w:jc w:val="center"/>
                    <w:rPr>
                      <w:rFonts w:ascii="Times New Roman" w:hAnsi="Times New Roman" w:cs="Times New Roman"/>
                      <w:szCs w:val="21"/>
                    </w:rPr>
                  </w:pPr>
                  <w:r>
                    <w:rPr>
                      <w:rFonts w:hint="eastAsia" w:ascii="Times New Roman" w:hAnsi="Times New Roman" w:cs="Times New Roman"/>
                      <w:szCs w:val="21"/>
                    </w:rPr>
                    <w:t>0.0000038</w:t>
                  </w:r>
                </w:p>
              </w:tc>
              <w:tc>
                <w:tcPr>
                  <w:tcW w:w="757" w:type="dxa"/>
                  <w:tcBorders>
                    <w:top w:val="single" w:color="auto" w:sz="4" w:space="0"/>
                    <w:bottom w:val="single" w:color="auto" w:sz="4" w:space="0"/>
                    <w:tl2br w:val="nil"/>
                    <w:tr2bl w:val="nil"/>
                  </w:tcBorders>
                  <w:shd w:val="clear" w:color="auto" w:fill="FFFFFF"/>
                  <w:vAlign w:val="center"/>
                </w:tcPr>
                <w:p w14:paraId="5D504D1B">
                  <w:pPr>
                    <w:jc w:val="center"/>
                    <w:rPr>
                      <w:rFonts w:ascii="Times New Roman" w:hAnsi="Times New Roman" w:cs="Times New Roman"/>
                      <w:szCs w:val="21"/>
                    </w:rPr>
                  </w:pPr>
                  <w:r>
                    <w:rPr>
                      <w:rFonts w:hint="eastAsia" w:ascii="Times New Roman" w:hAnsi="Times New Roman" w:cs="Times New Roman"/>
                      <w:szCs w:val="21"/>
                    </w:rPr>
                    <w:t>0.00000089</w:t>
                  </w:r>
                </w:p>
              </w:tc>
              <w:tc>
                <w:tcPr>
                  <w:tcW w:w="972" w:type="dxa"/>
                  <w:tcBorders>
                    <w:top w:val="single" w:color="auto" w:sz="4" w:space="0"/>
                    <w:bottom w:val="single" w:color="auto" w:sz="4" w:space="0"/>
                    <w:tl2br w:val="nil"/>
                    <w:tr2bl w:val="nil"/>
                  </w:tcBorders>
                  <w:shd w:val="clear" w:color="auto" w:fill="FFFFFF"/>
                  <w:vAlign w:val="center"/>
                </w:tcPr>
                <w:p w14:paraId="6CAAE983">
                  <w:pPr>
                    <w:jc w:val="center"/>
                    <w:rPr>
                      <w:rFonts w:ascii="Times New Roman" w:hAnsi="Times New Roman" w:cs="Times New Roman"/>
                      <w:szCs w:val="21"/>
                    </w:rPr>
                  </w:pPr>
                  <w:r>
                    <w:rPr>
                      <w:rFonts w:hint="eastAsia" w:ascii="Times New Roman" w:hAnsi="Times New Roman" w:cs="Times New Roman"/>
                      <w:szCs w:val="21"/>
                    </w:rPr>
                    <w:t>/</w:t>
                  </w:r>
                </w:p>
              </w:tc>
              <w:tc>
                <w:tcPr>
                  <w:tcW w:w="576" w:type="pct"/>
                  <w:tcBorders>
                    <w:top w:val="single" w:color="auto" w:sz="4" w:space="0"/>
                    <w:bottom w:val="single" w:color="auto" w:sz="4" w:space="0"/>
                    <w:tl2br w:val="nil"/>
                    <w:tr2bl w:val="nil"/>
                  </w:tcBorders>
                  <w:shd w:val="clear" w:color="auto" w:fill="FFFFFF"/>
                  <w:vAlign w:val="center"/>
                </w:tcPr>
                <w:p w14:paraId="73CD2539">
                  <w:pPr>
                    <w:jc w:val="center"/>
                    <w:rPr>
                      <w:rFonts w:ascii="Times New Roman" w:hAnsi="Times New Roman" w:cs="Times New Roman"/>
                      <w:szCs w:val="21"/>
                    </w:rPr>
                  </w:pPr>
                  <w:r>
                    <w:rPr>
                      <w:rFonts w:ascii="Times New Roman" w:hAnsi="Times New Roman" w:cs="Times New Roman"/>
                      <w:szCs w:val="21"/>
                    </w:rPr>
                    <w:t xml:space="preserve">0.008 </w:t>
                  </w:r>
                </w:p>
                <w:p w14:paraId="2019E56F">
                  <w:pPr>
                    <w:jc w:val="center"/>
                    <w:rPr>
                      <w:rFonts w:ascii="Times New Roman" w:hAnsi="Times New Roman" w:cs="Times New Roman"/>
                      <w:szCs w:val="21"/>
                    </w:rPr>
                  </w:pPr>
                  <w:r>
                    <w:rPr>
                      <w:rFonts w:ascii="Times New Roman" w:hAnsi="Times New Roman" w:cs="Times New Roman"/>
                      <w:szCs w:val="21"/>
                    </w:rPr>
                    <w:t>（μg/m</w:t>
                  </w:r>
                  <w:r>
                    <w:rPr>
                      <w:rFonts w:ascii="Times New Roman" w:hAnsi="Times New Roman" w:cs="Times New Roman"/>
                      <w:szCs w:val="21"/>
                      <w:vertAlign w:val="superscript"/>
                    </w:rPr>
                    <w:t>3</w:t>
                  </w:r>
                  <w:r>
                    <w:rPr>
                      <w:rFonts w:ascii="Times New Roman" w:hAnsi="Times New Roman" w:cs="Times New Roman"/>
                      <w:szCs w:val="21"/>
                    </w:rPr>
                    <w:t>）</w:t>
                  </w:r>
                </w:p>
              </w:tc>
            </w:tr>
            <w:tr w14:paraId="5BB24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261" w:type="pct"/>
                  <w:vMerge w:val="continue"/>
                  <w:tcBorders>
                    <w:tl2br w:val="nil"/>
                    <w:tr2bl w:val="nil"/>
                  </w:tcBorders>
                  <w:shd w:val="clear" w:color="auto" w:fill="FFFFFF"/>
                  <w:vAlign w:val="center"/>
                </w:tcPr>
                <w:p w14:paraId="7E8C247C">
                  <w:pPr>
                    <w:jc w:val="center"/>
                    <w:rPr>
                      <w:rFonts w:ascii="Times New Roman" w:hAnsi="Times New Roman" w:cs="Times New Roman"/>
                      <w:szCs w:val="21"/>
                    </w:rPr>
                  </w:pPr>
                </w:p>
              </w:tc>
              <w:tc>
                <w:tcPr>
                  <w:tcW w:w="262" w:type="pct"/>
                  <w:vMerge w:val="continue"/>
                  <w:tcBorders>
                    <w:tl2br w:val="nil"/>
                    <w:tr2bl w:val="nil"/>
                  </w:tcBorders>
                  <w:shd w:val="clear" w:color="auto" w:fill="FFFFFF"/>
                  <w:vAlign w:val="center"/>
                </w:tcPr>
                <w:p w14:paraId="61609C36">
                  <w:pPr>
                    <w:jc w:val="center"/>
                    <w:rPr>
                      <w:rFonts w:ascii="Times New Roman" w:hAnsi="Times New Roman" w:cs="Times New Roman"/>
                      <w:szCs w:val="21"/>
                    </w:rPr>
                  </w:pPr>
                </w:p>
              </w:tc>
              <w:tc>
                <w:tcPr>
                  <w:tcW w:w="316" w:type="pct"/>
                  <w:tcBorders>
                    <w:top w:val="single" w:color="auto" w:sz="4" w:space="0"/>
                    <w:tl2br w:val="nil"/>
                    <w:tr2bl w:val="nil"/>
                  </w:tcBorders>
                  <w:shd w:val="clear" w:color="auto" w:fill="FFFFFF"/>
                  <w:vAlign w:val="center"/>
                </w:tcPr>
                <w:p w14:paraId="5255A480">
                  <w:pPr>
                    <w:jc w:val="center"/>
                    <w:rPr>
                      <w:rFonts w:ascii="Times New Roman" w:hAnsi="Times New Roman" w:cs="Times New Roman"/>
                      <w:szCs w:val="21"/>
                    </w:rPr>
                  </w:pPr>
                  <w:r>
                    <w:rPr>
                      <w:rFonts w:hint="eastAsia" w:ascii="Times New Roman" w:hAnsi="Times New Roman" w:cs="Times New Roman"/>
                      <w:szCs w:val="21"/>
                    </w:rPr>
                    <w:t>非甲烷总烃</w:t>
                  </w:r>
                </w:p>
              </w:tc>
              <w:tc>
                <w:tcPr>
                  <w:tcW w:w="386" w:type="pct"/>
                  <w:tcBorders>
                    <w:top w:val="single" w:color="auto" w:sz="4" w:space="0"/>
                    <w:tl2br w:val="nil"/>
                    <w:tr2bl w:val="nil"/>
                  </w:tcBorders>
                  <w:shd w:val="clear" w:color="auto" w:fill="FFFFFF"/>
                  <w:vAlign w:val="center"/>
                </w:tcPr>
                <w:p w14:paraId="3A949705">
                  <w:pPr>
                    <w:jc w:val="center"/>
                    <w:rPr>
                      <w:rFonts w:ascii="Times New Roman" w:hAnsi="Times New Roman" w:cs="Times New Roman"/>
                      <w:szCs w:val="21"/>
                    </w:rPr>
                  </w:pPr>
                  <w:r>
                    <w:rPr>
                      <w:rFonts w:hint="eastAsia" w:ascii="Times New Roman" w:hAnsi="Times New Roman" w:cs="Times New Roman"/>
                      <w:szCs w:val="21"/>
                    </w:rPr>
                    <w:t>0.018</w:t>
                  </w:r>
                </w:p>
              </w:tc>
              <w:tc>
                <w:tcPr>
                  <w:tcW w:w="478" w:type="pct"/>
                  <w:tcBorders>
                    <w:top w:val="single" w:color="auto" w:sz="4" w:space="0"/>
                    <w:tl2br w:val="nil"/>
                    <w:tr2bl w:val="nil"/>
                  </w:tcBorders>
                  <w:shd w:val="clear" w:color="auto" w:fill="FFFFFF"/>
                  <w:vAlign w:val="center"/>
                </w:tcPr>
                <w:p w14:paraId="71727075">
                  <w:pPr>
                    <w:jc w:val="center"/>
                    <w:rPr>
                      <w:rFonts w:ascii="Times New Roman" w:hAnsi="Times New Roman" w:cs="Times New Roman"/>
                      <w:szCs w:val="21"/>
                    </w:rPr>
                  </w:pPr>
                  <w:r>
                    <w:rPr>
                      <w:rFonts w:hint="eastAsia" w:ascii="Times New Roman" w:hAnsi="Times New Roman" w:cs="Times New Roman"/>
                      <w:szCs w:val="21"/>
                    </w:rPr>
                    <w:t>0.0041</w:t>
                  </w:r>
                </w:p>
              </w:tc>
              <w:tc>
                <w:tcPr>
                  <w:tcW w:w="575" w:type="pct"/>
                  <w:tcBorders>
                    <w:top w:val="single" w:color="auto" w:sz="4" w:space="0"/>
                    <w:tl2br w:val="nil"/>
                    <w:tr2bl w:val="nil"/>
                  </w:tcBorders>
                  <w:shd w:val="clear" w:color="auto" w:fill="FFFFFF"/>
                  <w:vAlign w:val="center"/>
                </w:tcPr>
                <w:p w14:paraId="4E5129F2">
                  <w:pPr>
                    <w:jc w:val="center"/>
                    <w:rPr>
                      <w:rFonts w:ascii="Times New Roman" w:hAnsi="Times New Roman" w:cs="Times New Roman"/>
                      <w:szCs w:val="21"/>
                    </w:rPr>
                  </w:pPr>
                  <w:r>
                    <w:rPr>
                      <w:rFonts w:hint="eastAsia" w:ascii="Times New Roman" w:hAnsi="Times New Roman" w:cs="Times New Roman"/>
                      <w:szCs w:val="21"/>
                    </w:rPr>
                    <w:t>/</w:t>
                  </w:r>
                </w:p>
              </w:tc>
              <w:tc>
                <w:tcPr>
                  <w:tcW w:w="725" w:type="pct"/>
                  <w:vMerge w:val="continue"/>
                  <w:tcBorders>
                    <w:tl2br w:val="nil"/>
                    <w:tr2bl w:val="nil"/>
                  </w:tcBorders>
                  <w:shd w:val="clear" w:color="auto" w:fill="FFFFFF"/>
                  <w:vAlign w:val="center"/>
                </w:tcPr>
                <w:p w14:paraId="1AC3030E">
                  <w:pPr>
                    <w:jc w:val="center"/>
                    <w:rPr>
                      <w:rFonts w:ascii="Times New Roman" w:hAnsi="Times New Roman" w:cs="Times New Roman"/>
                      <w:szCs w:val="21"/>
                    </w:rPr>
                  </w:pPr>
                </w:p>
              </w:tc>
              <w:tc>
                <w:tcPr>
                  <w:tcW w:w="590" w:type="dxa"/>
                  <w:tcBorders>
                    <w:top w:val="single" w:color="auto" w:sz="4" w:space="0"/>
                    <w:tl2br w:val="nil"/>
                    <w:tr2bl w:val="nil"/>
                  </w:tcBorders>
                  <w:shd w:val="clear" w:color="auto" w:fill="FFFFFF"/>
                  <w:vAlign w:val="center"/>
                </w:tcPr>
                <w:p w14:paraId="4658F745">
                  <w:pPr>
                    <w:jc w:val="center"/>
                    <w:rPr>
                      <w:rFonts w:ascii="Times New Roman" w:hAnsi="Times New Roman" w:cs="Times New Roman"/>
                      <w:szCs w:val="21"/>
                    </w:rPr>
                  </w:pPr>
                  <w:r>
                    <w:rPr>
                      <w:rFonts w:hint="eastAsia" w:ascii="Times New Roman" w:hAnsi="Times New Roman" w:cs="Times New Roman"/>
                      <w:szCs w:val="21"/>
                    </w:rPr>
                    <w:t>0.018</w:t>
                  </w:r>
                </w:p>
              </w:tc>
              <w:tc>
                <w:tcPr>
                  <w:tcW w:w="757" w:type="dxa"/>
                  <w:tcBorders>
                    <w:top w:val="single" w:color="auto" w:sz="4" w:space="0"/>
                    <w:tl2br w:val="nil"/>
                    <w:tr2bl w:val="nil"/>
                  </w:tcBorders>
                  <w:shd w:val="clear" w:color="auto" w:fill="FFFFFF"/>
                  <w:vAlign w:val="center"/>
                </w:tcPr>
                <w:p w14:paraId="5E12DAF8">
                  <w:pPr>
                    <w:jc w:val="center"/>
                    <w:rPr>
                      <w:rFonts w:ascii="Times New Roman" w:hAnsi="Times New Roman" w:cs="Times New Roman"/>
                      <w:szCs w:val="21"/>
                    </w:rPr>
                  </w:pPr>
                  <w:r>
                    <w:rPr>
                      <w:rFonts w:hint="eastAsia" w:ascii="Times New Roman" w:hAnsi="Times New Roman" w:cs="Times New Roman"/>
                      <w:szCs w:val="21"/>
                    </w:rPr>
                    <w:t>0.0041</w:t>
                  </w:r>
                </w:p>
              </w:tc>
              <w:tc>
                <w:tcPr>
                  <w:tcW w:w="972" w:type="dxa"/>
                  <w:tcBorders>
                    <w:top w:val="single" w:color="auto" w:sz="4" w:space="0"/>
                    <w:tl2br w:val="nil"/>
                    <w:tr2bl w:val="nil"/>
                  </w:tcBorders>
                  <w:shd w:val="clear" w:color="auto" w:fill="FFFFFF"/>
                  <w:vAlign w:val="center"/>
                </w:tcPr>
                <w:p w14:paraId="1467522F">
                  <w:pPr>
                    <w:jc w:val="center"/>
                    <w:rPr>
                      <w:rFonts w:ascii="Times New Roman" w:hAnsi="Times New Roman" w:cs="Times New Roman"/>
                      <w:szCs w:val="21"/>
                    </w:rPr>
                  </w:pPr>
                  <w:r>
                    <w:rPr>
                      <w:rFonts w:hint="eastAsia" w:ascii="Times New Roman" w:hAnsi="Times New Roman" w:cs="Times New Roman"/>
                      <w:szCs w:val="21"/>
                    </w:rPr>
                    <w:t>/</w:t>
                  </w:r>
                </w:p>
              </w:tc>
              <w:tc>
                <w:tcPr>
                  <w:tcW w:w="576" w:type="pct"/>
                  <w:tcBorders>
                    <w:top w:val="single" w:color="auto" w:sz="4" w:space="0"/>
                    <w:tl2br w:val="nil"/>
                    <w:tr2bl w:val="nil"/>
                  </w:tcBorders>
                  <w:shd w:val="clear" w:color="auto" w:fill="FFFFFF"/>
                  <w:vAlign w:val="center"/>
                </w:tcPr>
                <w:p w14:paraId="5AC892BD">
                  <w:pPr>
                    <w:jc w:val="center"/>
                    <w:rPr>
                      <w:rFonts w:ascii="Times New Roman" w:hAnsi="Times New Roman" w:cs="Times New Roman"/>
                      <w:szCs w:val="21"/>
                    </w:rPr>
                  </w:pPr>
                  <w:r>
                    <w:rPr>
                      <w:rFonts w:ascii="Times New Roman" w:hAnsi="Times New Roman" w:cs="Times New Roman"/>
                      <w:szCs w:val="21"/>
                    </w:rPr>
                    <w:t>4.0</w:t>
                  </w:r>
                </w:p>
              </w:tc>
            </w:tr>
            <w:tr w14:paraId="2F87A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5000" w:type="pct"/>
                  <w:gridSpan w:val="11"/>
                  <w:tcBorders>
                    <w:tl2br w:val="nil"/>
                    <w:tr2bl w:val="nil"/>
                  </w:tcBorders>
                  <w:shd w:val="clear" w:color="auto" w:fill="FFFFFF"/>
                  <w:vAlign w:val="center"/>
                </w:tcPr>
                <w:p w14:paraId="61B31DB6">
                  <w:pPr>
                    <w:rPr>
                      <w:rFonts w:ascii="Times New Roman" w:hAnsi="Times New Roman" w:cs="Times New Roman"/>
                      <w:szCs w:val="21"/>
                    </w:rPr>
                  </w:pPr>
                  <w:r>
                    <w:rPr>
                      <w:rFonts w:hint="eastAsia" w:ascii="Times New Roman" w:hAnsi="Times New Roman" w:cs="Times New Roman"/>
                      <w:szCs w:val="21"/>
                    </w:rPr>
                    <w:t>注：本项目全年运行180天，按照4320h/a计。</w:t>
                  </w:r>
                  <w:r>
                    <w:rPr>
                      <w:rFonts w:ascii="Times New Roman" w:hAnsi="Times New Roman" w:cs="Times New Roman"/>
                      <w:szCs w:val="21"/>
                    </w:rPr>
                    <w:t>M</w:t>
                  </w:r>
                  <w:r>
                    <w:rPr>
                      <w:rFonts w:hint="eastAsia" w:ascii="Times New Roman" w:hAnsi="Times New Roman" w:cs="Times New Roman"/>
                      <w:szCs w:val="21"/>
                      <w:vertAlign w:val="subscript"/>
                    </w:rPr>
                    <w:t>总</w:t>
                  </w:r>
                  <w:r>
                    <w:rPr>
                      <w:rFonts w:hint="eastAsia" w:ascii="Times New Roman" w:hAnsi="Times New Roman" w:cs="Times New Roman"/>
                      <w:szCs w:val="21"/>
                    </w:rPr>
                    <w:t>=有组织+无组织</w:t>
                  </w:r>
                </w:p>
              </w:tc>
            </w:tr>
          </w:tbl>
          <w:p w14:paraId="028EEF00">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搅拌粉尘、搅拌罐沥青烟气、成品出料沥青烟气及沥青储罐呼吸废气共用1套洗涤塔+电捕焦油器+等离子光解净化除尘器+活性炭吸附装置处理后通过25m高排气筒DA002排放。</w:t>
            </w:r>
          </w:p>
          <w:p w14:paraId="407376D1">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2.2.9乳化沥青胶磨工序沥青烟气（</w:t>
            </w:r>
            <w:r>
              <w:rPr>
                <w:rFonts w:ascii="Times New Roman" w:hAnsi="Times New Roman" w:eastAsia="宋体" w:cs="Times New Roman"/>
                <w:b/>
                <w:bCs/>
                <w:sz w:val="24"/>
              </w:rPr>
              <w:t>DA003</w:t>
            </w:r>
            <w:r>
              <w:rPr>
                <w:rFonts w:hint="eastAsia" w:ascii="Times New Roman" w:hAnsi="Times New Roman" w:eastAsia="宋体" w:cs="Times New Roman"/>
                <w:b/>
                <w:bCs/>
                <w:sz w:val="24"/>
              </w:rPr>
              <w:t>）</w:t>
            </w:r>
          </w:p>
          <w:p w14:paraId="28A20306">
            <w:pPr>
              <w:wordWrap w:val="0"/>
              <w:topLinePunct/>
              <w:spacing w:line="360" w:lineRule="auto"/>
              <w:ind w:firstLine="480" w:firstLineChars="200"/>
              <w:rPr>
                <w:rFonts w:ascii="Times New Roman" w:hAnsi="Times New Roman" w:eastAsia="宋体" w:cs="Times New Roman"/>
                <w:color w:val="FF0000"/>
                <w:sz w:val="24"/>
              </w:rPr>
            </w:pPr>
            <w:r>
              <w:rPr>
                <w:rFonts w:hint="eastAsia" w:ascii="Times New Roman" w:hAnsi="Times New Roman" w:eastAsia="宋体" w:cs="Times New Roman"/>
                <w:sz w:val="24"/>
              </w:rPr>
              <w:t>乳化沥青出料采用密闭管道输送，沥青微粒被乳化剂水溶液包裹形成“水包油”乳液，挥发受显著抑制，产生量较小，故本次评价不作定量核算。出料过程中产生的少量废气经密闭管道及设备排气口负压收集，汇入二级活性炭吸附装置处理后，通过15m高排气筒DA003排放。</w:t>
            </w:r>
          </w:p>
          <w:p w14:paraId="6A5AD884">
            <w:pPr>
              <w:wordWrap w:val="0"/>
              <w:topLinePunct/>
              <w:spacing w:line="360" w:lineRule="auto"/>
              <w:ind w:firstLine="482" w:firstLineChars="200"/>
              <w:rPr>
                <w:rFonts w:ascii="Times New Roman" w:hAnsi="Times New Roman" w:eastAsia="宋体" w:cs="Times New Roman"/>
                <w:sz w:val="24"/>
              </w:rPr>
            </w:pPr>
            <w:r>
              <w:rPr>
                <w:rFonts w:hint="eastAsia" w:ascii="Times New Roman" w:hAnsi="Times New Roman" w:eastAsia="宋体" w:cs="Times New Roman"/>
                <w:b/>
                <w:bCs/>
                <w:sz w:val="24"/>
              </w:rPr>
              <w:t xml:space="preserve"> </w:t>
            </w:r>
            <w:r>
              <w:rPr>
                <w:rFonts w:hint="eastAsia" w:ascii="Times New Roman" w:hAnsi="Times New Roman" w:eastAsia="宋体" w:cs="Times New Roman"/>
                <w:sz w:val="24"/>
              </w:rPr>
              <w:t>乳化沥青生产过程中，加热后的基质沥青（约120℃）与乳化剂水溶液按比例进入胶体磨</w:t>
            </w:r>
            <w:r>
              <w:fldChar w:fldCharType="begin"/>
            </w:r>
            <w:r>
              <w:instrText xml:space="preserve"> HYPERLINK "http://www.sdduxiu.com/content/?127.html" \t "/Users/zhangminen/Documents\x/_blank" </w:instrText>
            </w:r>
            <w:r>
              <w:fldChar w:fldCharType="separate"/>
            </w:r>
            <w:r>
              <w:fldChar w:fldCharType="end"/>
            </w:r>
            <w:r>
              <w:rPr>
                <w:rFonts w:hint="eastAsia" w:ascii="Times New Roman" w:hAnsi="Times New Roman" w:eastAsia="宋体" w:cs="Times New Roman"/>
                <w:sz w:val="24"/>
              </w:rPr>
              <w:t>。胶体磨通过高速旋转的转子和定子对混合物料进行强烈的剪切、研磨和挤压</w:t>
            </w:r>
            <w:r>
              <w:fldChar w:fldCharType="begin"/>
            </w:r>
            <w:r>
              <w:instrText xml:space="preserve"> HYPERLINK "http://www.hbajlq.com/wap/index.php?ac=Article&amp;at=Read&amp;did=185" \t "/Users/zhangminen/Documents\x/_blank" </w:instrText>
            </w:r>
            <w:r>
              <w:fldChar w:fldCharType="separate"/>
            </w:r>
            <w:r>
              <w:fldChar w:fldCharType="end"/>
            </w:r>
            <w:r>
              <w:fldChar w:fldCharType="begin"/>
            </w:r>
            <w:r>
              <w:instrText xml:space="preserve"> HYPERLINK "http://m.newmaker.com/product-detail-139218.html" \t "/Users/zhangminen/Documents\x/_blank" </w:instrText>
            </w:r>
            <w:r>
              <w:fldChar w:fldCharType="separate"/>
            </w:r>
            <w:r>
              <w:fldChar w:fldCharType="end"/>
            </w:r>
            <w:r>
              <w:rPr>
                <w:rFonts w:hint="eastAsia" w:ascii="Times New Roman" w:hAnsi="Times New Roman" w:eastAsia="宋体" w:cs="Times New Roman"/>
                <w:sz w:val="24"/>
              </w:rPr>
              <w:t>，使沥青破碎、分散成微小颗粒，均匀稳定地分散于皂液中，形成乳化沥青</w:t>
            </w:r>
            <w:r>
              <w:fldChar w:fldCharType="begin"/>
            </w:r>
            <w:r>
              <w:instrText xml:space="preserve"> HYPERLINK "http://www.sdduxiu.com/content/?127.html" \t "/Users/zhangminen/Documents\x/_blank" </w:instrText>
            </w:r>
            <w:r>
              <w:fldChar w:fldCharType="separate"/>
            </w:r>
            <w:r>
              <w:fldChar w:fldCharType="end"/>
            </w:r>
            <w:r>
              <w:rPr>
                <w:rFonts w:hint="eastAsia" w:ascii="Times New Roman" w:hAnsi="Times New Roman" w:eastAsia="宋体" w:cs="Times New Roman"/>
                <w:sz w:val="24"/>
              </w:rPr>
              <w:t>。在此过程中，机械能大量转化为热能，加剧了沥青中轻组分的挥发；同时，沥青被不断撕裂、细化，暴露出大量新鲜表面，进一步促进了挥发性有机物质的释放</w:t>
            </w:r>
            <w:r>
              <w:fldChar w:fldCharType="begin"/>
            </w:r>
            <w:r>
              <w:instrText xml:space="preserve"> HYPERLINK "http://m.newmaker.com/product-detail-139218.html" \t "/Users/zhangminen/Documents\x/_blank" </w:instrText>
            </w:r>
            <w:r>
              <w:fldChar w:fldCharType="separate"/>
            </w:r>
            <w:r>
              <w:fldChar w:fldCharType="end"/>
            </w:r>
            <w:r>
              <w:rPr>
                <w:rFonts w:hint="eastAsia" w:ascii="Times New Roman" w:hAnsi="Times New Roman" w:eastAsia="宋体" w:cs="Times New Roman"/>
                <w:sz w:val="24"/>
              </w:rPr>
              <w:t>。因此，胶体磨研磨过程会产生以沥青烟、苯并[a]芘和非甲烷总烃为主要污染物的沥青烟气。乳化沥青生产线沥青用量为250t/a。</w:t>
            </w:r>
          </w:p>
          <w:p w14:paraId="3A3129E7">
            <w:pPr>
              <w:wordWrap w:val="0"/>
              <w:topLinePunct/>
              <w:spacing w:line="360" w:lineRule="auto"/>
              <w:ind w:firstLine="482" w:firstLineChars="200"/>
              <w:rPr>
                <w:rFonts w:ascii="Times New Roman" w:hAnsi="Times New Roman" w:eastAsia="宋体" w:cs="Times New Roman"/>
                <w:sz w:val="24"/>
              </w:rPr>
            </w:pPr>
            <w:r>
              <w:rPr>
                <w:rFonts w:hint="eastAsia" w:ascii="Times New Roman" w:hAnsi="Times New Roman" w:eastAsia="宋体" w:cs="Times New Roman"/>
                <w:b/>
                <w:bCs/>
                <w:sz w:val="24"/>
              </w:rPr>
              <w:t>沥青烟尘</w:t>
            </w:r>
            <w:r>
              <w:rPr>
                <w:rFonts w:ascii="Times New Roman" w:hAnsi="Times New Roman" w:eastAsia="宋体" w:cs="Times New Roman"/>
                <w:b/>
                <w:bCs/>
                <w:sz w:val="24"/>
              </w:rPr>
              <w:t>：</w:t>
            </w:r>
            <w:r>
              <w:rPr>
                <w:rFonts w:ascii="Times New Roman" w:hAnsi="Times New Roman" w:eastAsia="宋体" w:cs="Times New Roman"/>
                <w:sz w:val="24"/>
              </w:rPr>
              <w:t>参考前苏联拉扎列夫主编的《工业生产中的有害物质手册》第一卷（化学工业出版社</w:t>
            </w:r>
            <w:r>
              <w:rPr>
                <w:rFonts w:hint="eastAsia" w:ascii="Times New Roman" w:hAnsi="Times New Roman" w:eastAsia="宋体" w:cs="Times New Roman"/>
                <w:sz w:val="24"/>
              </w:rPr>
              <w:t>，</w:t>
            </w:r>
            <w:r>
              <w:rPr>
                <w:rFonts w:ascii="Times New Roman" w:hAnsi="Times New Roman" w:eastAsia="宋体" w:cs="Times New Roman"/>
                <w:sz w:val="24"/>
              </w:rPr>
              <w:t>1987年12月出版）及金相灿主编的《有机化合物污染化学》（清华大学出版社</w:t>
            </w:r>
            <w:r>
              <w:rPr>
                <w:rFonts w:hint="eastAsia" w:ascii="Times New Roman" w:hAnsi="Times New Roman" w:eastAsia="宋体" w:cs="Times New Roman"/>
                <w:sz w:val="24"/>
              </w:rPr>
              <w:t>，</w:t>
            </w:r>
            <w:r>
              <w:rPr>
                <w:rFonts w:ascii="Times New Roman" w:hAnsi="Times New Roman" w:eastAsia="宋体" w:cs="Times New Roman"/>
                <w:sz w:val="24"/>
              </w:rPr>
              <w:t>1990年8月出版），每吨石油沥青在加热过程中沥青烟产生系数为56.25g/t-沥青。</w:t>
            </w:r>
            <w:r>
              <w:rPr>
                <w:rFonts w:hint="eastAsia" w:ascii="Times New Roman" w:hAnsi="Times New Roman" w:eastAsia="宋体" w:cs="Times New Roman"/>
                <w:sz w:val="24"/>
              </w:rPr>
              <w:t>本工序沥青用量为250t/a，则沥青烟气产生量为0.014t/a。</w:t>
            </w:r>
          </w:p>
          <w:p w14:paraId="0B21569E">
            <w:pPr>
              <w:wordWrap w:val="0"/>
              <w:topLinePunct/>
              <w:spacing w:line="360" w:lineRule="auto"/>
              <w:ind w:firstLine="482" w:firstLineChars="200"/>
              <w:jc w:val="left"/>
              <w:outlineLvl w:val="2"/>
              <w:rPr>
                <w:rFonts w:ascii="Times New Roman" w:hAnsi="Times New Roman" w:eastAsia="宋体" w:cs="Times New Roman"/>
                <w:b/>
                <w:bCs/>
                <w:sz w:val="24"/>
              </w:rPr>
            </w:pPr>
            <w:r>
              <w:rPr>
                <w:rFonts w:ascii="Times New Roman" w:hAnsi="Times New Roman" w:eastAsia="宋体" w:cs="Times New Roman"/>
                <w:b/>
                <w:bCs/>
                <w:sz w:val="24"/>
              </w:rPr>
              <w:t>苯并[a]芘：</w:t>
            </w:r>
            <w:r>
              <w:rPr>
                <w:rFonts w:ascii="Times New Roman" w:hAnsi="Times New Roman" w:eastAsia="宋体" w:cs="Times New Roman"/>
                <w:sz w:val="24"/>
              </w:rPr>
              <w:t>参考《工业生产中的有害物质手册》第一卷（化学工业出版社，1987年12月出版）中提供的数据，沥青烟中苯并[a]芘含量约为0.01%~0.02%，本次评价取平均值0.015%。本</w:t>
            </w:r>
            <w:r>
              <w:rPr>
                <w:rFonts w:hint="eastAsia" w:ascii="Times New Roman" w:hAnsi="Times New Roman" w:eastAsia="宋体" w:cs="Times New Roman"/>
                <w:sz w:val="24"/>
              </w:rPr>
              <w:t>工序</w:t>
            </w:r>
            <w:r>
              <w:rPr>
                <w:rFonts w:ascii="Times New Roman" w:hAnsi="Times New Roman" w:eastAsia="宋体" w:cs="Times New Roman"/>
                <w:sz w:val="24"/>
              </w:rPr>
              <w:t>沥青烟产生量为</w:t>
            </w:r>
            <w:r>
              <w:rPr>
                <w:rFonts w:hint="eastAsia" w:ascii="Times New Roman" w:hAnsi="Times New Roman" w:eastAsia="宋体" w:cs="Times New Roman"/>
                <w:sz w:val="24"/>
              </w:rPr>
              <w:t>0.014</w:t>
            </w:r>
            <w:r>
              <w:rPr>
                <w:rFonts w:ascii="Times New Roman" w:hAnsi="Times New Roman" w:eastAsia="宋体" w:cs="Times New Roman"/>
                <w:sz w:val="24"/>
              </w:rPr>
              <w:t>t/a，则苯并[a]芘产生量为 </w:t>
            </w:r>
            <w:r>
              <w:rPr>
                <w:rFonts w:hint="eastAsia" w:ascii="Times New Roman" w:hAnsi="Times New Roman" w:eastAsia="宋体" w:cs="Times New Roman"/>
                <w:sz w:val="24"/>
              </w:rPr>
              <w:t>0.0000021t</w:t>
            </w:r>
            <w:r>
              <w:rPr>
                <w:rFonts w:ascii="Times New Roman" w:hAnsi="Times New Roman" w:eastAsia="宋体" w:cs="Times New Roman"/>
                <w:sz w:val="24"/>
              </w:rPr>
              <w:t>/a</w:t>
            </w:r>
            <w:r>
              <w:rPr>
                <w:rFonts w:hint="eastAsia" w:ascii="Times New Roman" w:hAnsi="Times New Roman" w:eastAsia="宋体" w:cs="Times New Roman"/>
                <w:sz w:val="24"/>
              </w:rPr>
              <w:t>（2.1g/</w:t>
            </w:r>
            <w:r>
              <w:rPr>
                <w:rFonts w:ascii="Times New Roman" w:hAnsi="Times New Roman" w:eastAsia="宋体" w:cs="Times New Roman"/>
                <w:sz w:val="24"/>
              </w:rPr>
              <w:t>a</w:t>
            </w:r>
            <w:r>
              <w:rPr>
                <w:rFonts w:hint="eastAsia" w:ascii="Times New Roman" w:hAnsi="Times New Roman" w:eastAsia="宋体" w:cs="Times New Roman"/>
                <w:sz w:val="24"/>
              </w:rPr>
              <w:t>）。</w:t>
            </w:r>
          </w:p>
          <w:p w14:paraId="19049AC1">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非甲烷总烃：</w:t>
            </w:r>
            <w:r>
              <w:rPr>
                <w:rFonts w:hint="eastAsia" w:ascii="Times New Roman" w:hAnsi="Times New Roman" w:eastAsia="宋体" w:cs="Times New Roman"/>
                <w:sz w:val="24"/>
              </w:rPr>
              <w:t>参考美国环保署（EPA）《空气污染物排放和控制手册》（AP-42，中译本）中推荐的产污系数，并类比同类项目，非甲烷总烃产生量按14g/t-产品计算。本项目年产乳化沥青500t，则非甲烷总烃产生量为0.007t/a。</w:t>
            </w:r>
          </w:p>
          <w:p w14:paraId="60B1B028">
            <w:pPr>
              <w:wordWrap w:val="0"/>
              <w:topLinePunct/>
              <w:spacing w:line="360" w:lineRule="auto"/>
              <w:ind w:firstLine="482" w:firstLineChars="200"/>
              <w:rPr>
                <w:rFonts w:ascii="Times New Roman" w:hAnsi="Times New Roman" w:eastAsia="宋体" w:cs="Times New Roman"/>
                <w:sz w:val="24"/>
              </w:rPr>
            </w:pPr>
            <w:r>
              <w:rPr>
                <w:rFonts w:hint="eastAsia" w:ascii="Times New Roman" w:hAnsi="Times New Roman" w:eastAsia="宋体" w:cs="Times New Roman"/>
                <w:b/>
                <w:bCs/>
                <w:sz w:val="24"/>
              </w:rPr>
              <w:t>拟采取治理措施：</w:t>
            </w:r>
            <w:r>
              <w:rPr>
                <w:rFonts w:hint="eastAsia" w:ascii="Times New Roman" w:hAnsi="Times New Roman" w:eastAsia="宋体" w:cs="Times New Roman"/>
                <w:sz w:val="24"/>
              </w:rPr>
              <w:t>胶体磨为密闭设备，研磨过程产生的沥青烟气经设备排气口由密闭管道负压收集，引至二级活性炭吸附装置处理后，通过</w:t>
            </w:r>
            <w:r>
              <w:rPr>
                <w:rFonts w:hint="eastAsia" w:ascii="Times New Roman" w:hAnsi="Times New Roman" w:eastAsia="宋体" w:cs="Times New Roman"/>
                <w:color w:val="FF0000"/>
                <w:sz w:val="24"/>
              </w:rPr>
              <w:t>15m</w:t>
            </w:r>
            <w:r>
              <w:rPr>
                <w:rFonts w:hint="eastAsia" w:ascii="Times New Roman" w:hAnsi="Times New Roman" w:eastAsia="宋体" w:cs="Times New Roman"/>
                <w:sz w:val="24"/>
              </w:rPr>
              <w:t>高排气筒DA003排放。</w:t>
            </w:r>
          </w:p>
          <w:p w14:paraId="1BBFEAC4">
            <w:pPr>
              <w:spacing w:line="360" w:lineRule="auto"/>
              <w:ind w:firstLine="482" w:firstLineChars="200"/>
              <w:rPr>
                <w:rFonts w:ascii="Times New Roman" w:hAnsi="Times New Roman" w:eastAsia="宋体" w:cs="Times New Roman"/>
                <w:sz w:val="24"/>
              </w:rPr>
            </w:pPr>
            <w:r>
              <w:rPr>
                <w:rFonts w:ascii="Times New Roman" w:hAnsi="Times New Roman" w:eastAsia="宋体" w:cs="Times New Roman"/>
                <w:b/>
                <w:bCs/>
                <w:sz w:val="24"/>
              </w:rPr>
              <w:t>排放情况：</w:t>
            </w:r>
            <w:r>
              <w:rPr>
                <w:rFonts w:ascii="Times New Roman" w:hAnsi="Times New Roman" w:eastAsia="宋体" w:cs="Times New Roman"/>
                <w:sz w:val="24"/>
              </w:rPr>
              <w:t>经计算，</w:t>
            </w:r>
            <w:r>
              <w:rPr>
                <w:rFonts w:hint="eastAsia" w:ascii="Times New Roman" w:hAnsi="Times New Roman" w:eastAsia="宋体" w:cs="Times New Roman"/>
                <w:sz w:val="24"/>
              </w:rPr>
              <w:t>乳化沥青胶磨工序沥青烟气</w:t>
            </w:r>
            <w:r>
              <w:rPr>
                <w:rFonts w:ascii="Times New Roman" w:hAnsi="Times New Roman" w:eastAsia="宋体" w:cs="Times New Roman"/>
                <w:sz w:val="24"/>
              </w:rPr>
              <w:t>产生、治理及排放情况见下表。</w:t>
            </w:r>
          </w:p>
          <w:p w14:paraId="2C9E1AD3">
            <w:pPr>
              <w:wordWrap w:val="0"/>
              <w:topLinePunct/>
              <w:spacing w:line="360" w:lineRule="auto"/>
              <w:jc w:val="center"/>
              <w:outlineLvl w:val="2"/>
              <w:rPr>
                <w:rFonts w:ascii="Times New Roman" w:hAnsi="Times New Roman" w:eastAsia="宋体" w:cs="Times New Roman"/>
                <w:b/>
                <w:bCs/>
                <w:sz w:val="24"/>
              </w:rPr>
            </w:pPr>
            <w:r>
              <w:rPr>
                <w:rFonts w:ascii="Times New Roman" w:hAnsi="Times New Roman" w:eastAsia="宋体" w:cs="Times New Roman"/>
                <w:b/>
                <w:bCs/>
                <w:sz w:val="24"/>
              </w:rPr>
              <w:t>表</w:t>
            </w:r>
            <w:r>
              <w:rPr>
                <w:rFonts w:hint="eastAsia" w:ascii="Times New Roman" w:hAnsi="Times New Roman" w:eastAsia="宋体" w:cs="Times New Roman"/>
                <w:b/>
                <w:bCs/>
                <w:sz w:val="24"/>
              </w:rPr>
              <w:t>4-17 乳化沥青胶磨工序沥青烟气</w:t>
            </w:r>
            <w:r>
              <w:rPr>
                <w:rFonts w:ascii="Times New Roman" w:hAnsi="Times New Roman" w:eastAsia="宋体" w:cs="Times New Roman"/>
                <w:b/>
                <w:bCs/>
                <w:sz w:val="24"/>
              </w:rPr>
              <w:t>产排情况一览表</w:t>
            </w:r>
          </w:p>
          <w:tbl>
            <w:tblPr>
              <w:tblStyle w:val="76"/>
              <w:tblW w:w="81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4"/>
              <w:gridCol w:w="335"/>
              <w:gridCol w:w="483"/>
              <w:gridCol w:w="573"/>
              <w:gridCol w:w="740"/>
              <w:gridCol w:w="957"/>
              <w:gridCol w:w="1291"/>
              <w:gridCol w:w="784"/>
              <w:gridCol w:w="756"/>
              <w:gridCol w:w="931"/>
              <w:gridCol w:w="988"/>
            </w:tblGrid>
            <w:tr w14:paraId="182AD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210" w:type="pct"/>
                  <w:vMerge w:val="restart"/>
                  <w:tcBorders>
                    <w:tl2br w:val="nil"/>
                    <w:tr2bl w:val="nil"/>
                  </w:tcBorders>
                  <w:shd w:val="clear" w:color="auto" w:fill="FFFFFF"/>
                  <w:vAlign w:val="center"/>
                </w:tcPr>
                <w:p w14:paraId="4877DE47">
                  <w:pPr>
                    <w:jc w:val="center"/>
                    <w:rPr>
                      <w:rFonts w:ascii="Times New Roman" w:hAnsi="Times New Roman" w:cs="Times New Roman"/>
                      <w:b/>
                      <w:bCs/>
                      <w:szCs w:val="21"/>
                    </w:rPr>
                  </w:pPr>
                  <w:r>
                    <w:rPr>
                      <w:rFonts w:ascii="Times New Roman" w:hAnsi="Times New Roman" w:cs="Times New Roman"/>
                      <w:b/>
                      <w:bCs/>
                      <w:szCs w:val="21"/>
                    </w:rPr>
                    <w:t>产污环节</w:t>
                  </w:r>
                </w:p>
              </w:tc>
              <w:tc>
                <w:tcPr>
                  <w:tcW w:w="205" w:type="pct"/>
                  <w:vMerge w:val="restart"/>
                  <w:tcBorders>
                    <w:tl2br w:val="nil"/>
                    <w:tr2bl w:val="nil"/>
                  </w:tcBorders>
                  <w:shd w:val="clear" w:color="auto" w:fill="FFFFFF"/>
                  <w:vAlign w:val="center"/>
                </w:tcPr>
                <w:p w14:paraId="39972A87">
                  <w:pPr>
                    <w:jc w:val="center"/>
                    <w:rPr>
                      <w:rFonts w:ascii="Times New Roman" w:hAnsi="Times New Roman" w:cs="Times New Roman"/>
                      <w:b/>
                      <w:bCs/>
                      <w:szCs w:val="21"/>
                    </w:rPr>
                  </w:pPr>
                  <w:r>
                    <w:rPr>
                      <w:rFonts w:hint="eastAsia" w:ascii="Times New Roman" w:hAnsi="Times New Roman" w:cs="Times New Roman"/>
                      <w:b/>
                      <w:bCs/>
                      <w:szCs w:val="21"/>
                    </w:rPr>
                    <w:t>排放形式</w:t>
                  </w:r>
                </w:p>
              </w:tc>
              <w:tc>
                <w:tcPr>
                  <w:tcW w:w="295" w:type="pct"/>
                  <w:tcBorders>
                    <w:tl2br w:val="nil"/>
                    <w:tr2bl w:val="nil"/>
                  </w:tcBorders>
                  <w:shd w:val="clear" w:color="auto" w:fill="FFFFFF"/>
                  <w:vAlign w:val="center"/>
                </w:tcPr>
                <w:p w14:paraId="7747439F">
                  <w:pPr>
                    <w:jc w:val="center"/>
                    <w:rPr>
                      <w:rFonts w:ascii="Times New Roman" w:hAnsi="Times New Roman" w:cs="Times New Roman"/>
                      <w:b/>
                      <w:bCs/>
                      <w:color w:val="FF0000"/>
                      <w:szCs w:val="21"/>
                    </w:rPr>
                  </w:pPr>
                </w:p>
              </w:tc>
              <w:tc>
                <w:tcPr>
                  <w:tcW w:w="1387" w:type="pct"/>
                  <w:gridSpan w:val="3"/>
                  <w:tcBorders>
                    <w:tl2br w:val="nil"/>
                    <w:tr2bl w:val="nil"/>
                  </w:tcBorders>
                  <w:shd w:val="clear" w:color="auto" w:fill="FFFFFF"/>
                  <w:vAlign w:val="center"/>
                </w:tcPr>
                <w:p w14:paraId="03FA2F04">
                  <w:pPr>
                    <w:jc w:val="center"/>
                    <w:rPr>
                      <w:rFonts w:ascii="Times New Roman" w:hAnsi="Times New Roman" w:cs="Times New Roman"/>
                      <w:b/>
                      <w:bCs/>
                      <w:color w:val="FF0000"/>
                      <w:szCs w:val="21"/>
                    </w:rPr>
                  </w:pPr>
                  <w:r>
                    <w:rPr>
                      <w:rFonts w:ascii="Times New Roman" w:hAnsi="Times New Roman" w:cs="Times New Roman"/>
                      <w:b/>
                      <w:bCs/>
                      <w:szCs w:val="21"/>
                    </w:rPr>
                    <w:t>产生情况</w:t>
                  </w:r>
                </w:p>
              </w:tc>
              <w:tc>
                <w:tcPr>
                  <w:tcW w:w="789" w:type="pct"/>
                  <w:vMerge w:val="restart"/>
                  <w:tcBorders>
                    <w:tl2br w:val="nil"/>
                    <w:tr2bl w:val="nil"/>
                  </w:tcBorders>
                  <w:shd w:val="clear" w:color="auto" w:fill="FFFFFF"/>
                  <w:vAlign w:val="center"/>
                </w:tcPr>
                <w:p w14:paraId="2FEA507F">
                  <w:pPr>
                    <w:jc w:val="center"/>
                    <w:rPr>
                      <w:rFonts w:ascii="Times New Roman" w:hAnsi="Times New Roman" w:cs="Times New Roman"/>
                      <w:b/>
                      <w:bCs/>
                      <w:szCs w:val="21"/>
                    </w:rPr>
                  </w:pPr>
                  <w:r>
                    <w:rPr>
                      <w:rFonts w:ascii="Times New Roman" w:hAnsi="Times New Roman" w:cs="Times New Roman"/>
                      <w:b/>
                      <w:bCs/>
                      <w:szCs w:val="21"/>
                    </w:rPr>
                    <w:t>治理措施</w:t>
                  </w:r>
                </w:p>
                <w:p w14:paraId="4B1ED9C6">
                  <w:pPr>
                    <w:jc w:val="center"/>
                    <w:rPr>
                      <w:rFonts w:ascii="Times New Roman" w:hAnsi="Times New Roman" w:cs="Times New Roman"/>
                      <w:b/>
                      <w:bCs/>
                      <w:color w:val="FF0000"/>
                      <w:szCs w:val="21"/>
                    </w:rPr>
                  </w:pPr>
                  <w:r>
                    <w:rPr>
                      <w:rFonts w:ascii="Times New Roman" w:hAnsi="Times New Roman" w:cs="Times New Roman"/>
                      <w:b/>
                      <w:bCs/>
                      <w:szCs w:val="21"/>
                    </w:rPr>
                    <w:t>及效率</w:t>
                  </w:r>
                </w:p>
              </w:tc>
              <w:tc>
                <w:tcPr>
                  <w:tcW w:w="1510" w:type="pct"/>
                  <w:gridSpan w:val="3"/>
                  <w:tcBorders>
                    <w:tl2br w:val="nil"/>
                    <w:tr2bl w:val="nil"/>
                  </w:tcBorders>
                  <w:shd w:val="clear" w:color="auto" w:fill="FFFFFF"/>
                  <w:vAlign w:val="center"/>
                </w:tcPr>
                <w:p w14:paraId="79955F43">
                  <w:pPr>
                    <w:jc w:val="center"/>
                    <w:rPr>
                      <w:rFonts w:ascii="Times New Roman" w:hAnsi="Times New Roman" w:cs="Times New Roman"/>
                      <w:b/>
                      <w:bCs/>
                      <w:szCs w:val="21"/>
                    </w:rPr>
                  </w:pPr>
                  <w:r>
                    <w:rPr>
                      <w:rFonts w:ascii="Times New Roman" w:hAnsi="Times New Roman" w:cs="Times New Roman"/>
                      <w:b/>
                      <w:bCs/>
                      <w:szCs w:val="21"/>
                    </w:rPr>
                    <w:t>排放情况</w:t>
                  </w:r>
                </w:p>
              </w:tc>
              <w:tc>
                <w:tcPr>
                  <w:tcW w:w="601" w:type="pct"/>
                  <w:tcBorders>
                    <w:tl2br w:val="nil"/>
                    <w:tr2bl w:val="nil"/>
                  </w:tcBorders>
                  <w:shd w:val="clear" w:color="auto" w:fill="FFFFFF"/>
                  <w:vAlign w:val="center"/>
                </w:tcPr>
                <w:p w14:paraId="7274817A">
                  <w:pPr>
                    <w:jc w:val="center"/>
                    <w:rPr>
                      <w:rFonts w:ascii="Times New Roman" w:hAnsi="Times New Roman" w:cs="Times New Roman"/>
                      <w:b/>
                      <w:bCs/>
                      <w:szCs w:val="21"/>
                    </w:rPr>
                  </w:pPr>
                  <w:r>
                    <w:rPr>
                      <w:rFonts w:ascii="Times New Roman" w:hAnsi="Times New Roman" w:cs="Times New Roman"/>
                      <w:b/>
                      <w:bCs/>
                      <w:szCs w:val="21"/>
                    </w:rPr>
                    <w:t>执行</w:t>
                  </w:r>
                </w:p>
                <w:p w14:paraId="7A981423">
                  <w:pPr>
                    <w:jc w:val="center"/>
                    <w:rPr>
                      <w:rFonts w:ascii="Times New Roman" w:hAnsi="Times New Roman" w:cs="Times New Roman"/>
                      <w:b/>
                      <w:bCs/>
                      <w:szCs w:val="21"/>
                    </w:rPr>
                  </w:pPr>
                  <w:r>
                    <w:rPr>
                      <w:rFonts w:ascii="Times New Roman" w:hAnsi="Times New Roman" w:cs="Times New Roman"/>
                      <w:b/>
                      <w:bCs/>
                      <w:szCs w:val="21"/>
                    </w:rPr>
                    <w:t>标准</w:t>
                  </w:r>
                </w:p>
                <w:p w14:paraId="3749756E">
                  <w:pPr>
                    <w:jc w:val="center"/>
                    <w:rPr>
                      <w:rFonts w:ascii="Times New Roman" w:hAnsi="Times New Roman" w:cs="Times New Roman"/>
                      <w:b/>
                      <w:bCs/>
                      <w:szCs w:val="21"/>
                    </w:rPr>
                  </w:pPr>
                  <w:r>
                    <w:rPr>
                      <w:rFonts w:hint="eastAsia" w:ascii="Times New Roman" w:hAnsi="Times New Roman" w:cs="Times New Roman"/>
                      <w:b/>
                      <w:bCs/>
                      <w:szCs w:val="21"/>
                    </w:rPr>
                    <w:t>（最高允许排放）</w:t>
                  </w:r>
                </w:p>
              </w:tc>
            </w:tr>
            <w:tr w14:paraId="0E775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jc w:val="center"/>
              </w:trPr>
              <w:tc>
                <w:tcPr>
                  <w:tcW w:w="210" w:type="pct"/>
                  <w:vMerge w:val="continue"/>
                  <w:tcBorders>
                    <w:tl2br w:val="nil"/>
                    <w:tr2bl w:val="nil"/>
                  </w:tcBorders>
                  <w:shd w:val="clear" w:color="auto" w:fill="FFFFFF"/>
                  <w:vAlign w:val="center"/>
                </w:tcPr>
                <w:p w14:paraId="3F0941F0">
                  <w:pPr>
                    <w:jc w:val="center"/>
                    <w:rPr>
                      <w:rFonts w:ascii="Times New Roman" w:hAnsi="Times New Roman" w:cs="Times New Roman"/>
                      <w:b/>
                      <w:bCs/>
                      <w:szCs w:val="21"/>
                    </w:rPr>
                  </w:pPr>
                </w:p>
              </w:tc>
              <w:tc>
                <w:tcPr>
                  <w:tcW w:w="205" w:type="pct"/>
                  <w:vMerge w:val="continue"/>
                  <w:tcBorders>
                    <w:tl2br w:val="nil"/>
                    <w:tr2bl w:val="nil"/>
                  </w:tcBorders>
                  <w:shd w:val="clear" w:color="auto" w:fill="FFFFFF"/>
                  <w:vAlign w:val="center"/>
                </w:tcPr>
                <w:p w14:paraId="61336795">
                  <w:pPr>
                    <w:jc w:val="center"/>
                    <w:rPr>
                      <w:rFonts w:ascii="Times New Roman" w:hAnsi="Times New Roman" w:cs="Times New Roman"/>
                      <w:b/>
                      <w:bCs/>
                      <w:szCs w:val="21"/>
                    </w:rPr>
                  </w:pPr>
                </w:p>
              </w:tc>
              <w:tc>
                <w:tcPr>
                  <w:tcW w:w="295" w:type="pct"/>
                  <w:vMerge w:val="restart"/>
                  <w:tcBorders>
                    <w:tl2br w:val="nil"/>
                    <w:tr2bl w:val="nil"/>
                  </w:tcBorders>
                  <w:shd w:val="clear" w:color="auto" w:fill="FFFFFF"/>
                  <w:vAlign w:val="center"/>
                </w:tcPr>
                <w:p w14:paraId="0C199F57">
                  <w:pPr>
                    <w:jc w:val="center"/>
                    <w:rPr>
                      <w:rFonts w:ascii="Times New Roman" w:hAnsi="Times New Roman" w:cs="Times New Roman"/>
                      <w:b/>
                      <w:bCs/>
                      <w:szCs w:val="21"/>
                    </w:rPr>
                  </w:pPr>
                  <w:r>
                    <w:rPr>
                      <w:rFonts w:hint="eastAsia" w:ascii="Times New Roman" w:hAnsi="Times New Roman" w:cs="Times New Roman"/>
                      <w:b/>
                      <w:bCs/>
                      <w:szCs w:val="21"/>
                    </w:rPr>
                    <w:t>污染物</w:t>
                  </w:r>
                </w:p>
              </w:tc>
              <w:tc>
                <w:tcPr>
                  <w:tcW w:w="350" w:type="pct"/>
                  <w:vMerge w:val="restart"/>
                  <w:tcBorders>
                    <w:tl2br w:val="nil"/>
                    <w:tr2bl w:val="nil"/>
                  </w:tcBorders>
                  <w:shd w:val="clear" w:color="auto" w:fill="FFFFFF"/>
                  <w:vAlign w:val="center"/>
                </w:tcPr>
                <w:p w14:paraId="4E0288C6">
                  <w:pPr>
                    <w:jc w:val="center"/>
                    <w:rPr>
                      <w:rFonts w:ascii="Times New Roman" w:hAnsi="Times New Roman" w:cs="Times New Roman"/>
                      <w:b/>
                      <w:bCs/>
                      <w:szCs w:val="21"/>
                    </w:rPr>
                  </w:pPr>
                  <w:r>
                    <w:rPr>
                      <w:rFonts w:ascii="Times New Roman" w:hAnsi="Times New Roman" w:cs="Times New Roman"/>
                      <w:b/>
                      <w:bCs/>
                      <w:szCs w:val="21"/>
                    </w:rPr>
                    <w:t>产生量（t/a）</w:t>
                  </w:r>
                </w:p>
              </w:tc>
              <w:tc>
                <w:tcPr>
                  <w:tcW w:w="452" w:type="pct"/>
                  <w:vMerge w:val="restart"/>
                  <w:tcBorders>
                    <w:tl2br w:val="nil"/>
                    <w:tr2bl w:val="nil"/>
                  </w:tcBorders>
                  <w:shd w:val="clear" w:color="auto" w:fill="FFFFFF"/>
                  <w:vAlign w:val="center"/>
                </w:tcPr>
                <w:p w14:paraId="5245E84C">
                  <w:pPr>
                    <w:jc w:val="center"/>
                    <w:rPr>
                      <w:rFonts w:ascii="Times New Roman" w:hAnsi="Times New Roman" w:cs="Times New Roman"/>
                      <w:b/>
                      <w:bCs/>
                      <w:szCs w:val="21"/>
                    </w:rPr>
                  </w:pPr>
                  <w:r>
                    <w:rPr>
                      <w:rFonts w:ascii="Times New Roman" w:hAnsi="Times New Roman" w:cs="Times New Roman"/>
                      <w:b/>
                      <w:bCs/>
                      <w:szCs w:val="21"/>
                    </w:rPr>
                    <w:t>产生</w:t>
                  </w:r>
                </w:p>
                <w:p w14:paraId="5EED99AD">
                  <w:pPr>
                    <w:jc w:val="center"/>
                    <w:rPr>
                      <w:rFonts w:ascii="Times New Roman" w:hAnsi="Times New Roman" w:cs="Times New Roman"/>
                      <w:b/>
                      <w:bCs/>
                      <w:szCs w:val="21"/>
                    </w:rPr>
                  </w:pPr>
                  <w:r>
                    <w:rPr>
                      <w:rFonts w:ascii="Times New Roman" w:hAnsi="Times New Roman" w:cs="Times New Roman"/>
                      <w:b/>
                      <w:bCs/>
                      <w:szCs w:val="21"/>
                    </w:rPr>
                    <w:t>速率（kg/h）</w:t>
                  </w:r>
                </w:p>
              </w:tc>
              <w:tc>
                <w:tcPr>
                  <w:tcW w:w="584" w:type="pct"/>
                  <w:vMerge w:val="restart"/>
                  <w:tcBorders>
                    <w:tl2br w:val="nil"/>
                    <w:tr2bl w:val="nil"/>
                  </w:tcBorders>
                  <w:shd w:val="clear" w:color="auto" w:fill="FFFFFF"/>
                  <w:vAlign w:val="center"/>
                </w:tcPr>
                <w:p w14:paraId="5C2D7B88">
                  <w:pPr>
                    <w:jc w:val="center"/>
                    <w:rPr>
                      <w:rFonts w:ascii="Times New Roman" w:hAnsi="Times New Roman" w:cs="Times New Roman"/>
                      <w:b/>
                      <w:bCs/>
                      <w:szCs w:val="21"/>
                    </w:rPr>
                  </w:pPr>
                  <w:r>
                    <w:rPr>
                      <w:rFonts w:ascii="Times New Roman" w:hAnsi="Times New Roman" w:cs="Times New Roman"/>
                      <w:b/>
                      <w:bCs/>
                      <w:szCs w:val="21"/>
                    </w:rPr>
                    <w:t>产生浓度（mg/m</w:t>
                  </w:r>
                  <w:r>
                    <w:rPr>
                      <w:rFonts w:ascii="Times New Roman" w:hAnsi="Times New Roman" w:cs="Times New Roman"/>
                      <w:b/>
                      <w:bCs/>
                      <w:szCs w:val="21"/>
                      <w:vertAlign w:val="superscript"/>
                    </w:rPr>
                    <w:t>3</w:t>
                  </w:r>
                  <w:r>
                    <w:rPr>
                      <w:rFonts w:ascii="Times New Roman" w:hAnsi="Times New Roman" w:cs="Times New Roman"/>
                      <w:b/>
                      <w:bCs/>
                      <w:szCs w:val="21"/>
                    </w:rPr>
                    <w:t>）</w:t>
                  </w:r>
                </w:p>
              </w:tc>
              <w:tc>
                <w:tcPr>
                  <w:tcW w:w="789" w:type="pct"/>
                  <w:vMerge w:val="continue"/>
                  <w:tcBorders>
                    <w:tl2br w:val="nil"/>
                    <w:tr2bl w:val="nil"/>
                  </w:tcBorders>
                  <w:shd w:val="clear" w:color="auto" w:fill="FFFFFF"/>
                  <w:vAlign w:val="center"/>
                </w:tcPr>
                <w:p w14:paraId="57E8E9A5">
                  <w:pPr>
                    <w:jc w:val="center"/>
                    <w:rPr>
                      <w:rFonts w:ascii="Times New Roman" w:hAnsi="Times New Roman" w:cs="Times New Roman"/>
                      <w:b/>
                      <w:bCs/>
                      <w:color w:val="FF0000"/>
                      <w:szCs w:val="21"/>
                    </w:rPr>
                  </w:pPr>
                </w:p>
              </w:tc>
              <w:tc>
                <w:tcPr>
                  <w:tcW w:w="479" w:type="pct"/>
                  <w:vMerge w:val="restart"/>
                  <w:tcBorders>
                    <w:tl2br w:val="nil"/>
                    <w:tr2bl w:val="nil"/>
                  </w:tcBorders>
                  <w:shd w:val="clear" w:color="auto" w:fill="FFFFFF"/>
                  <w:vAlign w:val="center"/>
                </w:tcPr>
                <w:p w14:paraId="1D584598">
                  <w:pPr>
                    <w:jc w:val="center"/>
                    <w:rPr>
                      <w:rFonts w:ascii="Times New Roman" w:hAnsi="Times New Roman" w:cs="Times New Roman"/>
                      <w:b/>
                      <w:bCs/>
                      <w:szCs w:val="21"/>
                    </w:rPr>
                  </w:pPr>
                  <w:r>
                    <w:rPr>
                      <w:rFonts w:ascii="Times New Roman" w:hAnsi="Times New Roman" w:cs="Times New Roman"/>
                      <w:b/>
                      <w:bCs/>
                      <w:szCs w:val="21"/>
                    </w:rPr>
                    <w:t>排放量（t/a）</w:t>
                  </w:r>
                </w:p>
              </w:tc>
              <w:tc>
                <w:tcPr>
                  <w:tcW w:w="462" w:type="pct"/>
                  <w:vMerge w:val="restart"/>
                  <w:tcBorders>
                    <w:tl2br w:val="nil"/>
                    <w:tr2bl w:val="nil"/>
                  </w:tcBorders>
                  <w:shd w:val="clear" w:color="auto" w:fill="FFFFFF"/>
                  <w:vAlign w:val="center"/>
                </w:tcPr>
                <w:p w14:paraId="5E72AC36">
                  <w:pPr>
                    <w:jc w:val="center"/>
                    <w:rPr>
                      <w:rFonts w:ascii="Times New Roman" w:hAnsi="Times New Roman" w:cs="Times New Roman"/>
                      <w:b/>
                      <w:bCs/>
                      <w:szCs w:val="21"/>
                    </w:rPr>
                  </w:pPr>
                  <w:r>
                    <w:rPr>
                      <w:rFonts w:ascii="Times New Roman" w:hAnsi="Times New Roman" w:cs="Times New Roman"/>
                      <w:b/>
                      <w:bCs/>
                      <w:szCs w:val="21"/>
                    </w:rPr>
                    <w:t>排放</w:t>
                  </w:r>
                </w:p>
                <w:p w14:paraId="70458535">
                  <w:pPr>
                    <w:jc w:val="center"/>
                    <w:rPr>
                      <w:rFonts w:ascii="Times New Roman" w:hAnsi="Times New Roman" w:cs="Times New Roman"/>
                      <w:b/>
                      <w:bCs/>
                      <w:szCs w:val="21"/>
                    </w:rPr>
                  </w:pPr>
                  <w:r>
                    <w:rPr>
                      <w:rFonts w:ascii="Times New Roman" w:hAnsi="Times New Roman" w:cs="Times New Roman"/>
                      <w:b/>
                      <w:bCs/>
                      <w:szCs w:val="21"/>
                    </w:rPr>
                    <w:t>速率</w:t>
                  </w:r>
                </w:p>
                <w:p w14:paraId="36142A2E">
                  <w:pPr>
                    <w:jc w:val="center"/>
                    <w:rPr>
                      <w:rFonts w:ascii="Times New Roman" w:hAnsi="Times New Roman" w:cs="Times New Roman"/>
                      <w:b/>
                      <w:bCs/>
                      <w:szCs w:val="21"/>
                    </w:rPr>
                  </w:pPr>
                  <w:r>
                    <w:rPr>
                      <w:rFonts w:ascii="Times New Roman" w:hAnsi="Times New Roman" w:cs="Times New Roman"/>
                      <w:b/>
                      <w:bCs/>
                      <w:szCs w:val="21"/>
                    </w:rPr>
                    <w:t>（kg/h）</w:t>
                  </w:r>
                </w:p>
              </w:tc>
              <w:tc>
                <w:tcPr>
                  <w:tcW w:w="568" w:type="pct"/>
                  <w:vMerge w:val="restart"/>
                  <w:tcBorders>
                    <w:tl2br w:val="nil"/>
                    <w:tr2bl w:val="nil"/>
                  </w:tcBorders>
                  <w:shd w:val="clear" w:color="auto" w:fill="FFFFFF"/>
                  <w:vAlign w:val="center"/>
                </w:tcPr>
                <w:p w14:paraId="3EA2FE27">
                  <w:pPr>
                    <w:jc w:val="center"/>
                    <w:rPr>
                      <w:rFonts w:ascii="Times New Roman" w:hAnsi="Times New Roman" w:cs="Times New Roman"/>
                      <w:b/>
                      <w:bCs/>
                      <w:szCs w:val="21"/>
                    </w:rPr>
                  </w:pPr>
                  <w:r>
                    <w:rPr>
                      <w:rFonts w:ascii="Times New Roman" w:hAnsi="Times New Roman" w:cs="Times New Roman"/>
                      <w:b/>
                      <w:bCs/>
                      <w:szCs w:val="21"/>
                    </w:rPr>
                    <w:t>排放</w:t>
                  </w:r>
                </w:p>
                <w:p w14:paraId="0DFCF709">
                  <w:pPr>
                    <w:jc w:val="center"/>
                    <w:rPr>
                      <w:rFonts w:ascii="Times New Roman" w:hAnsi="Times New Roman" w:cs="Times New Roman"/>
                      <w:b/>
                      <w:bCs/>
                      <w:szCs w:val="21"/>
                    </w:rPr>
                  </w:pPr>
                  <w:r>
                    <w:rPr>
                      <w:rFonts w:ascii="Times New Roman" w:hAnsi="Times New Roman" w:cs="Times New Roman"/>
                      <w:b/>
                      <w:bCs/>
                      <w:szCs w:val="21"/>
                    </w:rPr>
                    <w:t>浓度（mg/m</w:t>
                  </w:r>
                  <w:r>
                    <w:rPr>
                      <w:rFonts w:ascii="Times New Roman" w:hAnsi="Times New Roman" w:cs="Times New Roman"/>
                      <w:b/>
                      <w:bCs/>
                      <w:szCs w:val="21"/>
                      <w:vertAlign w:val="superscript"/>
                    </w:rPr>
                    <w:t>3</w:t>
                  </w:r>
                  <w:r>
                    <w:rPr>
                      <w:rFonts w:ascii="Times New Roman" w:hAnsi="Times New Roman" w:cs="Times New Roman"/>
                      <w:b/>
                      <w:bCs/>
                      <w:szCs w:val="21"/>
                    </w:rPr>
                    <w:t>）</w:t>
                  </w:r>
                </w:p>
              </w:tc>
              <w:tc>
                <w:tcPr>
                  <w:tcW w:w="601" w:type="pct"/>
                  <w:tcBorders>
                    <w:bottom w:val="single" w:color="auto" w:sz="4" w:space="0"/>
                    <w:tl2br w:val="nil"/>
                    <w:tr2bl w:val="nil"/>
                  </w:tcBorders>
                  <w:shd w:val="clear" w:color="auto" w:fill="FFFFFF"/>
                  <w:vAlign w:val="center"/>
                </w:tcPr>
                <w:p w14:paraId="3C9DD815">
                  <w:pPr>
                    <w:jc w:val="center"/>
                    <w:rPr>
                      <w:rFonts w:ascii="Times New Roman" w:hAnsi="Times New Roman" w:cs="Times New Roman"/>
                      <w:b/>
                      <w:bCs/>
                      <w:szCs w:val="21"/>
                    </w:rPr>
                  </w:pPr>
                  <w:r>
                    <w:rPr>
                      <w:rFonts w:ascii="Times New Roman" w:hAnsi="Times New Roman" w:cs="Times New Roman"/>
                      <w:b/>
                      <w:bCs/>
                      <w:szCs w:val="21"/>
                    </w:rPr>
                    <w:t>浓度(mg/m</w:t>
                  </w:r>
                  <w:r>
                    <w:rPr>
                      <w:rFonts w:ascii="Times New Roman" w:hAnsi="Times New Roman" w:cs="Times New Roman"/>
                      <w:b/>
                      <w:bCs/>
                      <w:szCs w:val="21"/>
                      <w:vertAlign w:val="superscript"/>
                    </w:rPr>
                    <w:t>3</w:t>
                  </w:r>
                  <w:r>
                    <w:rPr>
                      <w:rFonts w:ascii="Times New Roman" w:hAnsi="Times New Roman" w:cs="Times New Roman"/>
                      <w:b/>
                      <w:bCs/>
                      <w:szCs w:val="21"/>
                    </w:rPr>
                    <w:t>)</w:t>
                  </w:r>
                </w:p>
              </w:tc>
            </w:tr>
            <w:tr w14:paraId="34D0D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10" w:type="pct"/>
                  <w:vMerge w:val="continue"/>
                  <w:tcBorders>
                    <w:tl2br w:val="nil"/>
                    <w:tr2bl w:val="nil"/>
                  </w:tcBorders>
                  <w:shd w:val="clear" w:color="auto" w:fill="FFFFFF"/>
                  <w:vAlign w:val="center"/>
                </w:tcPr>
                <w:p w14:paraId="14A59102">
                  <w:pPr>
                    <w:jc w:val="center"/>
                    <w:rPr>
                      <w:rFonts w:ascii="Times New Roman" w:hAnsi="Times New Roman" w:cs="Times New Roman"/>
                      <w:b/>
                      <w:bCs/>
                      <w:szCs w:val="21"/>
                    </w:rPr>
                  </w:pPr>
                </w:p>
              </w:tc>
              <w:tc>
                <w:tcPr>
                  <w:tcW w:w="205" w:type="pct"/>
                  <w:vMerge w:val="continue"/>
                  <w:tcBorders>
                    <w:tl2br w:val="nil"/>
                    <w:tr2bl w:val="nil"/>
                  </w:tcBorders>
                  <w:shd w:val="clear" w:color="auto" w:fill="FFFFFF"/>
                  <w:vAlign w:val="center"/>
                </w:tcPr>
                <w:p w14:paraId="2EB8A689">
                  <w:pPr>
                    <w:jc w:val="center"/>
                    <w:rPr>
                      <w:rFonts w:ascii="Times New Roman" w:hAnsi="Times New Roman" w:cs="Times New Roman"/>
                      <w:b/>
                      <w:bCs/>
                      <w:szCs w:val="21"/>
                    </w:rPr>
                  </w:pPr>
                </w:p>
              </w:tc>
              <w:tc>
                <w:tcPr>
                  <w:tcW w:w="295" w:type="pct"/>
                  <w:vMerge w:val="continue"/>
                  <w:tcBorders>
                    <w:tl2br w:val="nil"/>
                    <w:tr2bl w:val="nil"/>
                  </w:tcBorders>
                  <w:shd w:val="clear" w:color="auto" w:fill="FFFFFF"/>
                  <w:vAlign w:val="center"/>
                </w:tcPr>
                <w:p w14:paraId="7CD9A112">
                  <w:pPr>
                    <w:jc w:val="center"/>
                    <w:rPr>
                      <w:rFonts w:ascii="Times New Roman" w:hAnsi="Times New Roman" w:cs="Times New Roman"/>
                      <w:b/>
                      <w:bCs/>
                      <w:szCs w:val="21"/>
                    </w:rPr>
                  </w:pPr>
                </w:p>
              </w:tc>
              <w:tc>
                <w:tcPr>
                  <w:tcW w:w="350" w:type="pct"/>
                  <w:vMerge w:val="continue"/>
                  <w:tcBorders>
                    <w:tl2br w:val="nil"/>
                    <w:tr2bl w:val="nil"/>
                  </w:tcBorders>
                  <w:shd w:val="clear" w:color="auto" w:fill="FFFFFF"/>
                  <w:vAlign w:val="center"/>
                </w:tcPr>
                <w:p w14:paraId="44051E6F">
                  <w:pPr>
                    <w:jc w:val="center"/>
                    <w:rPr>
                      <w:rFonts w:ascii="Times New Roman" w:hAnsi="Times New Roman" w:cs="Times New Roman"/>
                      <w:b/>
                      <w:bCs/>
                      <w:color w:val="FF0000"/>
                      <w:szCs w:val="21"/>
                    </w:rPr>
                  </w:pPr>
                </w:p>
              </w:tc>
              <w:tc>
                <w:tcPr>
                  <w:tcW w:w="452" w:type="pct"/>
                  <w:vMerge w:val="continue"/>
                  <w:tcBorders>
                    <w:tl2br w:val="nil"/>
                    <w:tr2bl w:val="nil"/>
                  </w:tcBorders>
                  <w:shd w:val="clear" w:color="auto" w:fill="FFFFFF"/>
                  <w:vAlign w:val="center"/>
                </w:tcPr>
                <w:p w14:paraId="136D5B93">
                  <w:pPr>
                    <w:jc w:val="center"/>
                    <w:rPr>
                      <w:rFonts w:ascii="Times New Roman" w:hAnsi="Times New Roman" w:cs="Times New Roman"/>
                      <w:b/>
                      <w:bCs/>
                      <w:color w:val="FF0000"/>
                      <w:szCs w:val="21"/>
                    </w:rPr>
                  </w:pPr>
                </w:p>
              </w:tc>
              <w:tc>
                <w:tcPr>
                  <w:tcW w:w="584" w:type="pct"/>
                  <w:vMerge w:val="continue"/>
                  <w:tcBorders>
                    <w:tl2br w:val="nil"/>
                    <w:tr2bl w:val="nil"/>
                  </w:tcBorders>
                  <w:shd w:val="clear" w:color="auto" w:fill="FFFFFF"/>
                  <w:vAlign w:val="center"/>
                </w:tcPr>
                <w:p w14:paraId="655EC24F">
                  <w:pPr>
                    <w:jc w:val="center"/>
                    <w:rPr>
                      <w:rFonts w:ascii="Times New Roman" w:hAnsi="Times New Roman" w:cs="Times New Roman"/>
                      <w:b/>
                      <w:bCs/>
                      <w:color w:val="FF0000"/>
                      <w:szCs w:val="21"/>
                    </w:rPr>
                  </w:pPr>
                </w:p>
              </w:tc>
              <w:tc>
                <w:tcPr>
                  <w:tcW w:w="789" w:type="pct"/>
                  <w:vMerge w:val="continue"/>
                  <w:tcBorders>
                    <w:tl2br w:val="nil"/>
                    <w:tr2bl w:val="nil"/>
                  </w:tcBorders>
                  <w:shd w:val="clear" w:color="auto" w:fill="FFFFFF"/>
                  <w:vAlign w:val="center"/>
                </w:tcPr>
                <w:p w14:paraId="7F513B78">
                  <w:pPr>
                    <w:jc w:val="center"/>
                    <w:rPr>
                      <w:rFonts w:ascii="Times New Roman" w:hAnsi="Times New Roman" w:cs="Times New Roman"/>
                      <w:b/>
                      <w:bCs/>
                      <w:color w:val="FF0000"/>
                      <w:szCs w:val="21"/>
                    </w:rPr>
                  </w:pPr>
                </w:p>
              </w:tc>
              <w:tc>
                <w:tcPr>
                  <w:tcW w:w="479" w:type="pct"/>
                  <w:vMerge w:val="continue"/>
                  <w:tcBorders>
                    <w:tl2br w:val="nil"/>
                    <w:tr2bl w:val="nil"/>
                  </w:tcBorders>
                  <w:shd w:val="clear" w:color="auto" w:fill="FFFFFF"/>
                  <w:vAlign w:val="center"/>
                </w:tcPr>
                <w:p w14:paraId="6A636493">
                  <w:pPr>
                    <w:jc w:val="center"/>
                    <w:rPr>
                      <w:rFonts w:ascii="Times New Roman" w:hAnsi="Times New Roman" w:cs="Times New Roman"/>
                      <w:b/>
                      <w:bCs/>
                      <w:szCs w:val="21"/>
                    </w:rPr>
                  </w:pPr>
                </w:p>
              </w:tc>
              <w:tc>
                <w:tcPr>
                  <w:tcW w:w="462" w:type="pct"/>
                  <w:vMerge w:val="continue"/>
                  <w:tcBorders>
                    <w:tl2br w:val="nil"/>
                    <w:tr2bl w:val="nil"/>
                  </w:tcBorders>
                  <w:shd w:val="clear" w:color="auto" w:fill="FFFFFF"/>
                  <w:vAlign w:val="center"/>
                </w:tcPr>
                <w:p w14:paraId="02165085">
                  <w:pPr>
                    <w:jc w:val="center"/>
                    <w:rPr>
                      <w:rFonts w:ascii="Times New Roman" w:hAnsi="Times New Roman" w:cs="Times New Roman"/>
                      <w:b/>
                      <w:bCs/>
                      <w:szCs w:val="21"/>
                    </w:rPr>
                  </w:pPr>
                </w:p>
              </w:tc>
              <w:tc>
                <w:tcPr>
                  <w:tcW w:w="568" w:type="pct"/>
                  <w:vMerge w:val="continue"/>
                  <w:tcBorders>
                    <w:tl2br w:val="nil"/>
                    <w:tr2bl w:val="nil"/>
                  </w:tcBorders>
                  <w:shd w:val="clear" w:color="auto" w:fill="FFFFFF"/>
                  <w:vAlign w:val="center"/>
                </w:tcPr>
                <w:p w14:paraId="2D1BAE1F">
                  <w:pPr>
                    <w:jc w:val="center"/>
                    <w:rPr>
                      <w:rFonts w:ascii="Times New Roman" w:hAnsi="Times New Roman" w:cs="Times New Roman"/>
                      <w:b/>
                      <w:bCs/>
                      <w:szCs w:val="21"/>
                    </w:rPr>
                  </w:pPr>
                </w:p>
              </w:tc>
              <w:tc>
                <w:tcPr>
                  <w:tcW w:w="601" w:type="pct"/>
                  <w:tcBorders>
                    <w:top w:val="single" w:color="auto" w:sz="4" w:space="0"/>
                    <w:tl2br w:val="nil"/>
                    <w:tr2bl w:val="nil"/>
                  </w:tcBorders>
                  <w:shd w:val="clear" w:color="auto" w:fill="FFFFFF"/>
                  <w:vAlign w:val="center"/>
                </w:tcPr>
                <w:p w14:paraId="19F3B0C3">
                  <w:pPr>
                    <w:jc w:val="center"/>
                    <w:rPr>
                      <w:rFonts w:ascii="Times New Roman" w:hAnsi="Times New Roman" w:cs="Times New Roman"/>
                      <w:b/>
                      <w:bCs/>
                      <w:szCs w:val="21"/>
                    </w:rPr>
                  </w:pPr>
                  <w:r>
                    <w:rPr>
                      <w:rFonts w:hint="eastAsia" w:ascii="Times New Roman" w:hAnsi="Times New Roman" w:cs="Times New Roman"/>
                      <w:b/>
                      <w:bCs/>
                      <w:szCs w:val="21"/>
                    </w:rPr>
                    <w:t>速率</w:t>
                  </w:r>
                  <w:r>
                    <w:rPr>
                      <w:rFonts w:ascii="Times New Roman" w:hAnsi="Times New Roman" w:cs="Times New Roman"/>
                      <w:b/>
                      <w:bCs/>
                      <w:szCs w:val="21"/>
                    </w:rPr>
                    <w:t>（kg/h）</w:t>
                  </w:r>
                </w:p>
              </w:tc>
            </w:tr>
            <w:tr w14:paraId="6D34F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jc w:val="center"/>
              </w:trPr>
              <w:tc>
                <w:tcPr>
                  <w:tcW w:w="210" w:type="pct"/>
                  <w:vMerge w:val="restart"/>
                  <w:tcBorders>
                    <w:tl2br w:val="nil"/>
                    <w:tr2bl w:val="nil"/>
                  </w:tcBorders>
                  <w:shd w:val="clear" w:color="auto" w:fill="FFFFFF"/>
                  <w:vAlign w:val="center"/>
                </w:tcPr>
                <w:p w14:paraId="4AC66AED">
                  <w:pPr>
                    <w:jc w:val="center"/>
                    <w:rPr>
                      <w:rFonts w:ascii="Times New Roman" w:hAnsi="Times New Roman" w:cs="Times New Roman"/>
                      <w:szCs w:val="21"/>
                    </w:rPr>
                  </w:pPr>
                  <w:r>
                    <w:rPr>
                      <w:rFonts w:hint="eastAsia" w:ascii="Times New Roman" w:hAnsi="Times New Roman" w:cs="Times New Roman"/>
                      <w:szCs w:val="21"/>
                    </w:rPr>
                    <w:t>乳化沥青胶磨工序</w:t>
                  </w:r>
                </w:p>
              </w:tc>
              <w:tc>
                <w:tcPr>
                  <w:tcW w:w="205" w:type="pct"/>
                  <w:vMerge w:val="restart"/>
                  <w:tcBorders>
                    <w:tl2br w:val="nil"/>
                    <w:tr2bl w:val="nil"/>
                  </w:tcBorders>
                  <w:shd w:val="clear" w:color="auto" w:fill="FFFFFF"/>
                  <w:vAlign w:val="center"/>
                </w:tcPr>
                <w:p w14:paraId="3900E5C8">
                  <w:pPr>
                    <w:jc w:val="center"/>
                    <w:rPr>
                      <w:rFonts w:ascii="Times New Roman" w:hAnsi="Times New Roman" w:cs="Times New Roman"/>
                      <w:szCs w:val="21"/>
                    </w:rPr>
                  </w:pPr>
                  <w:r>
                    <w:rPr>
                      <w:rFonts w:hint="eastAsia" w:ascii="Times New Roman" w:hAnsi="Times New Roman" w:cs="Times New Roman"/>
                      <w:szCs w:val="21"/>
                    </w:rPr>
                    <w:t>有组织</w:t>
                  </w:r>
                </w:p>
              </w:tc>
              <w:tc>
                <w:tcPr>
                  <w:tcW w:w="295" w:type="pct"/>
                  <w:vMerge w:val="restart"/>
                  <w:tcBorders>
                    <w:tl2br w:val="nil"/>
                    <w:tr2bl w:val="nil"/>
                  </w:tcBorders>
                  <w:shd w:val="clear" w:color="auto" w:fill="FFFFFF"/>
                  <w:vAlign w:val="center"/>
                </w:tcPr>
                <w:p w14:paraId="727C01C5">
                  <w:pPr>
                    <w:jc w:val="center"/>
                    <w:rPr>
                      <w:rFonts w:ascii="Times New Roman" w:hAnsi="Times New Roman" w:cs="Times New Roman"/>
                      <w:szCs w:val="21"/>
                    </w:rPr>
                  </w:pPr>
                  <w:r>
                    <w:rPr>
                      <w:rFonts w:hint="eastAsia" w:ascii="Times New Roman" w:hAnsi="Times New Roman" w:cs="Times New Roman"/>
                      <w:szCs w:val="21"/>
                    </w:rPr>
                    <w:t>沥青烟</w:t>
                  </w:r>
                </w:p>
              </w:tc>
              <w:tc>
                <w:tcPr>
                  <w:tcW w:w="350" w:type="pct"/>
                  <w:vMerge w:val="restart"/>
                  <w:tcBorders>
                    <w:tl2br w:val="nil"/>
                    <w:tr2bl w:val="nil"/>
                  </w:tcBorders>
                  <w:shd w:val="clear" w:color="auto" w:fill="FFFFFF"/>
                  <w:vAlign w:val="center"/>
                </w:tcPr>
                <w:p w14:paraId="1A5CD3C9">
                  <w:pPr>
                    <w:jc w:val="center"/>
                    <w:rPr>
                      <w:rFonts w:ascii="Times New Roman" w:hAnsi="Times New Roman" w:cs="Times New Roman"/>
                      <w:szCs w:val="21"/>
                    </w:rPr>
                  </w:pPr>
                  <w:r>
                    <w:rPr>
                      <w:rFonts w:hint="eastAsia" w:ascii="Times New Roman" w:hAnsi="Times New Roman" w:cs="Times New Roman"/>
                      <w:szCs w:val="21"/>
                    </w:rPr>
                    <w:t>0.014</w:t>
                  </w:r>
                </w:p>
              </w:tc>
              <w:tc>
                <w:tcPr>
                  <w:tcW w:w="452" w:type="pct"/>
                  <w:vMerge w:val="restart"/>
                  <w:tcBorders>
                    <w:tl2br w:val="nil"/>
                    <w:tr2bl w:val="nil"/>
                  </w:tcBorders>
                  <w:shd w:val="clear" w:color="auto" w:fill="FFFFFF"/>
                  <w:vAlign w:val="center"/>
                </w:tcPr>
                <w:p w14:paraId="76358B2D">
                  <w:pPr>
                    <w:jc w:val="center"/>
                    <w:rPr>
                      <w:rFonts w:ascii="Times New Roman" w:hAnsi="Times New Roman" w:cs="Times New Roman"/>
                      <w:szCs w:val="21"/>
                    </w:rPr>
                  </w:pPr>
                  <w:r>
                    <w:rPr>
                      <w:rFonts w:hint="eastAsia" w:ascii="Times New Roman" w:hAnsi="Times New Roman" w:cs="Times New Roman"/>
                      <w:szCs w:val="21"/>
                    </w:rPr>
                    <w:t>0.28</w:t>
                  </w:r>
                </w:p>
              </w:tc>
              <w:tc>
                <w:tcPr>
                  <w:tcW w:w="584" w:type="pct"/>
                  <w:vMerge w:val="restart"/>
                  <w:tcBorders>
                    <w:tl2br w:val="nil"/>
                    <w:tr2bl w:val="nil"/>
                  </w:tcBorders>
                  <w:shd w:val="clear" w:color="auto" w:fill="FFFFFF"/>
                  <w:vAlign w:val="center"/>
                </w:tcPr>
                <w:p w14:paraId="7F293049">
                  <w:pPr>
                    <w:jc w:val="center"/>
                    <w:rPr>
                      <w:rFonts w:ascii="Times New Roman" w:hAnsi="Times New Roman" w:cs="Times New Roman"/>
                      <w:szCs w:val="21"/>
                    </w:rPr>
                  </w:pPr>
                  <w:r>
                    <w:rPr>
                      <w:rFonts w:hint="eastAsia" w:ascii="Times New Roman" w:hAnsi="Times New Roman" w:cs="Times New Roman"/>
                      <w:szCs w:val="21"/>
                    </w:rPr>
                    <w:t>56</w:t>
                  </w:r>
                </w:p>
              </w:tc>
              <w:tc>
                <w:tcPr>
                  <w:tcW w:w="789" w:type="pct"/>
                  <w:vMerge w:val="restart"/>
                  <w:tcBorders>
                    <w:tl2br w:val="nil"/>
                    <w:tr2bl w:val="nil"/>
                  </w:tcBorders>
                  <w:shd w:val="clear" w:color="auto" w:fill="FFFFFF"/>
                  <w:vAlign w:val="center"/>
                </w:tcPr>
                <w:p w14:paraId="6A2E52EF">
                  <w:pPr>
                    <w:wordWrap w:val="0"/>
                    <w:topLinePunct/>
                    <w:jc w:val="center"/>
                    <w:rPr>
                      <w:color w:val="FF0000"/>
                    </w:rPr>
                  </w:pPr>
                  <w:r>
                    <w:rPr>
                      <w:rFonts w:hint="eastAsia" w:ascii="Times New Roman" w:hAnsi="Times New Roman" w:cs="Times New Roman"/>
                      <w:szCs w:val="21"/>
                    </w:rPr>
                    <w:t>高效二级活性炭吸附装置</w:t>
                  </w:r>
                  <w:r>
                    <w:rPr>
                      <w:rFonts w:hint="eastAsia" w:ascii="Times New Roman" w:hAnsi="Times New Roman" w:cs="Times New Roman"/>
                      <w:color w:val="FF0000"/>
                      <w:szCs w:val="21"/>
                    </w:rPr>
                    <w:t>+15m</w:t>
                  </w:r>
                  <w:r>
                    <w:rPr>
                      <w:rFonts w:hint="eastAsia" w:ascii="Times New Roman" w:hAnsi="Times New Roman" w:cs="Times New Roman"/>
                      <w:szCs w:val="21"/>
                    </w:rPr>
                    <w:t>高排气筒（</w:t>
                  </w:r>
                  <w:r>
                    <w:rPr>
                      <w:rFonts w:ascii="Times New Roman" w:hAnsi="Times New Roman" w:cs="Times New Roman"/>
                      <w:szCs w:val="21"/>
                    </w:rPr>
                    <w:t>DA003</w:t>
                  </w:r>
                  <w:r>
                    <w:rPr>
                      <w:rFonts w:hint="eastAsia" w:ascii="Times New Roman" w:hAnsi="Times New Roman" w:cs="Times New Roman"/>
                      <w:szCs w:val="21"/>
                    </w:rPr>
                    <w:t>）排放，风机风量5000m</w:t>
                  </w:r>
                  <w:r>
                    <w:rPr>
                      <w:rFonts w:hint="eastAsia" w:ascii="Times New Roman" w:hAnsi="Times New Roman" w:cs="Times New Roman"/>
                      <w:szCs w:val="21"/>
                      <w:vertAlign w:val="superscript"/>
                    </w:rPr>
                    <w:t>3</w:t>
                  </w:r>
                  <w:r>
                    <w:rPr>
                      <w:rFonts w:hint="eastAsia" w:ascii="Times New Roman" w:hAnsi="Times New Roman" w:cs="Times New Roman"/>
                      <w:szCs w:val="21"/>
                    </w:rPr>
                    <w:t>/h。处理效率98%。</w:t>
                  </w:r>
                </w:p>
              </w:tc>
              <w:tc>
                <w:tcPr>
                  <w:tcW w:w="479" w:type="pct"/>
                  <w:vMerge w:val="restart"/>
                  <w:tcBorders>
                    <w:tl2br w:val="nil"/>
                    <w:tr2bl w:val="nil"/>
                  </w:tcBorders>
                  <w:shd w:val="clear" w:color="auto" w:fill="FFFFFF"/>
                  <w:vAlign w:val="center"/>
                </w:tcPr>
                <w:p w14:paraId="0E3082C1">
                  <w:pPr>
                    <w:jc w:val="center"/>
                    <w:rPr>
                      <w:rFonts w:ascii="Times New Roman" w:hAnsi="Times New Roman" w:cs="Times New Roman"/>
                      <w:szCs w:val="21"/>
                    </w:rPr>
                  </w:pPr>
                  <w:r>
                    <w:rPr>
                      <w:rFonts w:hint="eastAsia" w:ascii="Times New Roman" w:hAnsi="Times New Roman" w:cs="Times New Roman"/>
                      <w:szCs w:val="21"/>
                    </w:rPr>
                    <w:t>0.00028</w:t>
                  </w:r>
                </w:p>
              </w:tc>
              <w:tc>
                <w:tcPr>
                  <w:tcW w:w="462" w:type="pct"/>
                  <w:vMerge w:val="restart"/>
                  <w:tcBorders>
                    <w:tl2br w:val="nil"/>
                    <w:tr2bl w:val="nil"/>
                  </w:tcBorders>
                  <w:shd w:val="clear" w:color="auto" w:fill="FFFFFF"/>
                  <w:vAlign w:val="center"/>
                </w:tcPr>
                <w:p w14:paraId="7614D71D">
                  <w:pPr>
                    <w:jc w:val="center"/>
                    <w:rPr>
                      <w:rFonts w:ascii="Times New Roman" w:hAnsi="Times New Roman" w:cs="Times New Roman"/>
                      <w:szCs w:val="21"/>
                    </w:rPr>
                  </w:pPr>
                  <w:r>
                    <w:rPr>
                      <w:rFonts w:hint="eastAsia" w:ascii="Times New Roman" w:hAnsi="Times New Roman" w:cs="Times New Roman"/>
                      <w:szCs w:val="21"/>
                    </w:rPr>
                    <w:t>0.0056</w:t>
                  </w:r>
                </w:p>
              </w:tc>
              <w:tc>
                <w:tcPr>
                  <w:tcW w:w="568" w:type="pct"/>
                  <w:vMerge w:val="restart"/>
                  <w:tcBorders>
                    <w:tl2br w:val="nil"/>
                    <w:tr2bl w:val="nil"/>
                  </w:tcBorders>
                  <w:shd w:val="clear" w:color="auto" w:fill="FFFFFF"/>
                  <w:vAlign w:val="center"/>
                </w:tcPr>
                <w:p w14:paraId="188D6BCC">
                  <w:pPr>
                    <w:jc w:val="center"/>
                    <w:rPr>
                      <w:rFonts w:ascii="Times New Roman" w:hAnsi="Times New Roman" w:cs="Times New Roman"/>
                      <w:szCs w:val="21"/>
                    </w:rPr>
                  </w:pPr>
                  <w:r>
                    <w:rPr>
                      <w:rFonts w:hint="eastAsia" w:ascii="Times New Roman" w:hAnsi="Times New Roman" w:cs="Times New Roman"/>
                      <w:szCs w:val="21"/>
                    </w:rPr>
                    <w:t>1.12</w:t>
                  </w:r>
                </w:p>
              </w:tc>
              <w:tc>
                <w:tcPr>
                  <w:tcW w:w="601" w:type="pct"/>
                  <w:tcBorders>
                    <w:bottom w:val="single" w:color="auto" w:sz="4" w:space="0"/>
                    <w:tl2br w:val="nil"/>
                    <w:tr2bl w:val="nil"/>
                  </w:tcBorders>
                  <w:shd w:val="clear" w:color="auto" w:fill="FFFFFF"/>
                  <w:vAlign w:val="center"/>
                </w:tcPr>
                <w:p w14:paraId="046D391F">
                  <w:pPr>
                    <w:jc w:val="center"/>
                    <w:rPr>
                      <w:rFonts w:ascii="Times New Roman" w:hAnsi="Times New Roman" w:cs="Times New Roman"/>
                      <w:szCs w:val="21"/>
                    </w:rPr>
                  </w:pPr>
                  <w:r>
                    <w:rPr>
                      <w:rFonts w:hint="eastAsia" w:ascii="Times New Roman" w:hAnsi="Times New Roman" w:cs="Times New Roman"/>
                      <w:szCs w:val="21"/>
                    </w:rPr>
                    <w:t>75</w:t>
                  </w:r>
                </w:p>
              </w:tc>
            </w:tr>
            <w:tr w14:paraId="086A8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 w:hRule="atLeast"/>
                <w:jc w:val="center"/>
              </w:trPr>
              <w:tc>
                <w:tcPr>
                  <w:tcW w:w="210" w:type="pct"/>
                  <w:vMerge w:val="continue"/>
                  <w:tcBorders>
                    <w:tl2br w:val="nil"/>
                    <w:tr2bl w:val="nil"/>
                  </w:tcBorders>
                  <w:shd w:val="clear" w:color="auto" w:fill="FFFFFF"/>
                  <w:vAlign w:val="center"/>
                </w:tcPr>
                <w:p w14:paraId="24D05AB1">
                  <w:pPr>
                    <w:jc w:val="center"/>
                    <w:rPr>
                      <w:rFonts w:ascii="Times New Roman" w:hAnsi="Times New Roman" w:cs="Times New Roman"/>
                      <w:color w:val="FF0000"/>
                      <w:szCs w:val="21"/>
                    </w:rPr>
                  </w:pPr>
                </w:p>
              </w:tc>
              <w:tc>
                <w:tcPr>
                  <w:tcW w:w="205" w:type="pct"/>
                  <w:vMerge w:val="continue"/>
                  <w:tcBorders>
                    <w:tl2br w:val="nil"/>
                    <w:tr2bl w:val="nil"/>
                  </w:tcBorders>
                  <w:shd w:val="clear" w:color="auto" w:fill="FFFFFF"/>
                  <w:vAlign w:val="center"/>
                </w:tcPr>
                <w:p w14:paraId="6833FA29">
                  <w:pPr>
                    <w:jc w:val="center"/>
                    <w:rPr>
                      <w:rFonts w:ascii="Times New Roman" w:hAnsi="Times New Roman" w:cs="Times New Roman"/>
                      <w:color w:val="FF0000"/>
                      <w:szCs w:val="21"/>
                    </w:rPr>
                  </w:pPr>
                </w:p>
              </w:tc>
              <w:tc>
                <w:tcPr>
                  <w:tcW w:w="295" w:type="pct"/>
                  <w:vMerge w:val="continue"/>
                  <w:tcBorders>
                    <w:bottom w:val="single" w:color="auto" w:sz="4" w:space="0"/>
                    <w:tl2br w:val="nil"/>
                    <w:tr2bl w:val="nil"/>
                  </w:tcBorders>
                  <w:shd w:val="clear" w:color="auto" w:fill="FFFFFF"/>
                  <w:vAlign w:val="center"/>
                </w:tcPr>
                <w:p w14:paraId="2D10EA23">
                  <w:pPr>
                    <w:jc w:val="center"/>
                    <w:rPr>
                      <w:rFonts w:ascii="Times New Roman" w:hAnsi="Times New Roman" w:cs="Times New Roman"/>
                      <w:szCs w:val="21"/>
                    </w:rPr>
                  </w:pPr>
                </w:p>
              </w:tc>
              <w:tc>
                <w:tcPr>
                  <w:tcW w:w="350" w:type="pct"/>
                  <w:vMerge w:val="continue"/>
                  <w:tcBorders>
                    <w:bottom w:val="single" w:color="auto" w:sz="4" w:space="0"/>
                    <w:tl2br w:val="nil"/>
                    <w:tr2bl w:val="nil"/>
                  </w:tcBorders>
                  <w:shd w:val="clear" w:color="auto" w:fill="FFFFFF"/>
                  <w:vAlign w:val="center"/>
                </w:tcPr>
                <w:p w14:paraId="7CF30220">
                  <w:pPr>
                    <w:jc w:val="center"/>
                    <w:rPr>
                      <w:rFonts w:ascii="Times New Roman" w:hAnsi="Times New Roman" w:cs="Times New Roman"/>
                      <w:color w:val="FF0000"/>
                      <w:szCs w:val="21"/>
                    </w:rPr>
                  </w:pPr>
                </w:p>
              </w:tc>
              <w:tc>
                <w:tcPr>
                  <w:tcW w:w="452" w:type="pct"/>
                  <w:vMerge w:val="continue"/>
                  <w:tcBorders>
                    <w:bottom w:val="single" w:color="auto" w:sz="4" w:space="0"/>
                    <w:tl2br w:val="nil"/>
                    <w:tr2bl w:val="nil"/>
                  </w:tcBorders>
                  <w:shd w:val="clear" w:color="auto" w:fill="FFFFFF"/>
                  <w:vAlign w:val="center"/>
                </w:tcPr>
                <w:p w14:paraId="11A5756C">
                  <w:pPr>
                    <w:jc w:val="center"/>
                    <w:rPr>
                      <w:rFonts w:ascii="Times New Roman" w:hAnsi="Times New Roman" w:cs="Times New Roman"/>
                      <w:color w:val="FF0000"/>
                      <w:szCs w:val="21"/>
                    </w:rPr>
                  </w:pPr>
                </w:p>
              </w:tc>
              <w:tc>
                <w:tcPr>
                  <w:tcW w:w="584" w:type="pct"/>
                  <w:vMerge w:val="continue"/>
                  <w:tcBorders>
                    <w:bottom w:val="single" w:color="auto" w:sz="4" w:space="0"/>
                    <w:tl2br w:val="nil"/>
                    <w:tr2bl w:val="nil"/>
                  </w:tcBorders>
                  <w:shd w:val="clear" w:color="auto" w:fill="FFFFFF"/>
                  <w:vAlign w:val="center"/>
                </w:tcPr>
                <w:p w14:paraId="13966403">
                  <w:pPr>
                    <w:jc w:val="center"/>
                    <w:rPr>
                      <w:rFonts w:ascii="Times New Roman" w:hAnsi="Times New Roman" w:cs="Times New Roman"/>
                      <w:color w:val="FF0000"/>
                      <w:szCs w:val="21"/>
                    </w:rPr>
                  </w:pPr>
                </w:p>
              </w:tc>
              <w:tc>
                <w:tcPr>
                  <w:tcW w:w="789" w:type="pct"/>
                  <w:vMerge w:val="continue"/>
                  <w:tcBorders>
                    <w:tl2br w:val="nil"/>
                    <w:tr2bl w:val="nil"/>
                  </w:tcBorders>
                  <w:shd w:val="clear" w:color="auto" w:fill="FFFFFF"/>
                  <w:vAlign w:val="center"/>
                </w:tcPr>
                <w:p w14:paraId="0B878E46">
                  <w:pPr>
                    <w:jc w:val="center"/>
                    <w:rPr>
                      <w:rFonts w:ascii="Times New Roman" w:hAnsi="Times New Roman" w:cs="Times New Roman"/>
                      <w:color w:val="FF0000"/>
                      <w:szCs w:val="21"/>
                    </w:rPr>
                  </w:pPr>
                </w:p>
              </w:tc>
              <w:tc>
                <w:tcPr>
                  <w:tcW w:w="479" w:type="pct"/>
                  <w:vMerge w:val="continue"/>
                  <w:tcBorders>
                    <w:bottom w:val="single" w:color="auto" w:sz="4" w:space="0"/>
                    <w:tl2br w:val="nil"/>
                    <w:tr2bl w:val="nil"/>
                  </w:tcBorders>
                  <w:shd w:val="clear" w:color="auto" w:fill="FFFFFF"/>
                  <w:vAlign w:val="center"/>
                </w:tcPr>
                <w:p w14:paraId="6A69DC55">
                  <w:pPr>
                    <w:jc w:val="center"/>
                    <w:rPr>
                      <w:rFonts w:ascii="Times New Roman" w:hAnsi="Times New Roman" w:cs="Times New Roman"/>
                      <w:szCs w:val="21"/>
                    </w:rPr>
                  </w:pPr>
                </w:p>
              </w:tc>
              <w:tc>
                <w:tcPr>
                  <w:tcW w:w="462" w:type="pct"/>
                  <w:vMerge w:val="continue"/>
                  <w:tcBorders>
                    <w:bottom w:val="single" w:color="auto" w:sz="4" w:space="0"/>
                    <w:tl2br w:val="nil"/>
                    <w:tr2bl w:val="nil"/>
                  </w:tcBorders>
                  <w:shd w:val="clear" w:color="auto" w:fill="FFFFFF"/>
                  <w:vAlign w:val="center"/>
                </w:tcPr>
                <w:p w14:paraId="7A369EF6">
                  <w:pPr>
                    <w:jc w:val="center"/>
                    <w:rPr>
                      <w:rFonts w:ascii="Times New Roman" w:hAnsi="Times New Roman" w:cs="Times New Roman"/>
                      <w:szCs w:val="21"/>
                    </w:rPr>
                  </w:pPr>
                </w:p>
              </w:tc>
              <w:tc>
                <w:tcPr>
                  <w:tcW w:w="568" w:type="pct"/>
                  <w:vMerge w:val="continue"/>
                  <w:tcBorders>
                    <w:bottom w:val="single" w:color="auto" w:sz="4" w:space="0"/>
                    <w:tl2br w:val="nil"/>
                    <w:tr2bl w:val="nil"/>
                  </w:tcBorders>
                  <w:shd w:val="clear" w:color="auto" w:fill="FFFFFF"/>
                  <w:vAlign w:val="center"/>
                </w:tcPr>
                <w:p w14:paraId="1C7D4DC3">
                  <w:pPr>
                    <w:jc w:val="center"/>
                    <w:rPr>
                      <w:rFonts w:ascii="Times New Roman" w:hAnsi="Times New Roman" w:cs="Times New Roman"/>
                      <w:szCs w:val="21"/>
                    </w:rPr>
                  </w:pPr>
                </w:p>
              </w:tc>
              <w:tc>
                <w:tcPr>
                  <w:tcW w:w="601" w:type="pct"/>
                  <w:tcBorders>
                    <w:top w:val="single" w:color="auto" w:sz="4" w:space="0"/>
                    <w:bottom w:val="single" w:color="auto" w:sz="4" w:space="0"/>
                    <w:tl2br w:val="nil"/>
                    <w:tr2bl w:val="nil"/>
                  </w:tcBorders>
                  <w:shd w:val="clear" w:color="auto" w:fill="FFFFFF"/>
                  <w:vAlign w:val="center"/>
                </w:tcPr>
                <w:p w14:paraId="0E1CF833">
                  <w:pPr>
                    <w:jc w:val="center"/>
                    <w:rPr>
                      <w:rFonts w:ascii="Times New Roman" w:hAnsi="Times New Roman" w:cs="Times New Roman"/>
                      <w:szCs w:val="21"/>
                    </w:rPr>
                  </w:pPr>
                  <w:r>
                    <w:rPr>
                      <w:rFonts w:hint="eastAsia" w:ascii="Times New Roman" w:hAnsi="Times New Roman" w:cs="Times New Roman"/>
                      <w:color w:val="FF0000"/>
                      <w:szCs w:val="21"/>
                    </w:rPr>
                    <w:t>0.09</w:t>
                  </w:r>
                </w:p>
              </w:tc>
            </w:tr>
            <w:tr w14:paraId="5709B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jc w:val="center"/>
              </w:trPr>
              <w:tc>
                <w:tcPr>
                  <w:tcW w:w="210" w:type="pct"/>
                  <w:vMerge w:val="continue"/>
                  <w:tcBorders>
                    <w:tl2br w:val="nil"/>
                    <w:tr2bl w:val="nil"/>
                  </w:tcBorders>
                  <w:shd w:val="clear" w:color="auto" w:fill="FFFFFF"/>
                  <w:vAlign w:val="center"/>
                </w:tcPr>
                <w:p w14:paraId="7990A2EA">
                  <w:pPr>
                    <w:jc w:val="center"/>
                    <w:rPr>
                      <w:rFonts w:ascii="Times New Roman" w:hAnsi="Times New Roman" w:cs="Times New Roman"/>
                      <w:color w:val="FF0000"/>
                      <w:szCs w:val="21"/>
                    </w:rPr>
                  </w:pPr>
                </w:p>
              </w:tc>
              <w:tc>
                <w:tcPr>
                  <w:tcW w:w="205" w:type="pct"/>
                  <w:vMerge w:val="continue"/>
                  <w:tcBorders>
                    <w:tl2br w:val="nil"/>
                    <w:tr2bl w:val="nil"/>
                  </w:tcBorders>
                  <w:shd w:val="clear" w:color="auto" w:fill="FFFFFF"/>
                  <w:vAlign w:val="center"/>
                </w:tcPr>
                <w:p w14:paraId="3CC6F148">
                  <w:pPr>
                    <w:jc w:val="center"/>
                    <w:rPr>
                      <w:rFonts w:ascii="Times New Roman" w:hAnsi="Times New Roman" w:cs="Times New Roman"/>
                      <w:color w:val="FF0000"/>
                      <w:szCs w:val="21"/>
                    </w:rPr>
                  </w:pPr>
                </w:p>
              </w:tc>
              <w:tc>
                <w:tcPr>
                  <w:tcW w:w="295" w:type="pct"/>
                  <w:vMerge w:val="restart"/>
                  <w:tcBorders>
                    <w:top w:val="single" w:color="auto" w:sz="4" w:space="0"/>
                    <w:tl2br w:val="nil"/>
                    <w:tr2bl w:val="nil"/>
                  </w:tcBorders>
                  <w:shd w:val="clear" w:color="auto" w:fill="FFFFFF"/>
                  <w:vAlign w:val="center"/>
                </w:tcPr>
                <w:p w14:paraId="37231DD1">
                  <w:pPr>
                    <w:jc w:val="center"/>
                    <w:rPr>
                      <w:rFonts w:ascii="Times New Roman" w:hAnsi="Times New Roman" w:cs="Times New Roman"/>
                      <w:szCs w:val="21"/>
                    </w:rPr>
                  </w:pPr>
                  <w:r>
                    <w:rPr>
                      <w:rFonts w:ascii="Times New Roman" w:hAnsi="Times New Roman" w:cs="Times New Roman"/>
                      <w:szCs w:val="21"/>
                    </w:rPr>
                    <w:t>苯并[a]芘</w:t>
                  </w:r>
                </w:p>
              </w:tc>
              <w:tc>
                <w:tcPr>
                  <w:tcW w:w="350" w:type="pct"/>
                  <w:vMerge w:val="restart"/>
                  <w:tcBorders>
                    <w:top w:val="single" w:color="auto" w:sz="4" w:space="0"/>
                    <w:tl2br w:val="nil"/>
                    <w:tr2bl w:val="nil"/>
                  </w:tcBorders>
                  <w:shd w:val="clear" w:color="auto" w:fill="FFFFFF"/>
                  <w:vAlign w:val="center"/>
                </w:tcPr>
                <w:p w14:paraId="593B996A">
                  <w:pPr>
                    <w:jc w:val="center"/>
                    <w:rPr>
                      <w:rFonts w:ascii="Times New Roman" w:hAnsi="Times New Roman" w:cs="Times New Roman"/>
                      <w:szCs w:val="21"/>
                    </w:rPr>
                  </w:pPr>
                  <w:r>
                    <w:rPr>
                      <w:rFonts w:hint="eastAsia" w:ascii="Times New Roman" w:hAnsi="Times New Roman" w:cs="Times New Roman"/>
                      <w:szCs w:val="21"/>
                    </w:rPr>
                    <w:t>0.0000021</w:t>
                  </w:r>
                </w:p>
              </w:tc>
              <w:tc>
                <w:tcPr>
                  <w:tcW w:w="452" w:type="pct"/>
                  <w:vMerge w:val="restart"/>
                  <w:tcBorders>
                    <w:top w:val="single" w:color="auto" w:sz="4" w:space="0"/>
                    <w:tl2br w:val="nil"/>
                    <w:tr2bl w:val="nil"/>
                  </w:tcBorders>
                  <w:shd w:val="clear" w:color="auto" w:fill="FFFFFF"/>
                  <w:vAlign w:val="center"/>
                </w:tcPr>
                <w:p w14:paraId="5E796414">
                  <w:pPr>
                    <w:jc w:val="center"/>
                    <w:rPr>
                      <w:rFonts w:ascii="Times New Roman" w:hAnsi="Times New Roman" w:eastAsia="仿宋" w:cs="Times New Roman"/>
                      <w:szCs w:val="21"/>
                    </w:rPr>
                  </w:pPr>
                  <w:r>
                    <w:rPr>
                      <w:rFonts w:hint="eastAsia" w:ascii="Times New Roman" w:hAnsi="Times New Roman" w:eastAsia="仿宋" w:cs="Times New Roman"/>
                      <w:szCs w:val="21"/>
                    </w:rPr>
                    <w:t>0.0000</w:t>
                  </w:r>
                </w:p>
                <w:p w14:paraId="720134AB">
                  <w:pPr>
                    <w:jc w:val="center"/>
                    <w:rPr>
                      <w:rFonts w:ascii="Times New Roman" w:hAnsi="Times New Roman" w:eastAsia="仿宋" w:cs="Times New Roman"/>
                      <w:szCs w:val="21"/>
                    </w:rPr>
                  </w:pPr>
                  <w:r>
                    <w:rPr>
                      <w:rFonts w:hint="eastAsia" w:ascii="Times New Roman" w:hAnsi="Times New Roman" w:eastAsia="仿宋" w:cs="Times New Roman"/>
                      <w:szCs w:val="21"/>
                    </w:rPr>
                    <w:t>42</w:t>
                  </w:r>
                </w:p>
              </w:tc>
              <w:tc>
                <w:tcPr>
                  <w:tcW w:w="584" w:type="pct"/>
                  <w:vMerge w:val="restart"/>
                  <w:tcBorders>
                    <w:top w:val="single" w:color="auto" w:sz="4" w:space="0"/>
                    <w:tl2br w:val="nil"/>
                    <w:tr2bl w:val="nil"/>
                  </w:tcBorders>
                  <w:shd w:val="clear" w:color="auto" w:fill="FFFFFF"/>
                  <w:vAlign w:val="center"/>
                </w:tcPr>
                <w:p w14:paraId="334E896B">
                  <w:pPr>
                    <w:jc w:val="center"/>
                    <w:rPr>
                      <w:rFonts w:ascii="Times New Roman" w:hAnsi="Times New Roman" w:cs="Times New Roman"/>
                      <w:szCs w:val="21"/>
                    </w:rPr>
                  </w:pPr>
                  <w:r>
                    <w:rPr>
                      <w:rFonts w:hint="eastAsia" w:ascii="Times New Roman" w:hAnsi="Times New Roman" w:cs="Times New Roman"/>
                      <w:szCs w:val="21"/>
                    </w:rPr>
                    <w:t>0.0084</w:t>
                  </w:r>
                </w:p>
              </w:tc>
              <w:tc>
                <w:tcPr>
                  <w:tcW w:w="789" w:type="pct"/>
                  <w:vMerge w:val="continue"/>
                  <w:tcBorders>
                    <w:tl2br w:val="nil"/>
                    <w:tr2bl w:val="nil"/>
                  </w:tcBorders>
                  <w:shd w:val="clear" w:color="auto" w:fill="FFFFFF"/>
                  <w:vAlign w:val="center"/>
                </w:tcPr>
                <w:p w14:paraId="66FAAD1A">
                  <w:pPr>
                    <w:jc w:val="center"/>
                    <w:rPr>
                      <w:rFonts w:ascii="Times New Roman" w:hAnsi="Times New Roman" w:cs="Times New Roman"/>
                      <w:color w:val="FF0000"/>
                      <w:szCs w:val="21"/>
                    </w:rPr>
                  </w:pPr>
                </w:p>
              </w:tc>
              <w:tc>
                <w:tcPr>
                  <w:tcW w:w="479" w:type="pct"/>
                  <w:vMerge w:val="restart"/>
                  <w:tcBorders>
                    <w:top w:val="single" w:color="auto" w:sz="4" w:space="0"/>
                    <w:tl2br w:val="nil"/>
                    <w:tr2bl w:val="nil"/>
                  </w:tcBorders>
                  <w:shd w:val="clear" w:color="auto" w:fill="FFFFFF"/>
                  <w:vAlign w:val="center"/>
                </w:tcPr>
                <w:p w14:paraId="39CFB97A">
                  <w:pPr>
                    <w:jc w:val="center"/>
                    <w:rPr>
                      <w:rFonts w:ascii="Times New Roman" w:hAnsi="Times New Roman" w:cs="Times New Roman"/>
                      <w:szCs w:val="21"/>
                    </w:rPr>
                  </w:pPr>
                  <w:r>
                    <w:rPr>
                      <w:rFonts w:hint="eastAsia" w:ascii="Times New Roman" w:hAnsi="Times New Roman" w:eastAsia="仿宋" w:cs="Times New Roman"/>
                      <w:szCs w:val="21"/>
                    </w:rPr>
                    <w:t>4.2</w:t>
                  </w:r>
                  <w:r>
                    <w:rPr>
                      <w:rFonts w:ascii="Times New Roman" w:hAnsi="Times New Roman" w:eastAsia="仿宋" w:cs="Times New Roman"/>
                      <w:szCs w:val="21"/>
                    </w:rPr>
                    <w:t>×10</w:t>
                  </w:r>
                  <w:r>
                    <w:rPr>
                      <w:rFonts w:ascii="Times New Roman" w:hAnsi="Times New Roman" w:eastAsia="仿宋" w:cs="Times New Roman"/>
                      <w:szCs w:val="21"/>
                      <w:vertAlign w:val="superscript"/>
                    </w:rPr>
                    <w:t>-</w:t>
                  </w:r>
                  <w:r>
                    <w:rPr>
                      <w:rFonts w:hint="eastAsia" w:ascii="Times New Roman" w:hAnsi="Times New Roman" w:eastAsia="仿宋" w:cs="Times New Roman"/>
                      <w:szCs w:val="21"/>
                      <w:vertAlign w:val="superscript"/>
                    </w:rPr>
                    <w:t>8</w:t>
                  </w:r>
                </w:p>
              </w:tc>
              <w:tc>
                <w:tcPr>
                  <w:tcW w:w="462" w:type="pct"/>
                  <w:vMerge w:val="restart"/>
                  <w:tcBorders>
                    <w:top w:val="single" w:color="auto" w:sz="4" w:space="0"/>
                    <w:tl2br w:val="nil"/>
                    <w:tr2bl w:val="nil"/>
                  </w:tcBorders>
                  <w:shd w:val="clear" w:color="auto" w:fill="FFFFFF"/>
                  <w:vAlign w:val="center"/>
                </w:tcPr>
                <w:p w14:paraId="710B60E6">
                  <w:pPr>
                    <w:jc w:val="center"/>
                    <w:rPr>
                      <w:rFonts w:ascii="Times New Roman" w:hAnsi="Times New Roman" w:cs="Times New Roman"/>
                      <w:szCs w:val="21"/>
                    </w:rPr>
                  </w:pPr>
                  <w:r>
                    <w:rPr>
                      <w:rFonts w:hint="eastAsia" w:ascii="Times New Roman" w:hAnsi="Times New Roman" w:eastAsia="仿宋" w:cs="Times New Roman"/>
                      <w:szCs w:val="21"/>
                    </w:rPr>
                    <w:t>8.4</w:t>
                  </w:r>
                  <w:r>
                    <w:rPr>
                      <w:rFonts w:ascii="Times New Roman" w:hAnsi="Times New Roman" w:eastAsia="仿宋" w:cs="Times New Roman"/>
                      <w:szCs w:val="21"/>
                    </w:rPr>
                    <w:t>×10</w:t>
                  </w:r>
                  <w:r>
                    <w:rPr>
                      <w:rFonts w:ascii="Times New Roman" w:hAnsi="Times New Roman" w:eastAsia="仿宋" w:cs="Times New Roman"/>
                      <w:szCs w:val="21"/>
                      <w:vertAlign w:val="superscript"/>
                    </w:rPr>
                    <w:t>-</w:t>
                  </w:r>
                  <w:r>
                    <w:rPr>
                      <w:rFonts w:hint="eastAsia" w:ascii="Times New Roman" w:hAnsi="Times New Roman" w:eastAsia="仿宋" w:cs="Times New Roman"/>
                      <w:szCs w:val="21"/>
                      <w:vertAlign w:val="superscript"/>
                    </w:rPr>
                    <w:t>7</w:t>
                  </w:r>
                </w:p>
              </w:tc>
              <w:tc>
                <w:tcPr>
                  <w:tcW w:w="568" w:type="pct"/>
                  <w:vMerge w:val="restart"/>
                  <w:tcBorders>
                    <w:top w:val="single" w:color="auto" w:sz="4" w:space="0"/>
                    <w:tl2br w:val="nil"/>
                    <w:tr2bl w:val="nil"/>
                  </w:tcBorders>
                  <w:shd w:val="clear" w:color="auto" w:fill="FFFFFF"/>
                  <w:vAlign w:val="center"/>
                </w:tcPr>
                <w:p w14:paraId="5C9140C1">
                  <w:pPr>
                    <w:jc w:val="center"/>
                    <w:rPr>
                      <w:rFonts w:ascii="Times New Roman" w:hAnsi="Times New Roman" w:cs="Times New Roman"/>
                      <w:szCs w:val="21"/>
                    </w:rPr>
                  </w:pPr>
                  <w:r>
                    <w:rPr>
                      <w:rFonts w:hint="eastAsia" w:ascii="Times New Roman" w:hAnsi="Times New Roman" w:cs="Times New Roman"/>
                      <w:szCs w:val="21"/>
                    </w:rPr>
                    <w:t>0.000168</w:t>
                  </w:r>
                </w:p>
              </w:tc>
              <w:tc>
                <w:tcPr>
                  <w:tcW w:w="601" w:type="pct"/>
                  <w:tcBorders>
                    <w:top w:val="single" w:color="auto" w:sz="4" w:space="0"/>
                    <w:bottom w:val="single" w:color="auto" w:sz="4" w:space="0"/>
                    <w:tl2br w:val="nil"/>
                    <w:tr2bl w:val="nil"/>
                  </w:tcBorders>
                  <w:shd w:val="clear" w:color="auto" w:fill="FFFFFF"/>
                  <w:vAlign w:val="center"/>
                </w:tcPr>
                <w:p w14:paraId="4B6E06DA">
                  <w:pPr>
                    <w:jc w:val="center"/>
                    <w:rPr>
                      <w:rFonts w:ascii="Times New Roman" w:hAnsi="Times New Roman" w:cs="Times New Roman"/>
                      <w:color w:val="FF0000"/>
                      <w:szCs w:val="21"/>
                    </w:rPr>
                  </w:pPr>
                  <w:r>
                    <w:rPr>
                      <w:rFonts w:ascii="Times New Roman" w:hAnsi="Times New Roman" w:cs="Times New Roman"/>
                      <w:color w:val="FF0000"/>
                      <w:szCs w:val="21"/>
                    </w:rPr>
                    <w:t>0.3×10</w:t>
                  </w:r>
                  <w:r>
                    <w:rPr>
                      <w:rFonts w:ascii="Times New Roman" w:hAnsi="Times New Roman" w:cs="Times New Roman"/>
                      <w:color w:val="FF0000"/>
                      <w:szCs w:val="21"/>
                      <w:vertAlign w:val="superscript"/>
                    </w:rPr>
                    <w:t>-3</w:t>
                  </w:r>
                </w:p>
              </w:tc>
            </w:tr>
            <w:tr w14:paraId="745BE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 w:hRule="atLeast"/>
                <w:jc w:val="center"/>
              </w:trPr>
              <w:tc>
                <w:tcPr>
                  <w:tcW w:w="210" w:type="pct"/>
                  <w:vMerge w:val="continue"/>
                  <w:tcBorders>
                    <w:tl2br w:val="nil"/>
                    <w:tr2bl w:val="nil"/>
                  </w:tcBorders>
                  <w:shd w:val="clear" w:color="auto" w:fill="FFFFFF"/>
                  <w:vAlign w:val="center"/>
                </w:tcPr>
                <w:p w14:paraId="29F55424">
                  <w:pPr>
                    <w:jc w:val="center"/>
                    <w:rPr>
                      <w:rFonts w:ascii="Times New Roman" w:hAnsi="Times New Roman" w:cs="Times New Roman"/>
                      <w:color w:val="FF0000"/>
                      <w:szCs w:val="21"/>
                    </w:rPr>
                  </w:pPr>
                </w:p>
              </w:tc>
              <w:tc>
                <w:tcPr>
                  <w:tcW w:w="205" w:type="pct"/>
                  <w:vMerge w:val="continue"/>
                  <w:tcBorders>
                    <w:tl2br w:val="nil"/>
                    <w:tr2bl w:val="nil"/>
                  </w:tcBorders>
                  <w:shd w:val="clear" w:color="auto" w:fill="FFFFFF"/>
                  <w:vAlign w:val="center"/>
                </w:tcPr>
                <w:p w14:paraId="43A9BBCD">
                  <w:pPr>
                    <w:jc w:val="center"/>
                    <w:rPr>
                      <w:rFonts w:ascii="Times New Roman" w:hAnsi="Times New Roman" w:cs="Times New Roman"/>
                      <w:color w:val="FF0000"/>
                      <w:szCs w:val="21"/>
                    </w:rPr>
                  </w:pPr>
                </w:p>
              </w:tc>
              <w:tc>
                <w:tcPr>
                  <w:tcW w:w="295" w:type="pct"/>
                  <w:vMerge w:val="continue"/>
                  <w:tcBorders>
                    <w:bottom w:val="single" w:color="auto" w:sz="4" w:space="0"/>
                    <w:tl2br w:val="nil"/>
                    <w:tr2bl w:val="nil"/>
                  </w:tcBorders>
                  <w:shd w:val="clear" w:color="auto" w:fill="FFFFFF"/>
                  <w:vAlign w:val="center"/>
                </w:tcPr>
                <w:p w14:paraId="61966F54">
                  <w:pPr>
                    <w:jc w:val="center"/>
                    <w:rPr>
                      <w:rFonts w:ascii="Times New Roman" w:hAnsi="Times New Roman" w:cs="Times New Roman"/>
                      <w:szCs w:val="21"/>
                    </w:rPr>
                  </w:pPr>
                </w:p>
              </w:tc>
              <w:tc>
                <w:tcPr>
                  <w:tcW w:w="350" w:type="pct"/>
                  <w:vMerge w:val="continue"/>
                  <w:tcBorders>
                    <w:bottom w:val="single" w:color="auto" w:sz="4" w:space="0"/>
                    <w:tl2br w:val="nil"/>
                    <w:tr2bl w:val="nil"/>
                  </w:tcBorders>
                  <w:shd w:val="clear" w:color="auto" w:fill="FFFFFF"/>
                  <w:vAlign w:val="center"/>
                </w:tcPr>
                <w:p w14:paraId="6339CAC5">
                  <w:pPr>
                    <w:jc w:val="center"/>
                    <w:rPr>
                      <w:rFonts w:ascii="Times New Roman" w:hAnsi="Times New Roman" w:cs="Times New Roman"/>
                      <w:color w:val="FF0000"/>
                      <w:szCs w:val="21"/>
                    </w:rPr>
                  </w:pPr>
                </w:p>
              </w:tc>
              <w:tc>
                <w:tcPr>
                  <w:tcW w:w="452" w:type="pct"/>
                  <w:vMerge w:val="continue"/>
                  <w:tcBorders>
                    <w:bottom w:val="single" w:color="auto" w:sz="4" w:space="0"/>
                    <w:tl2br w:val="nil"/>
                    <w:tr2bl w:val="nil"/>
                  </w:tcBorders>
                  <w:shd w:val="clear" w:color="auto" w:fill="FFFFFF"/>
                  <w:vAlign w:val="center"/>
                </w:tcPr>
                <w:p w14:paraId="3B24DEEE">
                  <w:pPr>
                    <w:jc w:val="center"/>
                    <w:rPr>
                      <w:rFonts w:ascii="Times New Roman" w:hAnsi="Times New Roman" w:cs="Times New Roman"/>
                      <w:color w:val="FF0000"/>
                      <w:szCs w:val="21"/>
                    </w:rPr>
                  </w:pPr>
                </w:p>
              </w:tc>
              <w:tc>
                <w:tcPr>
                  <w:tcW w:w="584" w:type="pct"/>
                  <w:vMerge w:val="continue"/>
                  <w:tcBorders>
                    <w:bottom w:val="single" w:color="auto" w:sz="4" w:space="0"/>
                    <w:tl2br w:val="nil"/>
                    <w:tr2bl w:val="nil"/>
                  </w:tcBorders>
                  <w:shd w:val="clear" w:color="auto" w:fill="FFFFFF"/>
                  <w:vAlign w:val="center"/>
                </w:tcPr>
                <w:p w14:paraId="10891180">
                  <w:pPr>
                    <w:jc w:val="center"/>
                    <w:rPr>
                      <w:rFonts w:ascii="Times New Roman" w:hAnsi="Times New Roman" w:cs="Times New Roman"/>
                      <w:color w:val="FF0000"/>
                      <w:szCs w:val="21"/>
                    </w:rPr>
                  </w:pPr>
                </w:p>
              </w:tc>
              <w:tc>
                <w:tcPr>
                  <w:tcW w:w="789" w:type="pct"/>
                  <w:vMerge w:val="continue"/>
                  <w:tcBorders>
                    <w:tl2br w:val="nil"/>
                    <w:tr2bl w:val="nil"/>
                  </w:tcBorders>
                  <w:shd w:val="clear" w:color="auto" w:fill="FFFFFF"/>
                  <w:vAlign w:val="center"/>
                </w:tcPr>
                <w:p w14:paraId="75712873">
                  <w:pPr>
                    <w:jc w:val="center"/>
                    <w:rPr>
                      <w:rFonts w:ascii="Times New Roman" w:hAnsi="Times New Roman" w:cs="Times New Roman"/>
                      <w:color w:val="FF0000"/>
                      <w:szCs w:val="21"/>
                    </w:rPr>
                  </w:pPr>
                </w:p>
              </w:tc>
              <w:tc>
                <w:tcPr>
                  <w:tcW w:w="479" w:type="pct"/>
                  <w:vMerge w:val="continue"/>
                  <w:tcBorders>
                    <w:bottom w:val="single" w:color="auto" w:sz="4" w:space="0"/>
                    <w:tl2br w:val="nil"/>
                    <w:tr2bl w:val="nil"/>
                  </w:tcBorders>
                  <w:shd w:val="clear" w:color="auto" w:fill="FFFFFF"/>
                  <w:vAlign w:val="center"/>
                </w:tcPr>
                <w:p w14:paraId="1129B286">
                  <w:pPr>
                    <w:jc w:val="center"/>
                    <w:rPr>
                      <w:rFonts w:ascii="Times New Roman" w:hAnsi="Times New Roman" w:cs="Times New Roman"/>
                      <w:szCs w:val="21"/>
                    </w:rPr>
                  </w:pPr>
                </w:p>
              </w:tc>
              <w:tc>
                <w:tcPr>
                  <w:tcW w:w="462" w:type="pct"/>
                  <w:vMerge w:val="continue"/>
                  <w:tcBorders>
                    <w:bottom w:val="single" w:color="auto" w:sz="4" w:space="0"/>
                    <w:tl2br w:val="nil"/>
                    <w:tr2bl w:val="nil"/>
                  </w:tcBorders>
                  <w:shd w:val="clear" w:color="auto" w:fill="FFFFFF"/>
                  <w:vAlign w:val="center"/>
                </w:tcPr>
                <w:p w14:paraId="07B28424">
                  <w:pPr>
                    <w:jc w:val="center"/>
                    <w:rPr>
                      <w:rFonts w:ascii="Times New Roman" w:hAnsi="Times New Roman" w:cs="Times New Roman"/>
                      <w:szCs w:val="21"/>
                    </w:rPr>
                  </w:pPr>
                </w:p>
              </w:tc>
              <w:tc>
                <w:tcPr>
                  <w:tcW w:w="568" w:type="pct"/>
                  <w:vMerge w:val="continue"/>
                  <w:tcBorders>
                    <w:bottom w:val="single" w:color="auto" w:sz="4" w:space="0"/>
                    <w:tl2br w:val="nil"/>
                    <w:tr2bl w:val="nil"/>
                  </w:tcBorders>
                  <w:shd w:val="clear" w:color="auto" w:fill="FFFFFF"/>
                  <w:vAlign w:val="center"/>
                </w:tcPr>
                <w:p w14:paraId="66841B2A">
                  <w:pPr>
                    <w:jc w:val="center"/>
                    <w:rPr>
                      <w:rFonts w:ascii="Times New Roman" w:hAnsi="Times New Roman" w:cs="Times New Roman"/>
                      <w:szCs w:val="21"/>
                    </w:rPr>
                  </w:pPr>
                </w:p>
              </w:tc>
              <w:tc>
                <w:tcPr>
                  <w:tcW w:w="601" w:type="pct"/>
                  <w:tcBorders>
                    <w:top w:val="single" w:color="auto" w:sz="4" w:space="0"/>
                    <w:bottom w:val="single" w:color="auto" w:sz="4" w:space="0"/>
                    <w:tl2br w:val="nil"/>
                    <w:tr2bl w:val="nil"/>
                  </w:tcBorders>
                  <w:shd w:val="clear" w:color="auto" w:fill="FFFFFF"/>
                  <w:vAlign w:val="center"/>
                </w:tcPr>
                <w:p w14:paraId="7512FC09">
                  <w:pPr>
                    <w:jc w:val="center"/>
                    <w:rPr>
                      <w:rFonts w:ascii="Times New Roman" w:hAnsi="Times New Roman" w:eastAsia="仿宋" w:cs="Times New Roman"/>
                      <w:color w:val="FF0000"/>
                      <w:szCs w:val="21"/>
                    </w:rPr>
                  </w:pPr>
                  <w:r>
                    <w:rPr>
                      <w:rFonts w:ascii="Times New Roman" w:hAnsi="Times New Roman" w:cs="Times New Roman"/>
                      <w:color w:val="FF0000"/>
                      <w:szCs w:val="21"/>
                    </w:rPr>
                    <w:t>0.025×10</w:t>
                  </w:r>
                  <w:r>
                    <w:rPr>
                      <w:rFonts w:hint="eastAsia" w:ascii="Times New Roman" w:hAnsi="Times New Roman" w:cs="Times New Roman"/>
                      <w:color w:val="FF0000"/>
                      <w:szCs w:val="21"/>
                      <w:vertAlign w:val="superscript"/>
                    </w:rPr>
                    <w:t>-3</w:t>
                  </w:r>
                </w:p>
              </w:tc>
            </w:tr>
            <w:tr w14:paraId="21147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jc w:val="center"/>
              </w:trPr>
              <w:tc>
                <w:tcPr>
                  <w:tcW w:w="210" w:type="pct"/>
                  <w:vMerge w:val="continue"/>
                  <w:tcBorders>
                    <w:tl2br w:val="nil"/>
                    <w:tr2bl w:val="nil"/>
                  </w:tcBorders>
                  <w:shd w:val="clear" w:color="auto" w:fill="FFFFFF"/>
                  <w:vAlign w:val="center"/>
                </w:tcPr>
                <w:p w14:paraId="04BB81EB">
                  <w:pPr>
                    <w:jc w:val="center"/>
                    <w:rPr>
                      <w:rFonts w:ascii="Times New Roman" w:hAnsi="Times New Roman" w:cs="Times New Roman"/>
                      <w:color w:val="FF0000"/>
                      <w:szCs w:val="21"/>
                    </w:rPr>
                  </w:pPr>
                </w:p>
              </w:tc>
              <w:tc>
                <w:tcPr>
                  <w:tcW w:w="205" w:type="pct"/>
                  <w:vMerge w:val="continue"/>
                  <w:tcBorders>
                    <w:tl2br w:val="nil"/>
                    <w:tr2bl w:val="nil"/>
                  </w:tcBorders>
                  <w:shd w:val="clear" w:color="auto" w:fill="FFFFFF"/>
                  <w:vAlign w:val="center"/>
                </w:tcPr>
                <w:p w14:paraId="2873BDA9">
                  <w:pPr>
                    <w:jc w:val="center"/>
                    <w:rPr>
                      <w:rFonts w:ascii="Times New Roman" w:hAnsi="Times New Roman" w:cs="Times New Roman"/>
                      <w:color w:val="FF0000"/>
                      <w:szCs w:val="21"/>
                    </w:rPr>
                  </w:pPr>
                </w:p>
              </w:tc>
              <w:tc>
                <w:tcPr>
                  <w:tcW w:w="295" w:type="pct"/>
                  <w:vMerge w:val="restart"/>
                  <w:tcBorders>
                    <w:top w:val="single" w:color="auto" w:sz="4" w:space="0"/>
                    <w:tl2br w:val="nil"/>
                    <w:tr2bl w:val="nil"/>
                  </w:tcBorders>
                  <w:shd w:val="clear" w:color="auto" w:fill="FFFFFF"/>
                  <w:vAlign w:val="center"/>
                </w:tcPr>
                <w:p w14:paraId="7B3FB317">
                  <w:pPr>
                    <w:jc w:val="center"/>
                    <w:rPr>
                      <w:rFonts w:ascii="Times New Roman" w:hAnsi="Times New Roman" w:cs="Times New Roman"/>
                      <w:szCs w:val="21"/>
                    </w:rPr>
                  </w:pPr>
                  <w:r>
                    <w:rPr>
                      <w:rFonts w:hint="eastAsia" w:ascii="Times New Roman" w:hAnsi="Times New Roman" w:cs="Times New Roman"/>
                      <w:szCs w:val="21"/>
                    </w:rPr>
                    <w:t>非甲烷总烃</w:t>
                  </w:r>
                </w:p>
              </w:tc>
              <w:tc>
                <w:tcPr>
                  <w:tcW w:w="350" w:type="pct"/>
                  <w:vMerge w:val="restart"/>
                  <w:tcBorders>
                    <w:top w:val="single" w:color="auto" w:sz="4" w:space="0"/>
                    <w:tl2br w:val="nil"/>
                    <w:tr2bl w:val="nil"/>
                  </w:tcBorders>
                  <w:shd w:val="clear" w:color="auto" w:fill="FFFFFF"/>
                  <w:vAlign w:val="center"/>
                </w:tcPr>
                <w:p w14:paraId="55C66A1F">
                  <w:pPr>
                    <w:jc w:val="center"/>
                    <w:rPr>
                      <w:rFonts w:ascii="Times New Roman" w:hAnsi="Times New Roman" w:cs="Times New Roman"/>
                      <w:szCs w:val="21"/>
                    </w:rPr>
                  </w:pPr>
                  <w:r>
                    <w:rPr>
                      <w:rFonts w:hint="eastAsia" w:ascii="Times New Roman" w:hAnsi="Times New Roman" w:cs="Times New Roman"/>
                      <w:szCs w:val="21"/>
                    </w:rPr>
                    <w:t>0.007</w:t>
                  </w:r>
                </w:p>
              </w:tc>
              <w:tc>
                <w:tcPr>
                  <w:tcW w:w="452" w:type="pct"/>
                  <w:vMerge w:val="restart"/>
                  <w:tcBorders>
                    <w:top w:val="single" w:color="auto" w:sz="4" w:space="0"/>
                    <w:tl2br w:val="nil"/>
                    <w:tr2bl w:val="nil"/>
                  </w:tcBorders>
                  <w:shd w:val="clear" w:color="auto" w:fill="FFFFFF"/>
                  <w:vAlign w:val="center"/>
                </w:tcPr>
                <w:p w14:paraId="37E20F57">
                  <w:pPr>
                    <w:jc w:val="center"/>
                    <w:rPr>
                      <w:rFonts w:ascii="Times New Roman" w:hAnsi="Times New Roman" w:cs="Times New Roman"/>
                      <w:szCs w:val="21"/>
                    </w:rPr>
                  </w:pPr>
                  <w:r>
                    <w:rPr>
                      <w:rFonts w:hint="eastAsia" w:ascii="Times New Roman" w:hAnsi="Times New Roman" w:cs="Times New Roman"/>
                      <w:szCs w:val="21"/>
                    </w:rPr>
                    <w:t>0.14</w:t>
                  </w:r>
                </w:p>
              </w:tc>
              <w:tc>
                <w:tcPr>
                  <w:tcW w:w="584" w:type="pct"/>
                  <w:vMerge w:val="restart"/>
                  <w:tcBorders>
                    <w:top w:val="single" w:color="auto" w:sz="4" w:space="0"/>
                    <w:tl2br w:val="nil"/>
                    <w:tr2bl w:val="nil"/>
                  </w:tcBorders>
                  <w:shd w:val="clear" w:color="auto" w:fill="FFFFFF"/>
                  <w:vAlign w:val="center"/>
                </w:tcPr>
                <w:p w14:paraId="76733B8B">
                  <w:pPr>
                    <w:jc w:val="center"/>
                    <w:rPr>
                      <w:rFonts w:ascii="Times New Roman" w:hAnsi="Times New Roman" w:cs="Times New Roman"/>
                      <w:szCs w:val="21"/>
                    </w:rPr>
                  </w:pPr>
                  <w:r>
                    <w:rPr>
                      <w:rFonts w:hint="eastAsia" w:ascii="Times New Roman" w:hAnsi="Times New Roman" w:cs="Times New Roman"/>
                      <w:szCs w:val="21"/>
                    </w:rPr>
                    <w:t>28</w:t>
                  </w:r>
                </w:p>
              </w:tc>
              <w:tc>
                <w:tcPr>
                  <w:tcW w:w="789" w:type="pct"/>
                  <w:vMerge w:val="continue"/>
                  <w:tcBorders>
                    <w:tl2br w:val="nil"/>
                    <w:tr2bl w:val="nil"/>
                  </w:tcBorders>
                  <w:shd w:val="clear" w:color="auto" w:fill="FFFFFF"/>
                  <w:vAlign w:val="center"/>
                </w:tcPr>
                <w:p w14:paraId="3DC03384">
                  <w:pPr>
                    <w:jc w:val="center"/>
                    <w:rPr>
                      <w:rFonts w:ascii="Times New Roman" w:hAnsi="Times New Roman" w:cs="Times New Roman"/>
                      <w:szCs w:val="21"/>
                    </w:rPr>
                  </w:pPr>
                </w:p>
              </w:tc>
              <w:tc>
                <w:tcPr>
                  <w:tcW w:w="479" w:type="pct"/>
                  <w:vMerge w:val="restart"/>
                  <w:tcBorders>
                    <w:top w:val="single" w:color="auto" w:sz="4" w:space="0"/>
                    <w:tl2br w:val="nil"/>
                    <w:tr2bl w:val="nil"/>
                  </w:tcBorders>
                  <w:shd w:val="clear" w:color="auto" w:fill="FFFFFF"/>
                  <w:vAlign w:val="center"/>
                </w:tcPr>
                <w:p w14:paraId="118517B6">
                  <w:pPr>
                    <w:jc w:val="center"/>
                    <w:rPr>
                      <w:rFonts w:ascii="Times New Roman" w:hAnsi="Times New Roman" w:cs="Times New Roman"/>
                      <w:szCs w:val="21"/>
                    </w:rPr>
                  </w:pPr>
                  <w:r>
                    <w:rPr>
                      <w:rFonts w:hint="eastAsia" w:ascii="Times New Roman" w:hAnsi="Times New Roman" w:cs="Times New Roman"/>
                      <w:szCs w:val="21"/>
                    </w:rPr>
                    <w:t>0.00014</w:t>
                  </w:r>
                </w:p>
              </w:tc>
              <w:tc>
                <w:tcPr>
                  <w:tcW w:w="462" w:type="pct"/>
                  <w:vMerge w:val="restart"/>
                  <w:tcBorders>
                    <w:top w:val="single" w:color="auto" w:sz="4" w:space="0"/>
                    <w:tl2br w:val="nil"/>
                    <w:tr2bl w:val="nil"/>
                  </w:tcBorders>
                  <w:shd w:val="clear" w:color="auto" w:fill="FFFFFF"/>
                  <w:vAlign w:val="center"/>
                </w:tcPr>
                <w:p w14:paraId="39EB62E8">
                  <w:pPr>
                    <w:jc w:val="center"/>
                    <w:rPr>
                      <w:rFonts w:ascii="Times New Roman" w:hAnsi="Times New Roman" w:cs="Times New Roman"/>
                      <w:szCs w:val="21"/>
                    </w:rPr>
                  </w:pPr>
                  <w:r>
                    <w:rPr>
                      <w:rFonts w:hint="eastAsia" w:ascii="Times New Roman" w:hAnsi="Times New Roman" w:cs="Times New Roman"/>
                      <w:szCs w:val="21"/>
                    </w:rPr>
                    <w:t>0.0028</w:t>
                  </w:r>
                </w:p>
              </w:tc>
              <w:tc>
                <w:tcPr>
                  <w:tcW w:w="568" w:type="pct"/>
                  <w:vMerge w:val="restart"/>
                  <w:tcBorders>
                    <w:top w:val="single" w:color="auto" w:sz="4" w:space="0"/>
                    <w:tl2br w:val="nil"/>
                    <w:tr2bl w:val="nil"/>
                  </w:tcBorders>
                  <w:shd w:val="clear" w:color="auto" w:fill="FFFFFF"/>
                  <w:vAlign w:val="center"/>
                </w:tcPr>
                <w:p w14:paraId="163E2431">
                  <w:pPr>
                    <w:jc w:val="center"/>
                    <w:rPr>
                      <w:rFonts w:ascii="Times New Roman" w:hAnsi="Times New Roman" w:cs="Times New Roman"/>
                      <w:szCs w:val="21"/>
                    </w:rPr>
                  </w:pPr>
                  <w:r>
                    <w:rPr>
                      <w:rFonts w:hint="eastAsia" w:ascii="Times New Roman" w:hAnsi="Times New Roman" w:cs="Times New Roman"/>
                      <w:szCs w:val="21"/>
                    </w:rPr>
                    <w:t>0.56</w:t>
                  </w:r>
                </w:p>
              </w:tc>
              <w:tc>
                <w:tcPr>
                  <w:tcW w:w="601" w:type="pct"/>
                  <w:tcBorders>
                    <w:top w:val="single" w:color="auto" w:sz="4" w:space="0"/>
                    <w:bottom w:val="single" w:color="auto" w:sz="4" w:space="0"/>
                    <w:tl2br w:val="nil"/>
                    <w:tr2bl w:val="nil"/>
                  </w:tcBorders>
                  <w:shd w:val="clear" w:color="auto" w:fill="FFFFFF"/>
                  <w:vAlign w:val="center"/>
                </w:tcPr>
                <w:p w14:paraId="68FF3155">
                  <w:pPr>
                    <w:jc w:val="center"/>
                    <w:rPr>
                      <w:rFonts w:ascii="Times New Roman" w:hAnsi="Times New Roman" w:cs="Times New Roman"/>
                      <w:szCs w:val="21"/>
                    </w:rPr>
                  </w:pPr>
                  <w:r>
                    <w:rPr>
                      <w:rFonts w:hint="eastAsia" w:ascii="Times New Roman" w:hAnsi="Times New Roman" w:cs="Times New Roman"/>
                      <w:szCs w:val="21"/>
                    </w:rPr>
                    <w:t>120</w:t>
                  </w:r>
                </w:p>
              </w:tc>
            </w:tr>
            <w:tr w14:paraId="2A791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jc w:val="center"/>
              </w:trPr>
              <w:tc>
                <w:tcPr>
                  <w:tcW w:w="210" w:type="pct"/>
                  <w:vMerge w:val="continue"/>
                  <w:tcBorders>
                    <w:tl2br w:val="nil"/>
                    <w:tr2bl w:val="nil"/>
                  </w:tcBorders>
                  <w:shd w:val="clear" w:color="auto" w:fill="FFFFFF"/>
                  <w:vAlign w:val="center"/>
                </w:tcPr>
                <w:p w14:paraId="297E3645">
                  <w:pPr>
                    <w:jc w:val="center"/>
                    <w:rPr>
                      <w:rFonts w:ascii="Times New Roman" w:hAnsi="Times New Roman" w:cs="Times New Roman"/>
                      <w:color w:val="FF0000"/>
                      <w:szCs w:val="21"/>
                    </w:rPr>
                  </w:pPr>
                </w:p>
              </w:tc>
              <w:tc>
                <w:tcPr>
                  <w:tcW w:w="205" w:type="pct"/>
                  <w:vMerge w:val="continue"/>
                  <w:tcBorders>
                    <w:tl2br w:val="nil"/>
                    <w:tr2bl w:val="nil"/>
                  </w:tcBorders>
                  <w:shd w:val="clear" w:color="auto" w:fill="FFFFFF"/>
                  <w:vAlign w:val="center"/>
                </w:tcPr>
                <w:p w14:paraId="69F4D0DA">
                  <w:pPr>
                    <w:jc w:val="center"/>
                    <w:rPr>
                      <w:rFonts w:ascii="Times New Roman" w:hAnsi="Times New Roman" w:cs="Times New Roman"/>
                      <w:color w:val="FF0000"/>
                      <w:szCs w:val="21"/>
                    </w:rPr>
                  </w:pPr>
                </w:p>
              </w:tc>
              <w:tc>
                <w:tcPr>
                  <w:tcW w:w="295" w:type="pct"/>
                  <w:vMerge w:val="continue"/>
                  <w:tcBorders>
                    <w:tl2br w:val="nil"/>
                    <w:tr2bl w:val="nil"/>
                  </w:tcBorders>
                  <w:shd w:val="clear" w:color="auto" w:fill="FFFFFF"/>
                  <w:vAlign w:val="center"/>
                </w:tcPr>
                <w:p w14:paraId="6FFD2897">
                  <w:pPr>
                    <w:jc w:val="center"/>
                    <w:rPr>
                      <w:rFonts w:ascii="Times New Roman" w:hAnsi="Times New Roman" w:cs="Times New Roman"/>
                      <w:szCs w:val="21"/>
                    </w:rPr>
                  </w:pPr>
                </w:p>
              </w:tc>
              <w:tc>
                <w:tcPr>
                  <w:tcW w:w="350" w:type="pct"/>
                  <w:vMerge w:val="continue"/>
                  <w:tcBorders>
                    <w:tl2br w:val="nil"/>
                    <w:tr2bl w:val="nil"/>
                  </w:tcBorders>
                  <w:shd w:val="clear" w:color="auto" w:fill="FFFFFF"/>
                  <w:vAlign w:val="center"/>
                </w:tcPr>
                <w:p w14:paraId="5E0B0A30">
                  <w:pPr>
                    <w:jc w:val="center"/>
                    <w:rPr>
                      <w:rFonts w:ascii="Times New Roman" w:hAnsi="Times New Roman" w:cs="Times New Roman"/>
                      <w:szCs w:val="21"/>
                    </w:rPr>
                  </w:pPr>
                </w:p>
              </w:tc>
              <w:tc>
                <w:tcPr>
                  <w:tcW w:w="452" w:type="pct"/>
                  <w:vMerge w:val="continue"/>
                  <w:tcBorders>
                    <w:tl2br w:val="nil"/>
                    <w:tr2bl w:val="nil"/>
                  </w:tcBorders>
                  <w:shd w:val="clear" w:color="auto" w:fill="FFFFFF"/>
                  <w:vAlign w:val="center"/>
                </w:tcPr>
                <w:p w14:paraId="6892AB7A">
                  <w:pPr>
                    <w:jc w:val="center"/>
                    <w:rPr>
                      <w:rFonts w:ascii="Times New Roman" w:hAnsi="Times New Roman" w:cs="Times New Roman"/>
                      <w:szCs w:val="21"/>
                    </w:rPr>
                  </w:pPr>
                </w:p>
              </w:tc>
              <w:tc>
                <w:tcPr>
                  <w:tcW w:w="584" w:type="pct"/>
                  <w:vMerge w:val="continue"/>
                  <w:tcBorders>
                    <w:tl2br w:val="nil"/>
                    <w:tr2bl w:val="nil"/>
                  </w:tcBorders>
                  <w:shd w:val="clear" w:color="auto" w:fill="FFFFFF"/>
                  <w:vAlign w:val="center"/>
                </w:tcPr>
                <w:p w14:paraId="5DC95191">
                  <w:pPr>
                    <w:jc w:val="center"/>
                    <w:rPr>
                      <w:rFonts w:ascii="Times New Roman" w:hAnsi="Times New Roman" w:cs="Times New Roman"/>
                      <w:szCs w:val="21"/>
                    </w:rPr>
                  </w:pPr>
                </w:p>
              </w:tc>
              <w:tc>
                <w:tcPr>
                  <w:tcW w:w="789" w:type="pct"/>
                  <w:vMerge w:val="continue"/>
                  <w:tcBorders>
                    <w:tl2br w:val="nil"/>
                    <w:tr2bl w:val="nil"/>
                  </w:tcBorders>
                  <w:shd w:val="clear" w:color="auto" w:fill="FFFFFF"/>
                  <w:vAlign w:val="center"/>
                </w:tcPr>
                <w:p w14:paraId="0F4B173F">
                  <w:pPr>
                    <w:jc w:val="center"/>
                    <w:rPr>
                      <w:rFonts w:ascii="Times New Roman" w:hAnsi="Times New Roman" w:cs="Times New Roman"/>
                      <w:szCs w:val="21"/>
                    </w:rPr>
                  </w:pPr>
                </w:p>
              </w:tc>
              <w:tc>
                <w:tcPr>
                  <w:tcW w:w="479" w:type="pct"/>
                  <w:vMerge w:val="continue"/>
                  <w:tcBorders>
                    <w:tl2br w:val="nil"/>
                    <w:tr2bl w:val="nil"/>
                  </w:tcBorders>
                  <w:shd w:val="clear" w:color="auto" w:fill="FFFFFF"/>
                  <w:vAlign w:val="center"/>
                </w:tcPr>
                <w:p w14:paraId="4EC7911F">
                  <w:pPr>
                    <w:jc w:val="center"/>
                    <w:rPr>
                      <w:rFonts w:ascii="Times New Roman" w:hAnsi="Times New Roman" w:cs="Times New Roman"/>
                      <w:szCs w:val="21"/>
                    </w:rPr>
                  </w:pPr>
                </w:p>
              </w:tc>
              <w:tc>
                <w:tcPr>
                  <w:tcW w:w="462" w:type="pct"/>
                  <w:vMerge w:val="continue"/>
                  <w:tcBorders>
                    <w:tl2br w:val="nil"/>
                    <w:tr2bl w:val="nil"/>
                  </w:tcBorders>
                  <w:shd w:val="clear" w:color="auto" w:fill="FFFFFF"/>
                  <w:vAlign w:val="center"/>
                </w:tcPr>
                <w:p w14:paraId="591725CE">
                  <w:pPr>
                    <w:jc w:val="center"/>
                    <w:rPr>
                      <w:rFonts w:ascii="Times New Roman" w:hAnsi="Times New Roman" w:cs="Times New Roman"/>
                      <w:szCs w:val="21"/>
                    </w:rPr>
                  </w:pPr>
                </w:p>
              </w:tc>
              <w:tc>
                <w:tcPr>
                  <w:tcW w:w="568" w:type="pct"/>
                  <w:vMerge w:val="continue"/>
                  <w:tcBorders>
                    <w:tl2br w:val="nil"/>
                    <w:tr2bl w:val="nil"/>
                  </w:tcBorders>
                  <w:shd w:val="clear" w:color="auto" w:fill="FFFFFF"/>
                  <w:vAlign w:val="center"/>
                </w:tcPr>
                <w:p w14:paraId="68123DFA">
                  <w:pPr>
                    <w:jc w:val="center"/>
                    <w:rPr>
                      <w:rFonts w:ascii="Times New Roman" w:hAnsi="Times New Roman" w:cs="Times New Roman"/>
                      <w:szCs w:val="21"/>
                    </w:rPr>
                  </w:pPr>
                </w:p>
              </w:tc>
              <w:tc>
                <w:tcPr>
                  <w:tcW w:w="601" w:type="pct"/>
                  <w:tcBorders>
                    <w:top w:val="single" w:color="auto" w:sz="4" w:space="0"/>
                    <w:tl2br w:val="nil"/>
                    <w:tr2bl w:val="nil"/>
                  </w:tcBorders>
                  <w:shd w:val="clear" w:color="auto" w:fill="FFFFFF"/>
                  <w:vAlign w:val="center"/>
                </w:tcPr>
                <w:p w14:paraId="1EE0A079">
                  <w:pPr>
                    <w:jc w:val="center"/>
                    <w:rPr>
                      <w:rFonts w:ascii="Times New Roman" w:hAnsi="Times New Roman" w:eastAsia="仿宋" w:cs="Times New Roman"/>
                      <w:szCs w:val="21"/>
                    </w:rPr>
                  </w:pPr>
                  <w:r>
                    <w:rPr>
                      <w:rFonts w:hint="eastAsia" w:ascii="Times New Roman" w:hAnsi="Times New Roman" w:eastAsia="仿宋" w:cs="Times New Roman"/>
                      <w:color w:val="FF0000"/>
                      <w:szCs w:val="21"/>
                    </w:rPr>
                    <w:t>5</w:t>
                  </w:r>
                </w:p>
              </w:tc>
            </w:tr>
            <w:tr w14:paraId="2E50E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5000" w:type="pct"/>
                  <w:gridSpan w:val="11"/>
                  <w:tcBorders>
                    <w:tl2br w:val="nil"/>
                    <w:tr2bl w:val="nil"/>
                  </w:tcBorders>
                  <w:shd w:val="clear" w:color="auto" w:fill="FFFFFF"/>
                  <w:vAlign w:val="center"/>
                </w:tcPr>
                <w:p w14:paraId="02771AEF">
                  <w:pPr>
                    <w:rPr>
                      <w:rFonts w:ascii="Times New Roman" w:hAnsi="Times New Roman" w:cs="Times New Roman"/>
                      <w:color w:val="FF0000"/>
                      <w:szCs w:val="21"/>
                    </w:rPr>
                  </w:pPr>
                  <w:r>
                    <w:rPr>
                      <w:rFonts w:hint="eastAsia" w:ascii="Times New Roman" w:hAnsi="Times New Roman" w:cs="Times New Roman"/>
                      <w:szCs w:val="21"/>
                    </w:rPr>
                    <w:t>注：乳化沥青生产线全年运行50h。</w:t>
                  </w:r>
                </w:p>
              </w:tc>
            </w:tr>
          </w:tbl>
          <w:p w14:paraId="719E69CF">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2.2.10有机热载体炉（导热油炉）废气（</w:t>
            </w:r>
            <w:r>
              <w:rPr>
                <w:rFonts w:ascii="Times New Roman" w:hAnsi="Times New Roman" w:eastAsia="宋体" w:cs="Times New Roman"/>
                <w:b/>
                <w:bCs/>
                <w:sz w:val="24"/>
              </w:rPr>
              <w:t>DA00</w:t>
            </w:r>
            <w:r>
              <w:rPr>
                <w:rFonts w:hint="eastAsia" w:ascii="Times New Roman" w:hAnsi="Times New Roman" w:eastAsia="宋体" w:cs="Times New Roman"/>
                <w:b/>
                <w:bCs/>
                <w:sz w:val="24"/>
              </w:rPr>
              <w:t>4）</w:t>
            </w:r>
          </w:p>
          <w:p w14:paraId="654E2B00">
            <w:pPr>
              <w:pStyle w:val="4"/>
              <w:keepNext w:val="0"/>
              <w:keepLines w:val="0"/>
              <w:wordWrap w:val="0"/>
              <w:topLinePunct/>
              <w:ind w:firstLine="482"/>
              <w:rPr>
                <w:rFonts w:ascii="Times New Roman" w:hAnsi="Times New Roman" w:cs="Times New Roman"/>
                <w:b w:val="0"/>
                <w:spacing w:val="0"/>
                <w:w w:val="100"/>
                <w:szCs w:val="24"/>
              </w:rPr>
            </w:pPr>
            <w:r>
              <w:rPr>
                <w:rFonts w:ascii="Times New Roman" w:hAnsi="Times New Roman" w:cs="Times New Roman"/>
                <w:bCs/>
                <w:spacing w:val="0"/>
                <w:w w:val="100"/>
                <w:szCs w:val="24"/>
              </w:rPr>
              <w:t>源强核算</w:t>
            </w:r>
            <w:r>
              <w:rPr>
                <w:rFonts w:hint="eastAsia" w:ascii="Times New Roman" w:hAnsi="Times New Roman" w:cs="Times New Roman"/>
                <w:bCs/>
                <w:spacing w:val="0"/>
                <w:w w:val="100"/>
                <w:szCs w:val="24"/>
              </w:rPr>
              <w:t>：</w:t>
            </w:r>
            <w:r>
              <w:rPr>
                <w:rFonts w:hint="eastAsia" w:ascii="Times New Roman" w:hAnsi="Times New Roman" w:cs="Times New Roman"/>
                <w:b w:val="0"/>
                <w:spacing w:val="0"/>
                <w:w w:val="100"/>
                <w:szCs w:val="24"/>
              </w:rPr>
              <w:t>根据“</w:t>
            </w:r>
            <w:r>
              <w:rPr>
                <w:rFonts w:ascii="Times New Roman" w:hAnsi="Times New Roman" w:cs="Times New Roman"/>
                <w:b w:val="0"/>
                <w:spacing w:val="0"/>
                <w:w w:val="100"/>
                <w:szCs w:val="24"/>
              </w:rPr>
              <w:t>《排放源统计调查产排污核算方法和系数手册》（公告2021年第24号）</w:t>
            </w:r>
            <w:r>
              <w:rPr>
                <w:rFonts w:hint="eastAsia" w:ascii="Times New Roman" w:hAnsi="Times New Roman" w:cs="Times New Roman"/>
                <w:b w:val="0"/>
                <w:spacing w:val="0"/>
                <w:w w:val="100"/>
                <w:szCs w:val="24"/>
              </w:rPr>
              <w:t>—4430工业锅炉（热力供应）行业系数手册—5.产污系数及污染治理效率表</w:t>
            </w:r>
            <w:r>
              <w:rPr>
                <w:rFonts w:ascii="Times New Roman" w:hAnsi="Times New Roman" w:cs="Times New Roman"/>
                <w:b w:val="0"/>
                <w:spacing w:val="0"/>
                <w:w w:val="100"/>
                <w:szCs w:val="24"/>
              </w:rPr>
              <w:t>中燃油工业锅炉</w:t>
            </w:r>
            <w:r>
              <w:rPr>
                <w:rFonts w:hint="eastAsia" w:ascii="Times New Roman" w:hAnsi="Times New Roman" w:cs="Times New Roman"/>
                <w:b w:val="0"/>
                <w:spacing w:val="0"/>
                <w:w w:val="100"/>
                <w:szCs w:val="24"/>
              </w:rPr>
              <w:t>产污系数表”，核算有机热载体炉废气的源强</w:t>
            </w:r>
            <w:r>
              <w:rPr>
                <w:rFonts w:ascii="Times New Roman" w:hAnsi="Times New Roman" w:cs="Times New Roman"/>
                <w:b w:val="0"/>
                <w:spacing w:val="0"/>
                <w:w w:val="100"/>
                <w:szCs w:val="24"/>
              </w:rPr>
              <w:t>，</w:t>
            </w:r>
            <w:r>
              <w:rPr>
                <w:rFonts w:hint="eastAsia" w:ascii="Times New Roman" w:hAnsi="Times New Roman" w:cs="Times New Roman"/>
                <w:b w:val="0"/>
                <w:spacing w:val="0"/>
                <w:w w:val="100"/>
                <w:szCs w:val="24"/>
              </w:rPr>
              <w:t>详见</w:t>
            </w:r>
            <w:r>
              <w:rPr>
                <w:rFonts w:ascii="Times New Roman" w:hAnsi="Times New Roman" w:cs="Times New Roman"/>
                <w:b w:val="0"/>
                <w:spacing w:val="0"/>
                <w:w w:val="100"/>
                <w:szCs w:val="24"/>
              </w:rPr>
              <w:t>下表。</w:t>
            </w:r>
          </w:p>
          <w:p w14:paraId="02D48222">
            <w:pPr>
              <w:keepLines/>
              <w:wordWrap w:val="0"/>
              <w:topLinePunct/>
              <w:spacing w:line="360" w:lineRule="auto"/>
              <w:jc w:val="center"/>
              <w:outlineLvl w:val="2"/>
              <w:rPr>
                <w:rFonts w:ascii="Times New Roman" w:hAnsi="Times New Roman" w:eastAsia="宋体" w:cs="Times New Roman"/>
                <w:b/>
                <w:bCs/>
                <w:color w:val="000000"/>
                <w:sz w:val="24"/>
              </w:rPr>
            </w:pPr>
            <w:r>
              <w:rPr>
                <w:rFonts w:hint="eastAsia" w:ascii="Times New Roman" w:hAnsi="Times New Roman" w:eastAsia="宋体" w:cs="Times New Roman"/>
                <w:b/>
                <w:bCs/>
                <w:color w:val="000000"/>
                <w:sz w:val="24"/>
              </w:rPr>
              <w:t xml:space="preserve">  </w:t>
            </w:r>
            <w:r>
              <w:rPr>
                <w:rFonts w:ascii="Times New Roman" w:hAnsi="Times New Roman" w:eastAsia="宋体" w:cs="Times New Roman"/>
                <w:b/>
                <w:bCs/>
                <w:color w:val="000000"/>
                <w:sz w:val="24"/>
              </w:rPr>
              <w:t>表</w:t>
            </w:r>
            <w:r>
              <w:rPr>
                <w:rFonts w:hint="eastAsia" w:ascii="Times New Roman" w:hAnsi="Times New Roman" w:eastAsia="宋体" w:cs="Times New Roman"/>
                <w:b/>
                <w:bCs/>
                <w:color w:val="000000"/>
                <w:sz w:val="24"/>
              </w:rPr>
              <w:t>4-18</w:t>
            </w:r>
            <w:r>
              <w:rPr>
                <w:rFonts w:ascii="Times New Roman" w:hAnsi="Times New Roman" w:eastAsia="宋体" w:cs="Times New Roman"/>
                <w:b/>
                <w:bCs/>
                <w:color w:val="000000"/>
                <w:sz w:val="24"/>
              </w:rPr>
              <w:t xml:space="preserve"> </w:t>
            </w:r>
            <w:r>
              <w:rPr>
                <w:rFonts w:hint="eastAsia" w:ascii="Times New Roman" w:hAnsi="Times New Roman" w:eastAsia="宋体" w:cs="Times New Roman"/>
                <w:b/>
                <w:bCs/>
                <w:color w:val="000000"/>
                <w:sz w:val="24"/>
              </w:rPr>
              <w:t>有机热载体炉废气</w:t>
            </w:r>
            <w:r>
              <w:rPr>
                <w:rFonts w:ascii="Times New Roman" w:hAnsi="Times New Roman" w:eastAsia="宋体" w:cs="Times New Roman"/>
                <w:b/>
                <w:bCs/>
                <w:color w:val="000000"/>
                <w:sz w:val="24"/>
              </w:rPr>
              <w:t>产污系数一览表</w:t>
            </w:r>
          </w:p>
          <w:tbl>
            <w:tblPr>
              <w:tblStyle w:val="29"/>
              <w:tblW w:w="82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637"/>
              <w:gridCol w:w="932"/>
              <w:gridCol w:w="768"/>
              <w:gridCol w:w="1298"/>
              <w:gridCol w:w="2625"/>
              <w:gridCol w:w="951"/>
            </w:tblGrid>
            <w:tr w14:paraId="47D2C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005" w:type="dxa"/>
                  <w:tcBorders>
                    <w:tl2br w:val="nil"/>
                    <w:tr2bl w:val="nil"/>
                  </w:tcBorders>
                  <w:tcMar>
                    <w:left w:w="57" w:type="dxa"/>
                    <w:right w:w="57" w:type="dxa"/>
                  </w:tcMar>
                  <w:vAlign w:val="center"/>
                </w:tcPr>
                <w:p w14:paraId="2D9111BE">
                  <w:pPr>
                    <w:jc w:val="center"/>
                    <w:rPr>
                      <w:rFonts w:ascii="Times New Roman" w:hAnsi="Times New Roman" w:eastAsia="宋体" w:cs="Times New Roman"/>
                      <w:b/>
                      <w:bCs/>
                      <w:szCs w:val="21"/>
                    </w:rPr>
                  </w:pPr>
                  <w:r>
                    <w:rPr>
                      <w:rFonts w:ascii="Times New Roman" w:hAnsi="Times New Roman" w:eastAsia="宋体" w:cs="Times New Roman"/>
                      <w:b/>
                      <w:bCs/>
                      <w:szCs w:val="21"/>
                    </w:rPr>
                    <w:t>产品名称</w:t>
                  </w:r>
                </w:p>
              </w:tc>
              <w:tc>
                <w:tcPr>
                  <w:tcW w:w="637" w:type="dxa"/>
                  <w:tcBorders>
                    <w:tl2br w:val="nil"/>
                    <w:tr2bl w:val="nil"/>
                  </w:tcBorders>
                  <w:tcMar>
                    <w:left w:w="57" w:type="dxa"/>
                    <w:right w:w="57" w:type="dxa"/>
                  </w:tcMar>
                  <w:vAlign w:val="center"/>
                </w:tcPr>
                <w:p w14:paraId="31627321">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原料</w:t>
                  </w:r>
                  <w:r>
                    <w:rPr>
                      <w:rFonts w:ascii="Times New Roman" w:hAnsi="Times New Roman" w:eastAsia="宋体" w:cs="Times New Roman"/>
                      <w:b/>
                      <w:bCs/>
                      <w:szCs w:val="21"/>
                    </w:rPr>
                    <w:t>名称</w:t>
                  </w:r>
                </w:p>
              </w:tc>
              <w:tc>
                <w:tcPr>
                  <w:tcW w:w="932" w:type="dxa"/>
                  <w:tcBorders>
                    <w:tl2br w:val="nil"/>
                    <w:tr2bl w:val="nil"/>
                  </w:tcBorders>
                  <w:tcMar>
                    <w:left w:w="57" w:type="dxa"/>
                    <w:right w:w="57" w:type="dxa"/>
                  </w:tcMar>
                  <w:vAlign w:val="center"/>
                </w:tcPr>
                <w:p w14:paraId="28E77FF2">
                  <w:pPr>
                    <w:jc w:val="center"/>
                    <w:rPr>
                      <w:rFonts w:ascii="Times New Roman" w:hAnsi="Times New Roman" w:eastAsia="宋体" w:cs="Times New Roman"/>
                      <w:b/>
                      <w:bCs/>
                      <w:szCs w:val="21"/>
                    </w:rPr>
                  </w:pPr>
                  <w:r>
                    <w:rPr>
                      <w:rFonts w:ascii="Times New Roman" w:hAnsi="Times New Roman" w:eastAsia="宋体" w:cs="Times New Roman"/>
                      <w:b/>
                      <w:bCs/>
                      <w:szCs w:val="21"/>
                    </w:rPr>
                    <w:t>工艺</w:t>
                  </w:r>
                </w:p>
                <w:p w14:paraId="54244147">
                  <w:pPr>
                    <w:jc w:val="center"/>
                    <w:rPr>
                      <w:rFonts w:ascii="Times New Roman" w:hAnsi="Times New Roman" w:eastAsia="宋体" w:cs="Times New Roman"/>
                      <w:b/>
                      <w:bCs/>
                      <w:szCs w:val="21"/>
                    </w:rPr>
                  </w:pPr>
                  <w:r>
                    <w:rPr>
                      <w:rFonts w:ascii="Times New Roman" w:hAnsi="Times New Roman" w:eastAsia="宋体" w:cs="Times New Roman"/>
                      <w:b/>
                      <w:bCs/>
                      <w:szCs w:val="21"/>
                    </w:rPr>
                    <w:t>名称</w:t>
                  </w:r>
                </w:p>
              </w:tc>
              <w:tc>
                <w:tcPr>
                  <w:tcW w:w="768" w:type="dxa"/>
                  <w:tcBorders>
                    <w:tl2br w:val="nil"/>
                    <w:tr2bl w:val="nil"/>
                  </w:tcBorders>
                  <w:tcMar>
                    <w:left w:w="57" w:type="dxa"/>
                    <w:right w:w="57" w:type="dxa"/>
                  </w:tcMar>
                  <w:vAlign w:val="center"/>
                </w:tcPr>
                <w:p w14:paraId="0DE91CE2">
                  <w:pPr>
                    <w:jc w:val="center"/>
                    <w:rPr>
                      <w:rFonts w:ascii="Times New Roman" w:hAnsi="Times New Roman" w:eastAsia="宋体" w:cs="Times New Roman"/>
                      <w:b/>
                      <w:bCs/>
                      <w:szCs w:val="21"/>
                    </w:rPr>
                  </w:pPr>
                  <w:r>
                    <w:rPr>
                      <w:rFonts w:ascii="Times New Roman" w:hAnsi="Times New Roman" w:eastAsia="宋体" w:cs="Times New Roman"/>
                      <w:b/>
                      <w:bCs/>
                      <w:szCs w:val="21"/>
                    </w:rPr>
                    <w:t>规模</w:t>
                  </w:r>
                </w:p>
                <w:p w14:paraId="4305C6A5">
                  <w:pPr>
                    <w:jc w:val="center"/>
                    <w:rPr>
                      <w:rFonts w:ascii="Times New Roman" w:hAnsi="Times New Roman" w:eastAsia="宋体" w:cs="Times New Roman"/>
                      <w:b/>
                      <w:bCs/>
                      <w:szCs w:val="21"/>
                    </w:rPr>
                  </w:pPr>
                  <w:r>
                    <w:rPr>
                      <w:rFonts w:ascii="Times New Roman" w:hAnsi="Times New Roman" w:eastAsia="宋体" w:cs="Times New Roman"/>
                      <w:b/>
                      <w:bCs/>
                      <w:szCs w:val="21"/>
                    </w:rPr>
                    <w:t>等级</w:t>
                  </w:r>
                </w:p>
              </w:tc>
              <w:tc>
                <w:tcPr>
                  <w:tcW w:w="1298" w:type="dxa"/>
                  <w:tcBorders>
                    <w:tl2br w:val="nil"/>
                    <w:tr2bl w:val="nil"/>
                  </w:tcBorders>
                  <w:tcMar>
                    <w:left w:w="57" w:type="dxa"/>
                    <w:right w:w="57" w:type="dxa"/>
                  </w:tcMar>
                  <w:vAlign w:val="center"/>
                </w:tcPr>
                <w:p w14:paraId="4FA278CA">
                  <w:pPr>
                    <w:jc w:val="center"/>
                    <w:rPr>
                      <w:rFonts w:ascii="Times New Roman" w:hAnsi="Times New Roman" w:eastAsia="宋体" w:cs="Times New Roman"/>
                      <w:b/>
                      <w:bCs/>
                      <w:szCs w:val="21"/>
                    </w:rPr>
                  </w:pPr>
                  <w:r>
                    <w:rPr>
                      <w:rFonts w:ascii="Times New Roman" w:hAnsi="Times New Roman" w:eastAsia="宋体" w:cs="Times New Roman"/>
                      <w:b/>
                      <w:bCs/>
                      <w:szCs w:val="21"/>
                    </w:rPr>
                    <w:t>污染物指标</w:t>
                  </w:r>
                </w:p>
              </w:tc>
              <w:tc>
                <w:tcPr>
                  <w:tcW w:w="2625" w:type="dxa"/>
                  <w:tcBorders>
                    <w:tl2br w:val="nil"/>
                    <w:tr2bl w:val="nil"/>
                  </w:tcBorders>
                  <w:tcMar>
                    <w:left w:w="57" w:type="dxa"/>
                    <w:right w:w="57" w:type="dxa"/>
                  </w:tcMar>
                  <w:vAlign w:val="center"/>
                </w:tcPr>
                <w:p w14:paraId="2700B6D9">
                  <w:pPr>
                    <w:jc w:val="center"/>
                    <w:rPr>
                      <w:rFonts w:ascii="Times New Roman" w:hAnsi="Times New Roman" w:eastAsia="宋体" w:cs="Times New Roman"/>
                      <w:b/>
                      <w:bCs/>
                      <w:szCs w:val="21"/>
                    </w:rPr>
                  </w:pPr>
                  <w:r>
                    <w:rPr>
                      <w:rFonts w:ascii="Times New Roman" w:hAnsi="Times New Roman" w:eastAsia="宋体" w:cs="Times New Roman"/>
                      <w:b/>
                      <w:bCs/>
                      <w:szCs w:val="21"/>
                    </w:rPr>
                    <w:t>单位</w:t>
                  </w:r>
                </w:p>
              </w:tc>
              <w:tc>
                <w:tcPr>
                  <w:tcW w:w="951" w:type="dxa"/>
                  <w:tcBorders>
                    <w:tl2br w:val="nil"/>
                    <w:tr2bl w:val="nil"/>
                  </w:tcBorders>
                  <w:tcMar>
                    <w:left w:w="57" w:type="dxa"/>
                    <w:right w:w="57" w:type="dxa"/>
                  </w:tcMar>
                  <w:vAlign w:val="center"/>
                </w:tcPr>
                <w:p w14:paraId="61737806">
                  <w:pPr>
                    <w:jc w:val="center"/>
                    <w:rPr>
                      <w:rFonts w:ascii="Times New Roman" w:hAnsi="Times New Roman" w:eastAsia="宋体" w:cs="Times New Roman"/>
                      <w:b/>
                      <w:bCs/>
                      <w:szCs w:val="21"/>
                    </w:rPr>
                  </w:pPr>
                  <w:r>
                    <w:rPr>
                      <w:rFonts w:ascii="Times New Roman" w:hAnsi="Times New Roman" w:eastAsia="宋体" w:cs="Times New Roman"/>
                      <w:b/>
                      <w:bCs/>
                      <w:szCs w:val="21"/>
                    </w:rPr>
                    <w:t>产污</w:t>
                  </w:r>
                </w:p>
                <w:p w14:paraId="25D06C2D">
                  <w:pPr>
                    <w:jc w:val="center"/>
                    <w:rPr>
                      <w:rFonts w:ascii="Times New Roman" w:hAnsi="Times New Roman" w:eastAsia="宋体" w:cs="Times New Roman"/>
                      <w:b/>
                      <w:bCs/>
                      <w:szCs w:val="21"/>
                    </w:rPr>
                  </w:pPr>
                  <w:r>
                    <w:rPr>
                      <w:rFonts w:ascii="Times New Roman" w:hAnsi="Times New Roman" w:eastAsia="宋体" w:cs="Times New Roman"/>
                      <w:b/>
                      <w:bCs/>
                      <w:szCs w:val="21"/>
                    </w:rPr>
                    <w:t>系数</w:t>
                  </w:r>
                </w:p>
              </w:tc>
            </w:tr>
            <w:tr w14:paraId="24A84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dxa"/>
                  <w:vMerge w:val="restart"/>
                  <w:tcBorders>
                    <w:tl2br w:val="nil"/>
                    <w:tr2bl w:val="nil"/>
                  </w:tcBorders>
                  <w:tcMar>
                    <w:left w:w="57" w:type="dxa"/>
                    <w:right w:w="57" w:type="dxa"/>
                  </w:tcMar>
                  <w:vAlign w:val="center"/>
                </w:tcPr>
                <w:p w14:paraId="7C1D9E62">
                  <w:pPr>
                    <w:jc w:val="center"/>
                    <w:rPr>
                      <w:rFonts w:ascii="Times New Roman" w:hAnsi="Times New Roman" w:eastAsia="宋体" w:cs="Times New Roman"/>
                      <w:szCs w:val="21"/>
                    </w:rPr>
                  </w:pPr>
                  <w:r>
                    <w:rPr>
                      <w:rFonts w:ascii="Times New Roman" w:hAnsi="Times New Roman" w:eastAsia="宋体" w:cs="Times New Roman"/>
                      <w:szCs w:val="21"/>
                    </w:rPr>
                    <w:t>蒸汽/热水/其他</w:t>
                  </w:r>
                </w:p>
              </w:tc>
              <w:tc>
                <w:tcPr>
                  <w:tcW w:w="637" w:type="dxa"/>
                  <w:vMerge w:val="restart"/>
                  <w:tcBorders>
                    <w:tl2br w:val="nil"/>
                    <w:tr2bl w:val="nil"/>
                  </w:tcBorders>
                  <w:tcMar>
                    <w:left w:w="57" w:type="dxa"/>
                    <w:right w:w="57" w:type="dxa"/>
                  </w:tcMar>
                  <w:vAlign w:val="center"/>
                </w:tcPr>
                <w:p w14:paraId="1752223F">
                  <w:pPr>
                    <w:jc w:val="center"/>
                    <w:rPr>
                      <w:rFonts w:ascii="Times New Roman" w:hAnsi="Times New Roman" w:eastAsia="宋体" w:cs="Times New Roman"/>
                      <w:szCs w:val="21"/>
                    </w:rPr>
                  </w:pPr>
                  <w:r>
                    <w:rPr>
                      <w:rFonts w:ascii="Times New Roman" w:hAnsi="Times New Roman" w:eastAsia="宋体" w:cs="Times New Roman"/>
                      <w:szCs w:val="21"/>
                    </w:rPr>
                    <w:t>柴油</w:t>
                  </w:r>
                </w:p>
              </w:tc>
              <w:tc>
                <w:tcPr>
                  <w:tcW w:w="932" w:type="dxa"/>
                  <w:vMerge w:val="restart"/>
                  <w:tcBorders>
                    <w:tl2br w:val="nil"/>
                    <w:tr2bl w:val="nil"/>
                  </w:tcBorders>
                  <w:tcMar>
                    <w:left w:w="57" w:type="dxa"/>
                    <w:right w:w="57" w:type="dxa"/>
                  </w:tcMar>
                  <w:vAlign w:val="center"/>
                </w:tcPr>
                <w:p w14:paraId="44F87C1D">
                  <w:pPr>
                    <w:jc w:val="center"/>
                    <w:rPr>
                      <w:rFonts w:ascii="Times New Roman" w:hAnsi="Times New Roman" w:eastAsia="宋体" w:cs="Times New Roman"/>
                      <w:szCs w:val="21"/>
                    </w:rPr>
                  </w:pPr>
                  <w:r>
                    <w:rPr>
                      <w:rFonts w:ascii="Times New Roman" w:hAnsi="Times New Roman" w:eastAsia="宋体" w:cs="Times New Roman"/>
                      <w:szCs w:val="21"/>
                    </w:rPr>
                    <w:t>室燃炉</w:t>
                  </w:r>
                </w:p>
              </w:tc>
              <w:tc>
                <w:tcPr>
                  <w:tcW w:w="768" w:type="dxa"/>
                  <w:vMerge w:val="restart"/>
                  <w:tcBorders>
                    <w:tl2br w:val="nil"/>
                    <w:tr2bl w:val="nil"/>
                  </w:tcBorders>
                  <w:tcMar>
                    <w:left w:w="57" w:type="dxa"/>
                    <w:right w:w="57" w:type="dxa"/>
                  </w:tcMar>
                  <w:vAlign w:val="center"/>
                </w:tcPr>
                <w:p w14:paraId="0BBE4B57">
                  <w:pPr>
                    <w:jc w:val="center"/>
                    <w:rPr>
                      <w:rFonts w:ascii="Times New Roman" w:hAnsi="Times New Roman" w:eastAsia="宋体" w:cs="Times New Roman"/>
                      <w:szCs w:val="21"/>
                    </w:rPr>
                  </w:pPr>
                  <w:r>
                    <w:rPr>
                      <w:rFonts w:ascii="Times New Roman" w:hAnsi="Times New Roman" w:eastAsia="宋体" w:cs="Times New Roman"/>
                      <w:szCs w:val="21"/>
                    </w:rPr>
                    <w:t>所有</w:t>
                  </w:r>
                </w:p>
                <w:p w14:paraId="1E5D042D">
                  <w:pPr>
                    <w:jc w:val="center"/>
                    <w:rPr>
                      <w:rFonts w:ascii="Times New Roman" w:hAnsi="Times New Roman" w:eastAsia="宋体" w:cs="Times New Roman"/>
                      <w:szCs w:val="21"/>
                    </w:rPr>
                  </w:pPr>
                  <w:r>
                    <w:rPr>
                      <w:rFonts w:ascii="Times New Roman" w:hAnsi="Times New Roman" w:eastAsia="宋体" w:cs="Times New Roman"/>
                      <w:szCs w:val="21"/>
                    </w:rPr>
                    <w:t>规模</w:t>
                  </w:r>
                </w:p>
              </w:tc>
              <w:tc>
                <w:tcPr>
                  <w:tcW w:w="1298" w:type="dxa"/>
                  <w:tcBorders>
                    <w:tl2br w:val="nil"/>
                    <w:tr2bl w:val="nil"/>
                  </w:tcBorders>
                  <w:tcMar>
                    <w:left w:w="57" w:type="dxa"/>
                    <w:right w:w="57" w:type="dxa"/>
                  </w:tcMar>
                  <w:vAlign w:val="center"/>
                </w:tcPr>
                <w:p w14:paraId="7175F555">
                  <w:pPr>
                    <w:jc w:val="center"/>
                    <w:rPr>
                      <w:rFonts w:ascii="Times New Roman" w:hAnsi="Times New Roman" w:eastAsia="宋体" w:cs="Times New Roman"/>
                      <w:szCs w:val="21"/>
                    </w:rPr>
                  </w:pPr>
                  <w:r>
                    <w:rPr>
                      <w:rFonts w:ascii="Times New Roman" w:hAnsi="Times New Roman" w:eastAsia="宋体" w:cs="Times New Roman"/>
                      <w:szCs w:val="21"/>
                    </w:rPr>
                    <w:t>工业废气量</w:t>
                  </w:r>
                </w:p>
              </w:tc>
              <w:tc>
                <w:tcPr>
                  <w:tcW w:w="2625" w:type="dxa"/>
                  <w:tcBorders>
                    <w:tl2br w:val="nil"/>
                    <w:tr2bl w:val="nil"/>
                  </w:tcBorders>
                  <w:tcMar>
                    <w:left w:w="57" w:type="dxa"/>
                    <w:right w:w="57" w:type="dxa"/>
                  </w:tcMar>
                  <w:vAlign w:val="center"/>
                </w:tcPr>
                <w:p w14:paraId="5551A68E">
                  <w:pPr>
                    <w:jc w:val="center"/>
                    <w:rPr>
                      <w:rFonts w:ascii="Times New Roman" w:hAnsi="Times New Roman" w:eastAsia="宋体" w:cs="Times New Roman"/>
                      <w:szCs w:val="21"/>
                    </w:rPr>
                  </w:pPr>
                  <w:r>
                    <w:rPr>
                      <w:rFonts w:ascii="Times New Roman" w:hAnsi="Times New Roman" w:eastAsia="宋体" w:cs="Times New Roman"/>
                      <w:szCs w:val="21"/>
                    </w:rPr>
                    <w:t>标立方米/吨-燃料</w:t>
                  </w:r>
                </w:p>
              </w:tc>
              <w:tc>
                <w:tcPr>
                  <w:tcW w:w="951" w:type="dxa"/>
                  <w:tcBorders>
                    <w:tl2br w:val="nil"/>
                    <w:tr2bl w:val="nil"/>
                  </w:tcBorders>
                  <w:tcMar>
                    <w:left w:w="57" w:type="dxa"/>
                    <w:right w:w="57" w:type="dxa"/>
                  </w:tcMar>
                  <w:vAlign w:val="center"/>
                </w:tcPr>
                <w:p w14:paraId="386F65FC">
                  <w:pPr>
                    <w:jc w:val="center"/>
                    <w:rPr>
                      <w:rFonts w:ascii="Times New Roman" w:hAnsi="Times New Roman" w:eastAsia="宋体" w:cs="Times New Roman"/>
                      <w:szCs w:val="21"/>
                    </w:rPr>
                  </w:pPr>
                  <w:r>
                    <w:rPr>
                      <w:rFonts w:ascii="Times New Roman" w:hAnsi="Times New Roman" w:eastAsia="宋体" w:cs="Times New Roman"/>
                      <w:szCs w:val="21"/>
                    </w:rPr>
                    <w:t>17804</w:t>
                  </w:r>
                </w:p>
              </w:tc>
            </w:tr>
            <w:tr w14:paraId="60F0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dxa"/>
                  <w:vMerge w:val="continue"/>
                  <w:tcBorders>
                    <w:tl2br w:val="nil"/>
                    <w:tr2bl w:val="nil"/>
                  </w:tcBorders>
                  <w:tcMar>
                    <w:left w:w="57" w:type="dxa"/>
                    <w:right w:w="57" w:type="dxa"/>
                  </w:tcMar>
                  <w:vAlign w:val="center"/>
                </w:tcPr>
                <w:p w14:paraId="6741643B">
                  <w:pPr>
                    <w:jc w:val="center"/>
                    <w:rPr>
                      <w:rFonts w:ascii="Times New Roman" w:hAnsi="Times New Roman" w:eastAsia="宋体" w:cs="Times New Roman"/>
                      <w:szCs w:val="21"/>
                    </w:rPr>
                  </w:pPr>
                </w:p>
              </w:tc>
              <w:tc>
                <w:tcPr>
                  <w:tcW w:w="637" w:type="dxa"/>
                  <w:vMerge w:val="continue"/>
                  <w:tcBorders>
                    <w:tl2br w:val="nil"/>
                    <w:tr2bl w:val="nil"/>
                  </w:tcBorders>
                  <w:tcMar>
                    <w:left w:w="57" w:type="dxa"/>
                    <w:right w:w="57" w:type="dxa"/>
                  </w:tcMar>
                  <w:vAlign w:val="center"/>
                </w:tcPr>
                <w:p w14:paraId="52AF172E">
                  <w:pPr>
                    <w:jc w:val="center"/>
                    <w:rPr>
                      <w:rFonts w:ascii="Times New Roman" w:hAnsi="Times New Roman" w:eastAsia="宋体" w:cs="Times New Roman"/>
                      <w:szCs w:val="21"/>
                    </w:rPr>
                  </w:pPr>
                </w:p>
              </w:tc>
              <w:tc>
                <w:tcPr>
                  <w:tcW w:w="932" w:type="dxa"/>
                  <w:vMerge w:val="continue"/>
                  <w:tcBorders>
                    <w:tl2br w:val="nil"/>
                    <w:tr2bl w:val="nil"/>
                  </w:tcBorders>
                  <w:tcMar>
                    <w:left w:w="57" w:type="dxa"/>
                    <w:right w:w="57" w:type="dxa"/>
                  </w:tcMar>
                  <w:vAlign w:val="center"/>
                </w:tcPr>
                <w:p w14:paraId="22192132">
                  <w:pPr>
                    <w:jc w:val="center"/>
                    <w:rPr>
                      <w:rFonts w:ascii="Times New Roman" w:hAnsi="Times New Roman" w:eastAsia="宋体" w:cs="Times New Roman"/>
                      <w:szCs w:val="21"/>
                    </w:rPr>
                  </w:pPr>
                </w:p>
              </w:tc>
              <w:tc>
                <w:tcPr>
                  <w:tcW w:w="768" w:type="dxa"/>
                  <w:vMerge w:val="continue"/>
                  <w:tcBorders>
                    <w:tl2br w:val="nil"/>
                    <w:tr2bl w:val="nil"/>
                  </w:tcBorders>
                  <w:tcMar>
                    <w:left w:w="57" w:type="dxa"/>
                    <w:right w:w="57" w:type="dxa"/>
                  </w:tcMar>
                  <w:vAlign w:val="center"/>
                </w:tcPr>
                <w:p w14:paraId="391B3AB4">
                  <w:pPr>
                    <w:jc w:val="center"/>
                    <w:rPr>
                      <w:rFonts w:ascii="Times New Roman" w:hAnsi="Times New Roman" w:eastAsia="宋体" w:cs="Times New Roman"/>
                      <w:szCs w:val="21"/>
                    </w:rPr>
                  </w:pPr>
                </w:p>
              </w:tc>
              <w:tc>
                <w:tcPr>
                  <w:tcW w:w="1298" w:type="dxa"/>
                  <w:tcBorders>
                    <w:tl2br w:val="nil"/>
                    <w:tr2bl w:val="nil"/>
                  </w:tcBorders>
                  <w:tcMar>
                    <w:left w:w="57" w:type="dxa"/>
                    <w:right w:w="57" w:type="dxa"/>
                  </w:tcMar>
                  <w:vAlign w:val="center"/>
                </w:tcPr>
                <w:p w14:paraId="64A7E66D">
                  <w:pPr>
                    <w:jc w:val="center"/>
                    <w:rPr>
                      <w:rFonts w:ascii="Times New Roman" w:hAnsi="Times New Roman" w:eastAsia="宋体" w:cs="Times New Roman"/>
                      <w:szCs w:val="21"/>
                    </w:rPr>
                  </w:pPr>
                  <w:r>
                    <w:rPr>
                      <w:rFonts w:ascii="Times New Roman" w:hAnsi="Times New Roman" w:eastAsia="宋体" w:cs="Times New Roman"/>
                      <w:szCs w:val="21"/>
                    </w:rPr>
                    <w:t>SO</w:t>
                  </w:r>
                  <w:r>
                    <w:rPr>
                      <w:rFonts w:ascii="Times New Roman" w:hAnsi="Times New Roman" w:eastAsia="宋体" w:cs="Times New Roman"/>
                      <w:szCs w:val="21"/>
                      <w:vertAlign w:val="subscript"/>
                    </w:rPr>
                    <w:t>2</w:t>
                  </w:r>
                </w:p>
              </w:tc>
              <w:tc>
                <w:tcPr>
                  <w:tcW w:w="2625" w:type="dxa"/>
                  <w:tcBorders>
                    <w:tl2br w:val="nil"/>
                    <w:tr2bl w:val="nil"/>
                  </w:tcBorders>
                  <w:tcMar>
                    <w:left w:w="57" w:type="dxa"/>
                    <w:right w:w="57" w:type="dxa"/>
                  </w:tcMar>
                  <w:vAlign w:val="center"/>
                </w:tcPr>
                <w:p w14:paraId="183FD80A">
                  <w:pPr>
                    <w:jc w:val="center"/>
                    <w:rPr>
                      <w:rFonts w:ascii="Times New Roman" w:hAnsi="Times New Roman" w:eastAsia="宋体" w:cs="Times New Roman"/>
                      <w:szCs w:val="21"/>
                    </w:rPr>
                  </w:pPr>
                  <w:r>
                    <w:rPr>
                      <w:rFonts w:ascii="Times New Roman" w:hAnsi="Times New Roman" w:eastAsia="宋体" w:cs="Times New Roman"/>
                      <w:szCs w:val="21"/>
                    </w:rPr>
                    <w:t>千克/吨-燃料</w:t>
                  </w:r>
                </w:p>
              </w:tc>
              <w:tc>
                <w:tcPr>
                  <w:tcW w:w="951" w:type="dxa"/>
                  <w:tcBorders>
                    <w:tl2br w:val="nil"/>
                    <w:tr2bl w:val="nil"/>
                  </w:tcBorders>
                  <w:tcMar>
                    <w:left w:w="57" w:type="dxa"/>
                    <w:right w:w="57" w:type="dxa"/>
                  </w:tcMar>
                  <w:vAlign w:val="center"/>
                </w:tcPr>
                <w:p w14:paraId="644FB572">
                  <w:pPr>
                    <w:jc w:val="center"/>
                    <w:rPr>
                      <w:rFonts w:ascii="Times New Roman" w:hAnsi="Times New Roman" w:eastAsia="宋体" w:cs="Times New Roman"/>
                      <w:szCs w:val="21"/>
                    </w:rPr>
                  </w:pPr>
                  <w:r>
                    <w:rPr>
                      <w:rFonts w:ascii="Times New Roman" w:hAnsi="Times New Roman" w:eastAsia="宋体" w:cs="Times New Roman"/>
                      <w:szCs w:val="21"/>
                    </w:rPr>
                    <w:t>19S</w:t>
                  </w:r>
                  <w:r>
                    <w:rPr>
                      <w:rFonts w:ascii="Calibri" w:hAnsi="Calibri" w:eastAsia="宋体" w:cs="Calibri"/>
                      <w:szCs w:val="21"/>
                      <w:vertAlign w:val="superscript"/>
                    </w:rPr>
                    <w:t>①</w:t>
                  </w:r>
                </w:p>
              </w:tc>
            </w:tr>
            <w:tr w14:paraId="364DB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dxa"/>
                  <w:vMerge w:val="continue"/>
                  <w:tcBorders>
                    <w:tl2br w:val="nil"/>
                    <w:tr2bl w:val="nil"/>
                  </w:tcBorders>
                  <w:tcMar>
                    <w:left w:w="57" w:type="dxa"/>
                    <w:right w:w="57" w:type="dxa"/>
                  </w:tcMar>
                  <w:vAlign w:val="center"/>
                </w:tcPr>
                <w:p w14:paraId="118EA6C6">
                  <w:pPr>
                    <w:jc w:val="center"/>
                    <w:rPr>
                      <w:rFonts w:ascii="Times New Roman" w:hAnsi="Times New Roman" w:eastAsia="宋体" w:cs="Times New Roman"/>
                      <w:szCs w:val="21"/>
                    </w:rPr>
                  </w:pPr>
                </w:p>
              </w:tc>
              <w:tc>
                <w:tcPr>
                  <w:tcW w:w="637" w:type="dxa"/>
                  <w:vMerge w:val="continue"/>
                  <w:tcBorders>
                    <w:tl2br w:val="nil"/>
                    <w:tr2bl w:val="nil"/>
                  </w:tcBorders>
                  <w:tcMar>
                    <w:left w:w="57" w:type="dxa"/>
                    <w:right w:w="57" w:type="dxa"/>
                  </w:tcMar>
                  <w:vAlign w:val="center"/>
                </w:tcPr>
                <w:p w14:paraId="28A0AF21">
                  <w:pPr>
                    <w:jc w:val="center"/>
                    <w:rPr>
                      <w:rFonts w:ascii="Times New Roman" w:hAnsi="Times New Roman" w:eastAsia="宋体" w:cs="Times New Roman"/>
                      <w:szCs w:val="21"/>
                    </w:rPr>
                  </w:pPr>
                </w:p>
              </w:tc>
              <w:tc>
                <w:tcPr>
                  <w:tcW w:w="932" w:type="dxa"/>
                  <w:vMerge w:val="continue"/>
                  <w:tcBorders>
                    <w:tl2br w:val="nil"/>
                    <w:tr2bl w:val="nil"/>
                  </w:tcBorders>
                  <w:tcMar>
                    <w:left w:w="57" w:type="dxa"/>
                    <w:right w:w="57" w:type="dxa"/>
                  </w:tcMar>
                  <w:vAlign w:val="center"/>
                </w:tcPr>
                <w:p w14:paraId="376B5D7B">
                  <w:pPr>
                    <w:jc w:val="center"/>
                    <w:rPr>
                      <w:rFonts w:ascii="Times New Roman" w:hAnsi="Times New Roman" w:eastAsia="宋体" w:cs="Times New Roman"/>
                      <w:szCs w:val="21"/>
                    </w:rPr>
                  </w:pPr>
                </w:p>
              </w:tc>
              <w:tc>
                <w:tcPr>
                  <w:tcW w:w="768" w:type="dxa"/>
                  <w:vMerge w:val="continue"/>
                  <w:tcBorders>
                    <w:tl2br w:val="nil"/>
                    <w:tr2bl w:val="nil"/>
                  </w:tcBorders>
                  <w:tcMar>
                    <w:left w:w="57" w:type="dxa"/>
                    <w:right w:w="57" w:type="dxa"/>
                  </w:tcMar>
                  <w:vAlign w:val="center"/>
                </w:tcPr>
                <w:p w14:paraId="2CEDFF04">
                  <w:pPr>
                    <w:jc w:val="center"/>
                    <w:rPr>
                      <w:rFonts w:ascii="Times New Roman" w:hAnsi="Times New Roman" w:eastAsia="宋体" w:cs="Times New Roman"/>
                      <w:szCs w:val="21"/>
                    </w:rPr>
                  </w:pPr>
                </w:p>
              </w:tc>
              <w:tc>
                <w:tcPr>
                  <w:tcW w:w="1298" w:type="dxa"/>
                  <w:tcBorders>
                    <w:tl2br w:val="nil"/>
                    <w:tr2bl w:val="nil"/>
                  </w:tcBorders>
                  <w:tcMar>
                    <w:left w:w="57" w:type="dxa"/>
                    <w:right w:w="57" w:type="dxa"/>
                  </w:tcMar>
                  <w:vAlign w:val="center"/>
                </w:tcPr>
                <w:p w14:paraId="415D134C">
                  <w:pPr>
                    <w:jc w:val="center"/>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2625" w:type="dxa"/>
                  <w:tcBorders>
                    <w:tl2br w:val="nil"/>
                    <w:tr2bl w:val="nil"/>
                  </w:tcBorders>
                  <w:tcMar>
                    <w:left w:w="57" w:type="dxa"/>
                    <w:right w:w="57" w:type="dxa"/>
                  </w:tcMar>
                  <w:vAlign w:val="center"/>
                </w:tcPr>
                <w:p w14:paraId="2ABA1218">
                  <w:pPr>
                    <w:jc w:val="center"/>
                    <w:rPr>
                      <w:rFonts w:ascii="Times New Roman" w:hAnsi="Times New Roman" w:eastAsia="宋体" w:cs="Times New Roman"/>
                      <w:szCs w:val="21"/>
                    </w:rPr>
                  </w:pPr>
                  <w:r>
                    <w:rPr>
                      <w:rFonts w:ascii="Times New Roman" w:hAnsi="Times New Roman" w:eastAsia="宋体" w:cs="Times New Roman"/>
                      <w:szCs w:val="21"/>
                    </w:rPr>
                    <w:t>千克/吨-燃料</w:t>
                  </w:r>
                </w:p>
              </w:tc>
              <w:tc>
                <w:tcPr>
                  <w:tcW w:w="951" w:type="dxa"/>
                  <w:tcBorders>
                    <w:tl2br w:val="nil"/>
                    <w:tr2bl w:val="nil"/>
                  </w:tcBorders>
                  <w:tcMar>
                    <w:left w:w="57" w:type="dxa"/>
                    <w:right w:w="57" w:type="dxa"/>
                  </w:tcMar>
                  <w:vAlign w:val="center"/>
                </w:tcPr>
                <w:p w14:paraId="3F54E122">
                  <w:pPr>
                    <w:jc w:val="center"/>
                    <w:rPr>
                      <w:rFonts w:ascii="Times New Roman" w:hAnsi="Times New Roman" w:eastAsia="宋体" w:cs="Times New Roman"/>
                      <w:szCs w:val="21"/>
                    </w:rPr>
                  </w:pPr>
                  <w:r>
                    <w:rPr>
                      <w:rFonts w:ascii="Times New Roman" w:hAnsi="Times New Roman" w:eastAsia="宋体" w:cs="Times New Roman"/>
                      <w:szCs w:val="21"/>
                    </w:rPr>
                    <w:t>0.26</w:t>
                  </w:r>
                </w:p>
              </w:tc>
            </w:tr>
            <w:tr w14:paraId="68B93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dxa"/>
                  <w:vMerge w:val="continue"/>
                  <w:tcBorders>
                    <w:tl2br w:val="nil"/>
                    <w:tr2bl w:val="nil"/>
                  </w:tcBorders>
                  <w:tcMar>
                    <w:left w:w="57" w:type="dxa"/>
                    <w:right w:w="57" w:type="dxa"/>
                  </w:tcMar>
                  <w:vAlign w:val="center"/>
                </w:tcPr>
                <w:p w14:paraId="5F0A082B">
                  <w:pPr>
                    <w:jc w:val="center"/>
                    <w:rPr>
                      <w:rFonts w:ascii="Times New Roman" w:hAnsi="Times New Roman" w:eastAsia="宋体" w:cs="Times New Roman"/>
                      <w:szCs w:val="21"/>
                    </w:rPr>
                  </w:pPr>
                </w:p>
              </w:tc>
              <w:tc>
                <w:tcPr>
                  <w:tcW w:w="637" w:type="dxa"/>
                  <w:vMerge w:val="continue"/>
                  <w:tcBorders>
                    <w:tl2br w:val="nil"/>
                    <w:tr2bl w:val="nil"/>
                  </w:tcBorders>
                  <w:tcMar>
                    <w:left w:w="57" w:type="dxa"/>
                    <w:right w:w="57" w:type="dxa"/>
                  </w:tcMar>
                  <w:vAlign w:val="center"/>
                </w:tcPr>
                <w:p w14:paraId="1EE8382F">
                  <w:pPr>
                    <w:jc w:val="center"/>
                    <w:rPr>
                      <w:rFonts w:ascii="Times New Roman" w:hAnsi="Times New Roman" w:eastAsia="宋体" w:cs="Times New Roman"/>
                      <w:szCs w:val="21"/>
                    </w:rPr>
                  </w:pPr>
                </w:p>
              </w:tc>
              <w:tc>
                <w:tcPr>
                  <w:tcW w:w="932" w:type="dxa"/>
                  <w:vMerge w:val="continue"/>
                  <w:tcBorders>
                    <w:tl2br w:val="nil"/>
                    <w:tr2bl w:val="nil"/>
                  </w:tcBorders>
                  <w:tcMar>
                    <w:left w:w="57" w:type="dxa"/>
                    <w:right w:w="57" w:type="dxa"/>
                  </w:tcMar>
                  <w:vAlign w:val="center"/>
                </w:tcPr>
                <w:p w14:paraId="4DC01F64">
                  <w:pPr>
                    <w:jc w:val="center"/>
                    <w:rPr>
                      <w:rFonts w:ascii="Times New Roman" w:hAnsi="Times New Roman" w:eastAsia="宋体" w:cs="Times New Roman"/>
                      <w:szCs w:val="21"/>
                    </w:rPr>
                  </w:pPr>
                </w:p>
              </w:tc>
              <w:tc>
                <w:tcPr>
                  <w:tcW w:w="768" w:type="dxa"/>
                  <w:vMerge w:val="continue"/>
                  <w:tcBorders>
                    <w:tl2br w:val="nil"/>
                    <w:tr2bl w:val="nil"/>
                  </w:tcBorders>
                  <w:tcMar>
                    <w:left w:w="57" w:type="dxa"/>
                    <w:right w:w="57" w:type="dxa"/>
                  </w:tcMar>
                  <w:vAlign w:val="center"/>
                </w:tcPr>
                <w:p w14:paraId="5E8121A2">
                  <w:pPr>
                    <w:jc w:val="center"/>
                    <w:rPr>
                      <w:rFonts w:ascii="Times New Roman" w:hAnsi="Times New Roman" w:eastAsia="宋体" w:cs="Times New Roman"/>
                      <w:szCs w:val="21"/>
                    </w:rPr>
                  </w:pPr>
                </w:p>
              </w:tc>
              <w:tc>
                <w:tcPr>
                  <w:tcW w:w="1298" w:type="dxa"/>
                  <w:tcBorders>
                    <w:tl2br w:val="nil"/>
                    <w:tr2bl w:val="nil"/>
                  </w:tcBorders>
                  <w:tcMar>
                    <w:left w:w="57" w:type="dxa"/>
                    <w:right w:w="57" w:type="dxa"/>
                  </w:tcMar>
                  <w:vAlign w:val="center"/>
                </w:tcPr>
                <w:p w14:paraId="1AF429AF">
                  <w:pPr>
                    <w:jc w:val="center"/>
                    <w:rPr>
                      <w:rFonts w:ascii="Times New Roman" w:hAnsi="Times New Roman" w:eastAsia="宋体" w:cs="Times New Roman"/>
                      <w:szCs w:val="21"/>
                    </w:rPr>
                  </w:pPr>
                  <w:r>
                    <w:rPr>
                      <w:rFonts w:ascii="Times New Roman" w:hAnsi="Times New Roman" w:eastAsia="宋体" w:cs="Times New Roman"/>
                      <w:szCs w:val="21"/>
                    </w:rPr>
                    <w:t>NO</w:t>
                  </w:r>
                  <w:r>
                    <w:rPr>
                      <w:rFonts w:ascii="Times New Roman" w:hAnsi="Times New Roman" w:eastAsia="宋体" w:cs="Times New Roman"/>
                      <w:szCs w:val="21"/>
                      <w:vertAlign w:val="subscript"/>
                    </w:rPr>
                    <w:t>x</w:t>
                  </w:r>
                </w:p>
              </w:tc>
              <w:tc>
                <w:tcPr>
                  <w:tcW w:w="2625" w:type="dxa"/>
                  <w:tcBorders>
                    <w:tl2br w:val="nil"/>
                    <w:tr2bl w:val="nil"/>
                  </w:tcBorders>
                  <w:tcMar>
                    <w:left w:w="57" w:type="dxa"/>
                    <w:right w:w="57" w:type="dxa"/>
                  </w:tcMar>
                  <w:vAlign w:val="center"/>
                </w:tcPr>
                <w:p w14:paraId="23EFCC48">
                  <w:pPr>
                    <w:jc w:val="center"/>
                    <w:rPr>
                      <w:rFonts w:ascii="Times New Roman" w:hAnsi="Times New Roman" w:eastAsia="宋体" w:cs="Times New Roman"/>
                      <w:szCs w:val="21"/>
                    </w:rPr>
                  </w:pPr>
                  <w:r>
                    <w:rPr>
                      <w:rFonts w:ascii="Times New Roman" w:hAnsi="Times New Roman" w:eastAsia="宋体" w:cs="Times New Roman"/>
                      <w:szCs w:val="21"/>
                    </w:rPr>
                    <w:t>千克/吨-燃料</w:t>
                  </w:r>
                </w:p>
              </w:tc>
              <w:tc>
                <w:tcPr>
                  <w:tcW w:w="951" w:type="dxa"/>
                  <w:tcBorders>
                    <w:tl2br w:val="nil"/>
                    <w:tr2bl w:val="nil"/>
                  </w:tcBorders>
                  <w:tcMar>
                    <w:left w:w="57" w:type="dxa"/>
                    <w:right w:w="57" w:type="dxa"/>
                  </w:tcMar>
                  <w:vAlign w:val="center"/>
                </w:tcPr>
                <w:p w14:paraId="417CB85A">
                  <w:pPr>
                    <w:jc w:val="center"/>
                    <w:rPr>
                      <w:rFonts w:ascii="Times New Roman" w:hAnsi="Times New Roman" w:eastAsia="宋体" w:cs="Times New Roman"/>
                      <w:szCs w:val="21"/>
                    </w:rPr>
                  </w:pPr>
                  <w:r>
                    <w:rPr>
                      <w:rFonts w:ascii="Times New Roman" w:hAnsi="Times New Roman" w:eastAsia="宋体" w:cs="Times New Roman"/>
                      <w:szCs w:val="21"/>
                    </w:rPr>
                    <w:t>3.03</w:t>
                  </w:r>
                </w:p>
              </w:tc>
            </w:tr>
            <w:tr w14:paraId="0BB6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16" w:type="dxa"/>
                  <w:gridSpan w:val="7"/>
                  <w:tcBorders>
                    <w:tl2br w:val="nil"/>
                    <w:tr2bl w:val="nil"/>
                  </w:tcBorders>
                  <w:tcMar>
                    <w:left w:w="57" w:type="dxa"/>
                    <w:right w:w="57" w:type="dxa"/>
                  </w:tcMar>
                  <w:vAlign w:val="center"/>
                </w:tcPr>
                <w:p w14:paraId="24B95E3E">
                  <w:pPr>
                    <w:widowControl/>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注：①产污系数表中二氧化硫的产污系数是以含硫量（S％）的形式表示的，其中含硫量（S％）是指燃油收到基硫分含量，以质量百分数的形式表示。例如燃料中含硫量（S％）为 0.1％，则 S=0.1。</w:t>
                  </w:r>
                </w:p>
                <w:p w14:paraId="76613EE5">
                  <w:pPr>
                    <w:widowControl/>
                    <w:jc w:val="left"/>
                    <w:rPr>
                      <w:rFonts w:ascii="Times New Roman" w:hAnsi="Times New Roman" w:eastAsia="宋体" w:cs="Times New Roman"/>
                      <w:szCs w:val="21"/>
                    </w:rPr>
                  </w:pPr>
                  <w:r>
                    <w:rPr>
                      <w:rFonts w:ascii="Times New Roman" w:hAnsi="Times New Roman" w:eastAsia="宋体" w:cs="Times New Roman"/>
                      <w:color w:val="000000"/>
                      <w:kern w:val="0"/>
                      <w:szCs w:val="21"/>
                      <w:lang w:bidi="ar"/>
                    </w:rPr>
                    <w:t xml:space="preserve"> 本项目轻质柴油硫含量≤10mg/kg（即含硫量为0.001%），则S=</w:t>
                  </w:r>
                  <w:r>
                    <w:rPr>
                      <w:rFonts w:hint="eastAsia" w:ascii="Times New Roman" w:hAnsi="Times New Roman" w:eastAsia="宋体" w:cs="Times New Roman"/>
                      <w:color w:val="000000"/>
                      <w:kern w:val="0"/>
                      <w:szCs w:val="21"/>
                      <w:lang w:bidi="ar"/>
                    </w:rPr>
                    <w:t>0.001</w:t>
                  </w:r>
                  <w:r>
                    <w:rPr>
                      <w:rFonts w:ascii="Times New Roman" w:hAnsi="Times New Roman" w:eastAsia="宋体" w:cs="Times New Roman"/>
                      <w:color w:val="000000"/>
                      <w:kern w:val="0"/>
                      <w:szCs w:val="21"/>
                      <w:lang w:bidi="ar"/>
                    </w:rPr>
                    <w:t>。</w:t>
                  </w:r>
                </w:p>
              </w:tc>
            </w:tr>
          </w:tbl>
          <w:p w14:paraId="006C4FB3">
            <w:pPr>
              <w:wordWrap w:val="0"/>
              <w:topLinePunct/>
              <w:spacing w:line="360" w:lineRule="auto"/>
              <w:ind w:firstLine="480" w:firstLineChars="200"/>
              <w:rPr>
                <w:sz w:val="24"/>
                <w:szCs w:val="20"/>
              </w:rPr>
            </w:pPr>
            <w:r>
              <w:rPr>
                <w:rFonts w:hint="eastAsia"/>
                <w:sz w:val="24"/>
                <w:szCs w:val="20"/>
              </w:rPr>
              <w:t>①烟气量</w:t>
            </w:r>
          </w:p>
          <w:p w14:paraId="563A4843">
            <w:pPr>
              <w:wordWrap w:val="0"/>
              <w:topLinePunct/>
              <w:spacing w:line="360" w:lineRule="auto"/>
              <w:ind w:firstLine="480" w:firstLineChars="200"/>
              <w:rPr>
                <w:rFonts w:ascii="Times New Roman" w:hAnsi="Times New Roman" w:eastAsia="宋体" w:cs="Times New Roman"/>
                <w:bCs/>
                <w:color w:val="FF0000"/>
                <w:sz w:val="24"/>
              </w:rPr>
            </w:pPr>
            <w:r>
              <w:rPr>
                <w:rFonts w:hint="eastAsia" w:ascii="Times New Roman" w:hAnsi="宋体" w:eastAsia="宋体" w:cs="Times New Roman"/>
                <w:bCs/>
                <w:color w:val="000000" w:themeColor="text1"/>
                <w:sz w:val="24"/>
                <w14:textFill>
                  <w14:solidFill>
                    <w14:schemeClr w14:val="tx1"/>
                  </w14:solidFill>
                </w14:textFill>
              </w:rPr>
              <w:t>根据《4430工业锅炉（热力供应）行业系数手册》燃油工业锅炉产污系数，燃烧1t柴油产生17804m</w:t>
            </w:r>
            <w:r>
              <w:rPr>
                <w:rFonts w:hint="eastAsia" w:ascii="Times New Roman" w:hAnsi="宋体" w:eastAsia="宋体" w:cs="Times New Roman"/>
                <w:bCs/>
                <w:color w:val="000000" w:themeColor="text1"/>
                <w:sz w:val="24"/>
                <w:vertAlign w:val="superscript"/>
                <w14:textFill>
                  <w14:solidFill>
                    <w14:schemeClr w14:val="tx1"/>
                  </w14:solidFill>
                </w14:textFill>
              </w:rPr>
              <w:t>3</w:t>
            </w:r>
            <w:r>
              <w:rPr>
                <w:rFonts w:hint="eastAsia" w:ascii="Times New Roman" w:hAnsi="宋体" w:eastAsia="宋体" w:cs="Times New Roman"/>
                <w:bCs/>
                <w:color w:val="000000" w:themeColor="text1"/>
                <w:sz w:val="24"/>
                <w14:textFill>
                  <w14:solidFill>
                    <w14:schemeClr w14:val="tx1"/>
                  </w14:solidFill>
                </w14:textFill>
              </w:rPr>
              <w:t>的烟气。本工序轻质柴油年用量为30t，有机热载体炉年运行时间1440</w:t>
            </w:r>
            <w:r>
              <w:rPr>
                <w:rFonts w:hint="eastAsia" w:ascii="Times New Roman" w:hAnsi="宋体" w:eastAsia="宋体" w:cs="Times New Roman"/>
                <w:bCs/>
                <w:sz w:val="24"/>
              </w:rPr>
              <w:t>h，则烟气量</w:t>
            </w:r>
            <w:r>
              <w:rPr>
                <w:rFonts w:ascii="Times New Roman" w:hAnsi="宋体" w:eastAsia="宋体" w:cs="Times New Roman"/>
                <w:bCs/>
                <w:sz w:val="24"/>
              </w:rPr>
              <w:t>为</w:t>
            </w:r>
            <w:r>
              <w:rPr>
                <w:rFonts w:hint="eastAsia" w:ascii="Times New Roman" w:hAnsi="宋体" w:eastAsia="宋体" w:cs="Times New Roman"/>
                <w:bCs/>
                <w:sz w:val="24"/>
              </w:rPr>
              <w:t>534120</w:t>
            </w:r>
            <w:r>
              <w:rPr>
                <w:rFonts w:ascii="Times New Roman" w:hAnsi="Times New Roman" w:eastAsia="宋体" w:cs="Times New Roman"/>
                <w:bCs/>
                <w:sz w:val="24"/>
              </w:rPr>
              <w:t>m</w:t>
            </w:r>
            <w:r>
              <w:rPr>
                <w:rFonts w:ascii="Times New Roman" w:hAnsi="Times New Roman" w:eastAsia="宋体" w:cs="Times New Roman"/>
                <w:bCs/>
                <w:sz w:val="24"/>
                <w:vertAlign w:val="superscript"/>
              </w:rPr>
              <w:t>3</w:t>
            </w:r>
            <w:r>
              <w:rPr>
                <w:rFonts w:hint="eastAsia" w:ascii="Times New Roman" w:hAnsi="Times New Roman" w:eastAsia="宋体" w:cs="Times New Roman"/>
                <w:bCs/>
                <w:sz w:val="24"/>
              </w:rPr>
              <w:t>。</w:t>
            </w:r>
          </w:p>
          <w:p w14:paraId="14F32210">
            <w:pPr>
              <w:wordWrap w:val="0"/>
              <w:topLinePunct/>
              <w:spacing w:line="360" w:lineRule="auto"/>
              <w:ind w:firstLine="480" w:firstLineChars="200"/>
              <w:rPr>
                <w:sz w:val="24"/>
                <w:szCs w:val="20"/>
              </w:rPr>
            </w:pPr>
            <w:r>
              <w:rPr>
                <w:rFonts w:hint="eastAsia"/>
                <w:sz w:val="24"/>
                <w:szCs w:val="20"/>
              </w:rPr>
              <w:t>②污染物产生量</w:t>
            </w:r>
          </w:p>
          <w:p w14:paraId="4E6E7815">
            <w:pPr>
              <w:wordWrap w:val="0"/>
              <w:topLinePunct/>
              <w:spacing w:line="360" w:lineRule="auto"/>
              <w:ind w:firstLine="482" w:firstLineChars="200"/>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宋体" w:eastAsia="宋体" w:cs="Times New Roman"/>
                <w:b/>
                <w:bCs/>
                <w:sz w:val="24"/>
              </w:rPr>
              <w:t>颗粒物</w:t>
            </w:r>
            <w:r>
              <w:rPr>
                <w:rFonts w:ascii="Times New Roman" w:hAnsi="宋体" w:eastAsia="宋体" w:cs="Times New Roman"/>
                <w:b/>
                <w:bCs/>
                <w:sz w:val="24"/>
              </w:rPr>
              <w:t>：</w:t>
            </w:r>
            <w:r>
              <w:rPr>
                <w:rFonts w:hint="eastAsia" w:ascii="Times New Roman" w:hAnsi="宋体" w:eastAsia="宋体" w:cs="Times New Roman"/>
                <w:bCs/>
                <w:color w:val="000000" w:themeColor="text1"/>
                <w:sz w:val="24"/>
                <w14:textFill>
                  <w14:solidFill>
                    <w14:schemeClr w14:val="tx1"/>
                  </w14:solidFill>
                </w14:textFill>
              </w:rPr>
              <w:t>根据《4430工业锅炉（热力供应）行业系数手册》燃油工业锅炉产污系数</w:t>
            </w:r>
            <w:r>
              <w:rPr>
                <w:rFonts w:ascii="Times New Roman" w:hAnsi="宋体" w:eastAsia="宋体" w:cs="Times New Roman"/>
                <w:bCs/>
                <w:sz w:val="24"/>
              </w:rPr>
              <w:t>，燃烧</w:t>
            </w:r>
            <w:r>
              <w:rPr>
                <w:rFonts w:ascii="Times New Roman" w:hAnsi="Times New Roman" w:eastAsia="宋体" w:cs="Times New Roman"/>
                <w:bCs/>
                <w:sz w:val="24"/>
              </w:rPr>
              <w:t>1</w:t>
            </w:r>
            <w:r>
              <w:rPr>
                <w:rFonts w:hint="eastAsia" w:ascii="Times New Roman" w:hAnsi="宋体" w:eastAsia="宋体" w:cs="Times New Roman"/>
                <w:bCs/>
                <w:sz w:val="24"/>
              </w:rPr>
              <w:t>t柴油产生</w:t>
            </w:r>
            <w:r>
              <w:rPr>
                <w:rFonts w:hint="eastAsia" w:ascii="Times New Roman" w:hAnsi="Times New Roman" w:eastAsia="宋体" w:cs="Times New Roman"/>
                <w:bCs/>
                <w:sz w:val="24"/>
              </w:rPr>
              <w:t>0.26</w:t>
            </w:r>
            <w:r>
              <w:rPr>
                <w:rFonts w:ascii="Times New Roman" w:hAnsi="Times New Roman" w:eastAsia="宋体" w:cs="Times New Roman"/>
                <w:bCs/>
                <w:sz w:val="24"/>
              </w:rPr>
              <w:t>kg</w:t>
            </w:r>
            <w:r>
              <w:rPr>
                <w:rFonts w:ascii="Times New Roman" w:hAnsi="宋体" w:eastAsia="宋体" w:cs="Times New Roman"/>
                <w:bCs/>
                <w:sz w:val="24"/>
              </w:rPr>
              <w:t>的</w:t>
            </w:r>
            <w:r>
              <w:rPr>
                <w:rFonts w:hint="eastAsia" w:ascii="Times New Roman" w:hAnsi="宋体" w:eastAsia="宋体" w:cs="Times New Roman"/>
                <w:bCs/>
                <w:sz w:val="24"/>
              </w:rPr>
              <w:t>颗粒物，本工序轻质柴油年用量为30t，有机热载体炉年运行时间1440h，</w:t>
            </w:r>
            <w:r>
              <w:rPr>
                <w:rFonts w:hint="eastAsia" w:ascii="Times New Roman" w:hAnsi="宋体" w:eastAsia="宋体" w:cs="Times New Roman"/>
                <w:bCs/>
                <w:color w:val="000000" w:themeColor="text1"/>
                <w:sz w:val="24"/>
                <w14:textFill>
                  <w14:solidFill>
                    <w14:schemeClr w14:val="tx1"/>
                  </w14:solidFill>
                </w14:textFill>
              </w:rPr>
              <w:t>则颗粒物</w:t>
            </w:r>
            <w:r>
              <w:rPr>
                <w:rFonts w:ascii="Times New Roman" w:hAnsi="宋体" w:eastAsia="宋体" w:cs="Times New Roman"/>
                <w:bCs/>
                <w:color w:val="000000" w:themeColor="text1"/>
                <w:sz w:val="24"/>
                <w14:textFill>
                  <w14:solidFill>
                    <w14:schemeClr w14:val="tx1"/>
                  </w14:solidFill>
                </w14:textFill>
              </w:rPr>
              <w:t>的</w:t>
            </w:r>
            <w:r>
              <w:rPr>
                <w:rFonts w:hint="eastAsia" w:ascii="Times New Roman" w:hAnsi="宋体" w:eastAsia="宋体" w:cs="Times New Roman"/>
                <w:bCs/>
                <w:color w:val="000000" w:themeColor="text1"/>
                <w:sz w:val="24"/>
                <w14:textFill>
                  <w14:solidFill>
                    <w14:schemeClr w14:val="tx1"/>
                  </w14:solidFill>
                </w14:textFill>
              </w:rPr>
              <w:t>产生</w:t>
            </w:r>
            <w:r>
              <w:rPr>
                <w:rFonts w:ascii="Times New Roman" w:hAnsi="宋体" w:eastAsia="宋体" w:cs="Times New Roman"/>
                <w:bCs/>
                <w:color w:val="000000" w:themeColor="text1"/>
                <w:sz w:val="24"/>
                <w14:textFill>
                  <w14:solidFill>
                    <w14:schemeClr w14:val="tx1"/>
                  </w14:solidFill>
                </w14:textFill>
              </w:rPr>
              <w:t>浓度为</w:t>
            </w:r>
            <w:r>
              <w:rPr>
                <w:rFonts w:hint="eastAsia" w:ascii="Times New Roman" w:hAnsi="宋体" w:eastAsia="宋体" w:cs="Times New Roman"/>
                <w:bCs/>
                <w:color w:val="000000" w:themeColor="text1"/>
                <w:sz w:val="24"/>
                <w14:textFill>
                  <w14:solidFill>
                    <w14:schemeClr w14:val="tx1"/>
                  </w14:solidFill>
                </w14:textFill>
              </w:rPr>
              <w:t>14.6</w:t>
            </w:r>
            <w:r>
              <w:rPr>
                <w:rFonts w:ascii="Times New Roman" w:hAnsi="Times New Roman" w:eastAsia="宋体" w:cs="Times New Roman"/>
                <w:bCs/>
                <w:color w:val="000000" w:themeColor="text1"/>
                <w:sz w:val="24"/>
                <w14:textFill>
                  <w14:solidFill>
                    <w14:schemeClr w14:val="tx1"/>
                  </w14:solidFill>
                </w14:textFill>
              </w:rPr>
              <w:t>mg/m</w:t>
            </w:r>
            <w:r>
              <w:rPr>
                <w:rFonts w:ascii="Times New Roman" w:hAnsi="Times New Roman" w:eastAsia="宋体" w:cs="Times New Roman"/>
                <w:bCs/>
                <w:color w:val="000000" w:themeColor="text1"/>
                <w:sz w:val="24"/>
                <w:vertAlign w:val="superscript"/>
                <w14:textFill>
                  <w14:solidFill>
                    <w14:schemeClr w14:val="tx1"/>
                  </w14:solidFill>
                </w14:textFill>
              </w:rPr>
              <w:t>3</w:t>
            </w:r>
            <w:r>
              <w:rPr>
                <w:rFonts w:ascii="Times New Roman" w:hAnsi="宋体" w:eastAsia="宋体" w:cs="Times New Roman"/>
                <w:bCs/>
                <w:color w:val="000000" w:themeColor="text1"/>
                <w:sz w:val="24"/>
                <w14:textFill>
                  <w14:solidFill>
                    <w14:schemeClr w14:val="tx1"/>
                  </w14:solidFill>
                </w14:textFill>
              </w:rPr>
              <w:t>，</w:t>
            </w:r>
            <w:r>
              <w:rPr>
                <w:rFonts w:hint="eastAsia" w:ascii="Times New Roman" w:hAnsi="宋体" w:eastAsia="宋体" w:cs="Times New Roman"/>
                <w:bCs/>
                <w:color w:val="000000" w:themeColor="text1"/>
                <w:sz w:val="24"/>
                <w14:textFill>
                  <w14:solidFill>
                    <w14:schemeClr w14:val="tx1"/>
                  </w14:solidFill>
                </w14:textFill>
              </w:rPr>
              <w:t>产生</w:t>
            </w:r>
            <w:r>
              <w:rPr>
                <w:rFonts w:ascii="Times New Roman" w:hAnsi="宋体" w:eastAsia="宋体" w:cs="Times New Roman"/>
                <w:bCs/>
                <w:color w:val="000000" w:themeColor="text1"/>
                <w:sz w:val="24"/>
                <w14:textFill>
                  <w14:solidFill>
                    <w14:schemeClr w14:val="tx1"/>
                  </w14:solidFill>
                </w14:textFill>
              </w:rPr>
              <w:t>速率为</w:t>
            </w:r>
            <w:r>
              <w:rPr>
                <w:rFonts w:hint="eastAsia" w:ascii="Times New Roman" w:hAnsi="宋体" w:eastAsia="宋体" w:cs="Times New Roman"/>
                <w:bCs/>
                <w:color w:val="000000" w:themeColor="text1"/>
                <w:sz w:val="24"/>
                <w14:textFill>
                  <w14:solidFill>
                    <w14:schemeClr w14:val="tx1"/>
                  </w14:solidFill>
                </w14:textFill>
              </w:rPr>
              <w:t>0.0054</w:t>
            </w:r>
            <w:r>
              <w:rPr>
                <w:rFonts w:ascii="Times New Roman" w:hAnsi="Times New Roman" w:eastAsia="宋体" w:cs="Times New Roman"/>
                <w:bCs/>
                <w:color w:val="000000" w:themeColor="text1"/>
                <w:sz w:val="24"/>
                <w14:textFill>
                  <w14:solidFill>
                    <w14:schemeClr w14:val="tx1"/>
                  </w14:solidFill>
                </w14:textFill>
              </w:rPr>
              <w:t>kg/h</w:t>
            </w:r>
            <w:r>
              <w:rPr>
                <w:rFonts w:ascii="Times New Roman" w:hAnsi="宋体" w:eastAsia="宋体" w:cs="Times New Roman"/>
                <w:bCs/>
                <w:color w:val="000000" w:themeColor="text1"/>
                <w:sz w:val="24"/>
                <w14:textFill>
                  <w14:solidFill>
                    <w14:schemeClr w14:val="tx1"/>
                  </w14:solidFill>
                </w14:textFill>
              </w:rPr>
              <w:t>，</w:t>
            </w:r>
            <w:r>
              <w:rPr>
                <w:rFonts w:hint="eastAsia" w:ascii="Times New Roman" w:hAnsi="宋体" w:eastAsia="宋体" w:cs="Times New Roman"/>
                <w:bCs/>
                <w:color w:val="000000" w:themeColor="text1"/>
                <w:sz w:val="24"/>
                <w14:textFill>
                  <w14:solidFill>
                    <w14:schemeClr w14:val="tx1"/>
                  </w14:solidFill>
                </w14:textFill>
              </w:rPr>
              <w:t>颗粒物产生</w:t>
            </w:r>
            <w:r>
              <w:rPr>
                <w:rFonts w:ascii="Times New Roman" w:hAnsi="宋体" w:eastAsia="宋体" w:cs="Times New Roman"/>
                <w:bCs/>
                <w:color w:val="000000" w:themeColor="text1"/>
                <w:sz w:val="24"/>
                <w14:textFill>
                  <w14:solidFill>
                    <w14:schemeClr w14:val="tx1"/>
                  </w14:solidFill>
                </w14:textFill>
              </w:rPr>
              <w:t>量为</w:t>
            </w:r>
            <w:r>
              <w:rPr>
                <w:rFonts w:hint="eastAsia" w:ascii="Times New Roman" w:hAnsi="宋体" w:eastAsia="宋体" w:cs="Times New Roman"/>
                <w:bCs/>
                <w:color w:val="000000" w:themeColor="text1"/>
                <w:sz w:val="24"/>
                <w14:textFill>
                  <w14:solidFill>
                    <w14:schemeClr w14:val="tx1"/>
                  </w14:solidFill>
                </w14:textFill>
              </w:rPr>
              <w:t>0.0078</w:t>
            </w:r>
            <w:r>
              <w:rPr>
                <w:rFonts w:ascii="Times New Roman" w:hAnsi="Times New Roman" w:eastAsia="宋体" w:cs="Times New Roman"/>
                <w:bCs/>
                <w:color w:val="000000" w:themeColor="text1"/>
                <w:sz w:val="24"/>
                <w14:textFill>
                  <w14:solidFill>
                    <w14:schemeClr w14:val="tx1"/>
                  </w14:solidFill>
                </w14:textFill>
              </w:rPr>
              <w:t>t/a</w:t>
            </w:r>
            <w:r>
              <w:rPr>
                <w:rFonts w:ascii="Times New Roman" w:hAnsi="宋体" w:eastAsia="宋体" w:cs="Times New Roman"/>
                <w:bCs/>
                <w:color w:val="000000" w:themeColor="text1"/>
                <w:sz w:val="24"/>
                <w14:textFill>
                  <w14:solidFill>
                    <w14:schemeClr w14:val="tx1"/>
                  </w14:solidFill>
                </w14:textFill>
              </w:rPr>
              <w:t>。</w:t>
            </w:r>
          </w:p>
          <w:p w14:paraId="7F01A746">
            <w:pPr>
              <w:wordWrap w:val="0"/>
              <w:topLinePunct/>
              <w:spacing w:line="360" w:lineRule="auto"/>
              <w:ind w:firstLine="482"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
                <w:bCs/>
                <w:sz w:val="24"/>
              </w:rPr>
              <w:t>SO</w:t>
            </w:r>
            <w:r>
              <w:rPr>
                <w:rFonts w:ascii="Times New Roman" w:hAnsi="Times New Roman" w:eastAsia="宋体" w:cs="Times New Roman"/>
                <w:b/>
                <w:bCs/>
                <w:sz w:val="24"/>
                <w:vertAlign w:val="subscript"/>
              </w:rPr>
              <w:t>2</w:t>
            </w:r>
            <w:r>
              <w:rPr>
                <w:rFonts w:ascii="Times New Roman" w:hAnsi="宋体" w:eastAsia="宋体" w:cs="Times New Roman"/>
                <w:b/>
                <w:bCs/>
                <w:sz w:val="24"/>
              </w:rPr>
              <w:t>：</w:t>
            </w:r>
            <w:r>
              <w:rPr>
                <w:rFonts w:hint="eastAsia" w:ascii="Times New Roman" w:hAnsi="宋体" w:eastAsia="宋体" w:cs="Times New Roman"/>
                <w:sz w:val="24"/>
              </w:rPr>
              <w:t>根据《4430工业锅炉（热力供应）行业系数手册》燃油工业锅炉产污系数</w:t>
            </w:r>
            <w:r>
              <w:rPr>
                <w:rFonts w:ascii="Times New Roman" w:hAnsi="宋体" w:eastAsia="宋体" w:cs="Times New Roman"/>
                <w:bCs/>
                <w:sz w:val="24"/>
              </w:rPr>
              <w:t>，燃烧</w:t>
            </w:r>
            <w:r>
              <w:rPr>
                <w:rFonts w:ascii="Times New Roman" w:hAnsi="Times New Roman" w:eastAsia="宋体" w:cs="Times New Roman"/>
                <w:bCs/>
                <w:sz w:val="24"/>
              </w:rPr>
              <w:t>1</w:t>
            </w:r>
            <w:r>
              <w:rPr>
                <w:rFonts w:hint="eastAsia" w:ascii="Times New Roman" w:hAnsi="宋体" w:eastAsia="宋体" w:cs="Times New Roman"/>
                <w:bCs/>
                <w:sz w:val="24"/>
              </w:rPr>
              <w:t>t柴油产生</w:t>
            </w:r>
            <w:r>
              <w:rPr>
                <w:rFonts w:hint="eastAsia" w:ascii="Times New Roman" w:hAnsi="Times New Roman" w:eastAsia="宋体" w:cs="Times New Roman"/>
                <w:bCs/>
                <w:sz w:val="24"/>
              </w:rPr>
              <w:t>19</w:t>
            </w:r>
            <w:r>
              <w:rPr>
                <w:rFonts w:ascii="Times New Roman" w:hAnsi="Times New Roman" w:eastAsia="宋体" w:cs="Times New Roman"/>
                <w:bCs/>
                <w:sz w:val="24"/>
              </w:rPr>
              <w:t>S kg</w:t>
            </w:r>
            <w:r>
              <w:rPr>
                <w:rFonts w:ascii="Times New Roman" w:hAnsi="宋体" w:eastAsia="宋体" w:cs="Times New Roman"/>
                <w:bCs/>
                <w:sz w:val="24"/>
              </w:rPr>
              <w:t>的</w:t>
            </w:r>
            <w:r>
              <w:rPr>
                <w:rFonts w:ascii="Times New Roman" w:hAnsi="Times New Roman" w:eastAsia="宋体" w:cs="Times New Roman"/>
                <w:sz w:val="24"/>
              </w:rPr>
              <w:t>SO</w:t>
            </w:r>
            <w:r>
              <w:rPr>
                <w:rFonts w:ascii="Times New Roman" w:hAnsi="Times New Roman" w:eastAsia="宋体" w:cs="Times New Roman"/>
                <w:sz w:val="24"/>
                <w:vertAlign w:val="subscript"/>
              </w:rPr>
              <w:t>2</w:t>
            </w:r>
            <w:r>
              <w:rPr>
                <w:rFonts w:hint="eastAsia" w:ascii="Times New Roman" w:hAnsi="宋体" w:eastAsia="宋体" w:cs="Times New Roman"/>
                <w:bCs/>
                <w:sz w:val="24"/>
              </w:rPr>
              <w:t>，本工序轻质柴油年用量为30t，有机热载体炉年运行时间1440h，</w:t>
            </w:r>
            <w:r>
              <w:rPr>
                <w:rFonts w:hint="eastAsia" w:ascii="Times New Roman" w:hAnsi="宋体" w:eastAsia="宋体" w:cs="Times New Roman"/>
                <w:bCs/>
                <w:color w:val="000000" w:themeColor="text1"/>
                <w:sz w:val="24"/>
                <w14:textFill>
                  <w14:solidFill>
                    <w14:schemeClr w14:val="tx1"/>
                  </w14:solidFill>
                </w14:textFill>
              </w:rPr>
              <w:t>则</w:t>
            </w:r>
            <w:r>
              <w:rPr>
                <w:rFonts w:ascii="Times New Roman" w:hAnsi="Times New Roman" w:eastAsia="宋体" w:cs="Times New Roman"/>
                <w:sz w:val="24"/>
              </w:rPr>
              <w:t>SO</w:t>
            </w:r>
            <w:r>
              <w:rPr>
                <w:rFonts w:ascii="Times New Roman" w:hAnsi="Times New Roman" w:eastAsia="宋体" w:cs="Times New Roman"/>
                <w:sz w:val="24"/>
                <w:vertAlign w:val="subscript"/>
              </w:rPr>
              <w:t>2</w:t>
            </w:r>
            <w:r>
              <w:rPr>
                <w:rFonts w:ascii="Times New Roman" w:hAnsi="宋体" w:eastAsia="宋体" w:cs="Times New Roman"/>
                <w:bCs/>
                <w:color w:val="000000" w:themeColor="text1"/>
                <w:sz w:val="24"/>
                <w14:textFill>
                  <w14:solidFill>
                    <w14:schemeClr w14:val="tx1"/>
                  </w14:solidFill>
                </w14:textFill>
              </w:rPr>
              <w:t>的</w:t>
            </w:r>
            <w:r>
              <w:rPr>
                <w:rFonts w:hint="eastAsia" w:ascii="Times New Roman" w:hAnsi="宋体" w:eastAsia="宋体" w:cs="Times New Roman"/>
                <w:bCs/>
                <w:color w:val="000000" w:themeColor="text1"/>
                <w:sz w:val="24"/>
                <w14:textFill>
                  <w14:solidFill>
                    <w14:schemeClr w14:val="tx1"/>
                  </w14:solidFill>
                </w14:textFill>
              </w:rPr>
              <w:t>产生</w:t>
            </w:r>
            <w:r>
              <w:rPr>
                <w:rFonts w:ascii="Times New Roman" w:hAnsi="宋体" w:eastAsia="宋体" w:cs="Times New Roman"/>
                <w:bCs/>
                <w:color w:val="000000" w:themeColor="text1"/>
                <w:sz w:val="24"/>
                <w14:textFill>
                  <w14:solidFill>
                    <w14:schemeClr w14:val="tx1"/>
                  </w14:solidFill>
                </w14:textFill>
              </w:rPr>
              <w:t>浓度为</w:t>
            </w:r>
            <w:r>
              <w:rPr>
                <w:rFonts w:hint="eastAsia" w:ascii="Times New Roman" w:hAnsi="宋体" w:eastAsia="宋体" w:cs="Times New Roman"/>
                <w:bCs/>
                <w:color w:val="000000" w:themeColor="text1"/>
                <w:sz w:val="24"/>
                <w14:textFill>
                  <w14:solidFill>
                    <w14:schemeClr w14:val="tx1"/>
                  </w14:solidFill>
                </w14:textFill>
              </w:rPr>
              <w:t>1.06</w:t>
            </w:r>
            <w:r>
              <w:rPr>
                <w:rFonts w:ascii="Times New Roman" w:hAnsi="Times New Roman" w:eastAsia="宋体" w:cs="Times New Roman"/>
                <w:bCs/>
                <w:color w:val="000000" w:themeColor="text1"/>
                <w:sz w:val="24"/>
                <w14:textFill>
                  <w14:solidFill>
                    <w14:schemeClr w14:val="tx1"/>
                  </w14:solidFill>
                </w14:textFill>
              </w:rPr>
              <w:t>mg/m</w:t>
            </w:r>
            <w:r>
              <w:rPr>
                <w:rFonts w:ascii="Times New Roman" w:hAnsi="Times New Roman" w:eastAsia="宋体" w:cs="Times New Roman"/>
                <w:bCs/>
                <w:color w:val="000000" w:themeColor="text1"/>
                <w:sz w:val="24"/>
                <w:vertAlign w:val="superscript"/>
                <w14:textFill>
                  <w14:solidFill>
                    <w14:schemeClr w14:val="tx1"/>
                  </w14:solidFill>
                </w14:textFill>
              </w:rPr>
              <w:t>3</w:t>
            </w:r>
            <w:r>
              <w:rPr>
                <w:rFonts w:ascii="Times New Roman" w:hAnsi="宋体" w:eastAsia="宋体" w:cs="Times New Roman"/>
                <w:bCs/>
                <w:color w:val="000000" w:themeColor="text1"/>
                <w:sz w:val="24"/>
                <w14:textFill>
                  <w14:solidFill>
                    <w14:schemeClr w14:val="tx1"/>
                  </w14:solidFill>
                </w14:textFill>
              </w:rPr>
              <w:t>，</w:t>
            </w:r>
            <w:r>
              <w:rPr>
                <w:rFonts w:hint="eastAsia" w:ascii="Times New Roman" w:hAnsi="宋体" w:eastAsia="宋体" w:cs="Times New Roman"/>
                <w:bCs/>
                <w:color w:val="000000" w:themeColor="text1"/>
                <w:sz w:val="24"/>
                <w14:textFill>
                  <w14:solidFill>
                    <w14:schemeClr w14:val="tx1"/>
                  </w14:solidFill>
                </w14:textFill>
              </w:rPr>
              <w:t>产生</w:t>
            </w:r>
            <w:r>
              <w:rPr>
                <w:rFonts w:ascii="Times New Roman" w:hAnsi="宋体" w:eastAsia="宋体" w:cs="Times New Roman"/>
                <w:bCs/>
                <w:color w:val="000000" w:themeColor="text1"/>
                <w:sz w:val="24"/>
                <w14:textFill>
                  <w14:solidFill>
                    <w14:schemeClr w14:val="tx1"/>
                  </w14:solidFill>
                </w14:textFill>
              </w:rPr>
              <w:t>速率为</w:t>
            </w:r>
            <w:r>
              <w:rPr>
                <w:rFonts w:hint="eastAsia" w:ascii="Times New Roman" w:hAnsi="宋体" w:eastAsia="宋体" w:cs="Times New Roman"/>
                <w:bCs/>
                <w:color w:val="000000" w:themeColor="text1"/>
                <w:sz w:val="24"/>
                <w14:textFill>
                  <w14:solidFill>
                    <w14:schemeClr w14:val="tx1"/>
                  </w14:solidFill>
                </w14:textFill>
              </w:rPr>
              <w:t>0.0004</w:t>
            </w:r>
            <w:r>
              <w:rPr>
                <w:rFonts w:ascii="Times New Roman" w:hAnsi="Times New Roman" w:eastAsia="宋体" w:cs="Times New Roman"/>
                <w:bCs/>
                <w:color w:val="000000" w:themeColor="text1"/>
                <w:sz w:val="24"/>
                <w14:textFill>
                  <w14:solidFill>
                    <w14:schemeClr w14:val="tx1"/>
                  </w14:solidFill>
                </w14:textFill>
              </w:rPr>
              <w:t>kg/h</w:t>
            </w:r>
            <w:r>
              <w:rPr>
                <w:rFonts w:ascii="Times New Roman" w:hAnsi="宋体" w:eastAsia="宋体" w:cs="Times New Roman"/>
                <w:bCs/>
                <w:color w:val="000000" w:themeColor="text1"/>
                <w:sz w:val="24"/>
                <w14:textFill>
                  <w14:solidFill>
                    <w14:schemeClr w14:val="tx1"/>
                  </w14:solidFill>
                </w14:textFill>
              </w:rPr>
              <w:t>，</w:t>
            </w:r>
            <w:r>
              <w:rPr>
                <w:rFonts w:ascii="Times New Roman" w:hAnsi="Times New Roman" w:eastAsia="宋体" w:cs="Times New Roman"/>
                <w:sz w:val="24"/>
              </w:rPr>
              <w:t>SO</w:t>
            </w:r>
            <w:r>
              <w:rPr>
                <w:rFonts w:ascii="Times New Roman" w:hAnsi="Times New Roman" w:eastAsia="宋体" w:cs="Times New Roman"/>
                <w:sz w:val="24"/>
                <w:vertAlign w:val="subscript"/>
              </w:rPr>
              <w:t>2</w:t>
            </w:r>
            <w:r>
              <w:rPr>
                <w:rFonts w:hint="eastAsia" w:ascii="Times New Roman" w:hAnsi="宋体" w:eastAsia="宋体" w:cs="Times New Roman"/>
                <w:bCs/>
                <w:color w:val="000000" w:themeColor="text1"/>
                <w:sz w:val="24"/>
                <w14:textFill>
                  <w14:solidFill>
                    <w14:schemeClr w14:val="tx1"/>
                  </w14:solidFill>
                </w14:textFill>
              </w:rPr>
              <w:t>产生</w:t>
            </w:r>
            <w:r>
              <w:rPr>
                <w:rFonts w:ascii="Times New Roman" w:hAnsi="宋体" w:eastAsia="宋体" w:cs="Times New Roman"/>
                <w:bCs/>
                <w:color w:val="000000" w:themeColor="text1"/>
                <w:sz w:val="24"/>
                <w14:textFill>
                  <w14:solidFill>
                    <w14:schemeClr w14:val="tx1"/>
                  </w14:solidFill>
                </w14:textFill>
              </w:rPr>
              <w:t>量为</w:t>
            </w:r>
            <w:r>
              <w:rPr>
                <w:rFonts w:hint="eastAsia" w:ascii="Times New Roman" w:hAnsi="宋体" w:eastAsia="宋体" w:cs="Times New Roman"/>
                <w:bCs/>
                <w:color w:val="000000" w:themeColor="text1"/>
                <w:sz w:val="24"/>
                <w14:textFill>
                  <w14:solidFill>
                    <w14:schemeClr w14:val="tx1"/>
                  </w14:solidFill>
                </w14:textFill>
              </w:rPr>
              <w:t>0.00057</w:t>
            </w:r>
            <w:r>
              <w:rPr>
                <w:rFonts w:ascii="Times New Roman" w:hAnsi="Times New Roman" w:eastAsia="宋体" w:cs="Times New Roman"/>
                <w:bCs/>
                <w:color w:val="000000" w:themeColor="text1"/>
                <w:sz w:val="24"/>
                <w14:textFill>
                  <w14:solidFill>
                    <w14:schemeClr w14:val="tx1"/>
                  </w14:solidFill>
                </w14:textFill>
              </w:rPr>
              <w:t>t/a</w:t>
            </w:r>
            <w:r>
              <w:rPr>
                <w:rFonts w:ascii="Times New Roman" w:hAnsi="宋体" w:eastAsia="宋体" w:cs="Times New Roman"/>
                <w:bCs/>
                <w:color w:val="000000" w:themeColor="text1"/>
                <w:sz w:val="24"/>
                <w14:textFill>
                  <w14:solidFill>
                    <w14:schemeClr w14:val="tx1"/>
                  </w14:solidFill>
                </w14:textFill>
              </w:rPr>
              <w:t>。</w:t>
            </w:r>
          </w:p>
          <w:p w14:paraId="7D7B2CF9">
            <w:pPr>
              <w:wordWrap w:val="0"/>
              <w:topLinePunct/>
              <w:spacing w:line="360" w:lineRule="auto"/>
              <w:ind w:firstLine="482"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
                <w:bCs/>
                <w:sz w:val="24"/>
              </w:rPr>
              <w:t>NO</w:t>
            </w:r>
            <w:r>
              <w:rPr>
                <w:rFonts w:ascii="Times New Roman" w:hAnsi="Times New Roman" w:eastAsia="宋体" w:cs="Times New Roman"/>
                <w:b/>
                <w:bCs/>
                <w:sz w:val="24"/>
                <w:vertAlign w:val="subscript"/>
              </w:rPr>
              <w:t>x</w:t>
            </w:r>
            <w:r>
              <w:rPr>
                <w:rFonts w:ascii="Times New Roman" w:hAnsi="宋体" w:eastAsia="宋体" w:cs="Times New Roman"/>
                <w:b/>
                <w:bCs/>
                <w:sz w:val="24"/>
              </w:rPr>
              <w:t>：</w:t>
            </w:r>
            <w:r>
              <w:rPr>
                <w:rFonts w:hint="eastAsia" w:ascii="Times New Roman" w:hAnsi="宋体" w:eastAsia="宋体" w:cs="Times New Roman"/>
                <w:sz w:val="24"/>
              </w:rPr>
              <w:t>根据《4430工业锅炉（热力供应）行业系数手册》燃油工业锅炉产污系数</w:t>
            </w:r>
            <w:r>
              <w:rPr>
                <w:rFonts w:ascii="Times New Roman" w:hAnsi="宋体" w:eastAsia="宋体" w:cs="Times New Roman"/>
                <w:bCs/>
                <w:sz w:val="24"/>
              </w:rPr>
              <w:t>，燃烧</w:t>
            </w:r>
            <w:r>
              <w:rPr>
                <w:rFonts w:ascii="Times New Roman" w:hAnsi="Times New Roman" w:eastAsia="宋体" w:cs="Times New Roman"/>
                <w:bCs/>
                <w:sz w:val="24"/>
              </w:rPr>
              <w:t>1</w:t>
            </w:r>
            <w:r>
              <w:rPr>
                <w:rFonts w:hint="eastAsia" w:ascii="Times New Roman" w:hAnsi="宋体" w:eastAsia="宋体" w:cs="Times New Roman"/>
                <w:bCs/>
                <w:sz w:val="24"/>
              </w:rPr>
              <w:t>t柴油产生</w:t>
            </w:r>
            <w:r>
              <w:rPr>
                <w:rFonts w:hint="eastAsia" w:ascii="Times New Roman" w:hAnsi="Times New Roman" w:eastAsia="宋体" w:cs="Times New Roman"/>
                <w:bCs/>
                <w:sz w:val="24"/>
              </w:rPr>
              <w:t>3.03</w:t>
            </w:r>
            <w:r>
              <w:rPr>
                <w:rFonts w:ascii="Times New Roman" w:hAnsi="Times New Roman" w:eastAsia="宋体" w:cs="Times New Roman"/>
                <w:bCs/>
                <w:sz w:val="24"/>
              </w:rPr>
              <w:t>kg</w:t>
            </w:r>
            <w:r>
              <w:rPr>
                <w:rFonts w:ascii="Times New Roman" w:hAnsi="宋体" w:eastAsia="宋体" w:cs="Times New Roman"/>
                <w:bCs/>
                <w:sz w:val="24"/>
              </w:rPr>
              <w:t>的</w:t>
            </w:r>
            <w:r>
              <w:rPr>
                <w:rFonts w:ascii="Times New Roman" w:hAnsi="Times New Roman" w:eastAsia="宋体" w:cs="Times New Roman"/>
                <w:sz w:val="24"/>
              </w:rPr>
              <w:t>NO</w:t>
            </w:r>
            <w:r>
              <w:rPr>
                <w:rFonts w:ascii="Times New Roman" w:hAnsi="Times New Roman" w:eastAsia="宋体" w:cs="Times New Roman"/>
                <w:sz w:val="24"/>
                <w:vertAlign w:val="subscript"/>
              </w:rPr>
              <w:t>x</w:t>
            </w:r>
            <w:r>
              <w:rPr>
                <w:rFonts w:hint="eastAsia" w:ascii="Times New Roman" w:hAnsi="宋体" w:eastAsia="宋体" w:cs="Times New Roman"/>
                <w:bCs/>
                <w:sz w:val="24"/>
              </w:rPr>
              <w:t>，本工序轻质柴油年用量为30t，有机热载体炉年运行时间1440h，</w:t>
            </w:r>
            <w:r>
              <w:rPr>
                <w:rFonts w:hint="eastAsia" w:ascii="Times New Roman" w:hAnsi="宋体" w:eastAsia="宋体" w:cs="Times New Roman"/>
                <w:bCs/>
                <w:color w:val="000000" w:themeColor="text1"/>
                <w:sz w:val="24"/>
                <w14:textFill>
                  <w14:solidFill>
                    <w14:schemeClr w14:val="tx1"/>
                  </w14:solidFill>
                </w14:textFill>
              </w:rPr>
              <w:t>则</w:t>
            </w:r>
            <w:r>
              <w:rPr>
                <w:rFonts w:ascii="Times New Roman" w:hAnsi="Times New Roman" w:eastAsia="宋体" w:cs="Times New Roman"/>
                <w:sz w:val="24"/>
              </w:rPr>
              <w:t>NO</w:t>
            </w:r>
            <w:r>
              <w:rPr>
                <w:rFonts w:ascii="Times New Roman" w:hAnsi="Times New Roman" w:eastAsia="宋体" w:cs="Times New Roman"/>
                <w:sz w:val="24"/>
                <w:vertAlign w:val="subscript"/>
              </w:rPr>
              <w:t>x</w:t>
            </w:r>
            <w:r>
              <w:rPr>
                <w:rFonts w:ascii="Times New Roman" w:hAnsi="宋体" w:eastAsia="宋体" w:cs="Times New Roman"/>
                <w:bCs/>
                <w:color w:val="000000" w:themeColor="text1"/>
                <w:sz w:val="24"/>
                <w14:textFill>
                  <w14:solidFill>
                    <w14:schemeClr w14:val="tx1"/>
                  </w14:solidFill>
                </w14:textFill>
              </w:rPr>
              <w:t>的</w:t>
            </w:r>
            <w:r>
              <w:rPr>
                <w:rFonts w:hint="eastAsia" w:ascii="Times New Roman" w:hAnsi="宋体" w:eastAsia="宋体" w:cs="Times New Roman"/>
                <w:bCs/>
                <w:color w:val="000000" w:themeColor="text1"/>
                <w:sz w:val="24"/>
                <w14:textFill>
                  <w14:solidFill>
                    <w14:schemeClr w14:val="tx1"/>
                  </w14:solidFill>
                </w14:textFill>
              </w:rPr>
              <w:t>产生</w:t>
            </w:r>
            <w:r>
              <w:rPr>
                <w:rFonts w:ascii="Times New Roman" w:hAnsi="宋体" w:eastAsia="宋体" w:cs="Times New Roman"/>
                <w:bCs/>
                <w:color w:val="000000" w:themeColor="text1"/>
                <w:sz w:val="24"/>
                <w14:textFill>
                  <w14:solidFill>
                    <w14:schemeClr w14:val="tx1"/>
                  </w14:solidFill>
                </w14:textFill>
              </w:rPr>
              <w:t>浓度为</w:t>
            </w:r>
            <w:r>
              <w:rPr>
                <w:rFonts w:hint="eastAsia" w:ascii="Times New Roman" w:hAnsi="宋体" w:eastAsia="宋体" w:cs="Times New Roman"/>
                <w:bCs/>
                <w:color w:val="000000" w:themeColor="text1"/>
                <w:sz w:val="24"/>
                <w14:textFill>
                  <w14:solidFill>
                    <w14:schemeClr w14:val="tx1"/>
                  </w14:solidFill>
                </w14:textFill>
              </w:rPr>
              <w:t>168.5</w:t>
            </w:r>
            <w:r>
              <w:rPr>
                <w:rFonts w:ascii="Times New Roman" w:hAnsi="Times New Roman" w:eastAsia="宋体" w:cs="Times New Roman"/>
                <w:bCs/>
                <w:color w:val="000000" w:themeColor="text1"/>
                <w:sz w:val="24"/>
                <w14:textFill>
                  <w14:solidFill>
                    <w14:schemeClr w14:val="tx1"/>
                  </w14:solidFill>
                </w14:textFill>
              </w:rPr>
              <w:t>mg/m</w:t>
            </w:r>
            <w:r>
              <w:rPr>
                <w:rFonts w:ascii="Times New Roman" w:hAnsi="Times New Roman" w:eastAsia="宋体" w:cs="Times New Roman"/>
                <w:bCs/>
                <w:color w:val="000000" w:themeColor="text1"/>
                <w:sz w:val="24"/>
                <w:vertAlign w:val="superscript"/>
                <w14:textFill>
                  <w14:solidFill>
                    <w14:schemeClr w14:val="tx1"/>
                  </w14:solidFill>
                </w14:textFill>
              </w:rPr>
              <w:t>3</w:t>
            </w:r>
            <w:r>
              <w:rPr>
                <w:rFonts w:ascii="Times New Roman" w:hAnsi="宋体" w:eastAsia="宋体" w:cs="Times New Roman"/>
                <w:bCs/>
                <w:color w:val="000000" w:themeColor="text1"/>
                <w:sz w:val="24"/>
                <w14:textFill>
                  <w14:solidFill>
                    <w14:schemeClr w14:val="tx1"/>
                  </w14:solidFill>
                </w14:textFill>
              </w:rPr>
              <w:t>，</w:t>
            </w:r>
            <w:r>
              <w:rPr>
                <w:rFonts w:hint="eastAsia" w:ascii="Times New Roman" w:hAnsi="宋体" w:eastAsia="宋体" w:cs="Times New Roman"/>
                <w:bCs/>
                <w:color w:val="000000" w:themeColor="text1"/>
                <w:sz w:val="24"/>
                <w14:textFill>
                  <w14:solidFill>
                    <w14:schemeClr w14:val="tx1"/>
                  </w14:solidFill>
                </w14:textFill>
              </w:rPr>
              <w:t>产生</w:t>
            </w:r>
            <w:r>
              <w:rPr>
                <w:rFonts w:ascii="Times New Roman" w:hAnsi="宋体" w:eastAsia="宋体" w:cs="Times New Roman"/>
                <w:bCs/>
                <w:color w:val="000000" w:themeColor="text1"/>
                <w:sz w:val="24"/>
                <w14:textFill>
                  <w14:solidFill>
                    <w14:schemeClr w14:val="tx1"/>
                  </w14:solidFill>
                </w14:textFill>
              </w:rPr>
              <w:t>速率为</w:t>
            </w:r>
            <w:r>
              <w:rPr>
                <w:rFonts w:hint="eastAsia" w:ascii="Times New Roman" w:hAnsi="宋体" w:eastAsia="宋体" w:cs="Times New Roman"/>
                <w:bCs/>
                <w:color w:val="000000" w:themeColor="text1"/>
                <w:sz w:val="24"/>
                <w14:textFill>
                  <w14:solidFill>
                    <w14:schemeClr w14:val="tx1"/>
                  </w14:solidFill>
                </w14:textFill>
              </w:rPr>
              <w:t>0.063</w:t>
            </w:r>
            <w:r>
              <w:rPr>
                <w:rFonts w:ascii="Times New Roman" w:hAnsi="Times New Roman" w:eastAsia="宋体" w:cs="Times New Roman"/>
                <w:bCs/>
                <w:color w:val="000000" w:themeColor="text1"/>
                <w:sz w:val="24"/>
                <w14:textFill>
                  <w14:solidFill>
                    <w14:schemeClr w14:val="tx1"/>
                  </w14:solidFill>
                </w14:textFill>
              </w:rPr>
              <w:t>kg/h</w:t>
            </w:r>
            <w:r>
              <w:rPr>
                <w:rFonts w:ascii="Times New Roman" w:hAnsi="宋体" w:eastAsia="宋体" w:cs="Times New Roman"/>
                <w:bCs/>
                <w:color w:val="000000" w:themeColor="text1"/>
                <w:sz w:val="24"/>
                <w14:textFill>
                  <w14:solidFill>
                    <w14:schemeClr w14:val="tx1"/>
                  </w14:solidFill>
                </w14:textFill>
              </w:rPr>
              <w:t>，</w:t>
            </w:r>
            <w:r>
              <w:rPr>
                <w:rFonts w:ascii="Times New Roman" w:hAnsi="Times New Roman" w:eastAsia="宋体" w:cs="Times New Roman"/>
                <w:sz w:val="24"/>
              </w:rPr>
              <w:t>NO</w:t>
            </w:r>
            <w:r>
              <w:rPr>
                <w:rFonts w:ascii="Times New Roman" w:hAnsi="Times New Roman" w:eastAsia="宋体" w:cs="Times New Roman"/>
                <w:sz w:val="24"/>
                <w:vertAlign w:val="subscript"/>
              </w:rPr>
              <w:t>x</w:t>
            </w:r>
            <w:r>
              <w:rPr>
                <w:rFonts w:hint="eastAsia" w:ascii="Times New Roman" w:hAnsi="宋体" w:eastAsia="宋体" w:cs="Times New Roman"/>
                <w:bCs/>
                <w:color w:val="000000" w:themeColor="text1"/>
                <w:sz w:val="24"/>
                <w14:textFill>
                  <w14:solidFill>
                    <w14:schemeClr w14:val="tx1"/>
                  </w14:solidFill>
                </w14:textFill>
              </w:rPr>
              <w:t>产生</w:t>
            </w:r>
            <w:r>
              <w:rPr>
                <w:rFonts w:ascii="Times New Roman" w:hAnsi="宋体" w:eastAsia="宋体" w:cs="Times New Roman"/>
                <w:bCs/>
                <w:color w:val="000000" w:themeColor="text1"/>
                <w:sz w:val="24"/>
                <w14:textFill>
                  <w14:solidFill>
                    <w14:schemeClr w14:val="tx1"/>
                  </w14:solidFill>
                </w14:textFill>
              </w:rPr>
              <w:t>量为</w:t>
            </w:r>
            <w:r>
              <w:rPr>
                <w:rFonts w:hint="eastAsia" w:ascii="Times New Roman" w:hAnsi="宋体" w:eastAsia="宋体" w:cs="Times New Roman"/>
                <w:bCs/>
                <w:color w:val="000000" w:themeColor="text1"/>
                <w:sz w:val="24"/>
                <w14:textFill>
                  <w14:solidFill>
                    <w14:schemeClr w14:val="tx1"/>
                  </w14:solidFill>
                </w14:textFill>
              </w:rPr>
              <w:t>：0.09</w:t>
            </w:r>
            <w:r>
              <w:rPr>
                <w:rFonts w:ascii="Times New Roman" w:hAnsi="Times New Roman" w:eastAsia="宋体" w:cs="Times New Roman"/>
                <w:bCs/>
                <w:color w:val="000000" w:themeColor="text1"/>
                <w:sz w:val="24"/>
                <w14:textFill>
                  <w14:solidFill>
                    <w14:schemeClr w14:val="tx1"/>
                  </w14:solidFill>
                </w14:textFill>
              </w:rPr>
              <w:t>t/a</w:t>
            </w:r>
            <w:r>
              <w:rPr>
                <w:rFonts w:ascii="Times New Roman" w:hAnsi="宋体" w:eastAsia="宋体" w:cs="Times New Roman"/>
                <w:bCs/>
                <w:color w:val="000000" w:themeColor="text1"/>
                <w:sz w:val="24"/>
                <w14:textFill>
                  <w14:solidFill>
                    <w14:schemeClr w14:val="tx1"/>
                  </w14:solidFill>
                </w14:textFill>
              </w:rPr>
              <w:t>。</w:t>
            </w:r>
          </w:p>
          <w:p w14:paraId="79795918">
            <w:pPr>
              <w:wordWrap w:val="0"/>
              <w:topLinePunct/>
              <w:spacing w:line="360" w:lineRule="auto"/>
              <w:ind w:firstLine="482" w:firstLineChars="200"/>
              <w:rPr>
                <w:rFonts w:hint="eastAsia" w:ascii="Times New Roman" w:hAnsi="宋体" w:eastAsia="宋体" w:cs="Times New Roman"/>
                <w:sz w:val="24"/>
              </w:rPr>
            </w:pPr>
            <w:r>
              <w:rPr>
                <w:rFonts w:hint="eastAsia" w:ascii="Times New Roman" w:hAnsi="宋体" w:eastAsia="宋体" w:cs="Times New Roman"/>
                <w:b/>
                <w:bCs/>
                <w:sz w:val="24"/>
              </w:rPr>
              <w:t>拟采取治理措施：</w:t>
            </w:r>
            <w:r>
              <w:rPr>
                <w:rFonts w:hint="eastAsia" w:ascii="Times New Roman" w:hAnsi="宋体" w:eastAsia="宋体" w:cs="Times New Roman"/>
                <w:color w:val="FF0000"/>
                <w:sz w:val="24"/>
              </w:rPr>
              <w:t>安装低氮燃烧器，</w:t>
            </w:r>
            <w:r>
              <w:rPr>
                <w:rFonts w:hint="eastAsia" w:ascii="Times New Roman" w:hAnsi="宋体" w:eastAsia="宋体" w:cs="Times New Roman"/>
                <w:sz w:val="24"/>
              </w:rPr>
              <w:t>废气通过一根</w:t>
            </w:r>
            <w:r>
              <w:rPr>
                <w:rFonts w:hint="eastAsia" w:ascii="Times New Roman" w:hAnsi="宋体" w:eastAsia="宋体" w:cs="Times New Roman"/>
                <w:color w:val="FF0000"/>
                <w:sz w:val="24"/>
                <w:highlight w:val="yellow"/>
              </w:rPr>
              <w:t>15m高排</w:t>
            </w:r>
            <w:r>
              <w:rPr>
                <w:rFonts w:hint="eastAsia" w:ascii="Times New Roman" w:hAnsi="宋体" w:eastAsia="宋体" w:cs="Times New Roman"/>
                <w:sz w:val="24"/>
              </w:rPr>
              <w:t>气筒排放。</w:t>
            </w:r>
          </w:p>
          <w:p w14:paraId="3F5BEBAC">
            <w:pPr>
              <w:keepNext/>
              <w:keepLines/>
              <w:pageBreakBefore/>
              <w:widowControl/>
              <w:wordWrap w:val="0"/>
              <w:topLinePunct/>
              <w:spacing w:line="360" w:lineRule="auto"/>
              <w:ind w:firstLine="482" w:firstLineChars="200"/>
              <w:rPr>
                <w:rFonts w:ascii="Times New Roman" w:hAnsi="Times New Roman" w:eastAsia="宋体" w:cs="Times New Roman"/>
                <w:color w:val="000000"/>
                <w:sz w:val="24"/>
              </w:rPr>
            </w:pPr>
            <w:r>
              <w:rPr>
                <w:rFonts w:ascii="Times New Roman" w:hAnsi="Times New Roman" w:eastAsia="宋体" w:cs="Times New Roman"/>
                <w:b/>
                <w:bCs/>
                <w:color w:val="000000"/>
                <w:sz w:val="24"/>
              </w:rPr>
              <w:t>排放情况：</w:t>
            </w:r>
            <w:r>
              <w:rPr>
                <w:rFonts w:ascii="Times New Roman" w:hAnsi="Times New Roman" w:eastAsia="宋体" w:cs="Times New Roman"/>
                <w:color w:val="000000"/>
                <w:sz w:val="24"/>
              </w:rPr>
              <w:t>本项</w:t>
            </w:r>
            <w:r>
              <w:rPr>
                <w:rFonts w:ascii="Times New Roman" w:hAnsi="Times New Roman" w:eastAsia="宋体" w:cs="Times New Roman"/>
                <w:sz w:val="24"/>
              </w:rPr>
              <w:t>目</w:t>
            </w:r>
            <w:r>
              <w:rPr>
                <w:rFonts w:hint="eastAsia" w:ascii="Times New Roman" w:hAnsi="宋体" w:eastAsia="宋体" w:cs="Times New Roman"/>
                <w:bCs/>
                <w:sz w:val="24"/>
              </w:rPr>
              <w:t>有机热载体炉</w:t>
            </w:r>
            <w:r>
              <w:rPr>
                <w:rFonts w:hint="eastAsia" w:ascii="Times New Roman" w:hAnsi="Times New Roman" w:eastAsia="宋体" w:cs="Times New Roman"/>
                <w:sz w:val="24"/>
              </w:rPr>
              <w:t>废气</w:t>
            </w:r>
            <w:r>
              <w:rPr>
                <w:rFonts w:ascii="Times New Roman" w:hAnsi="Times New Roman" w:eastAsia="宋体" w:cs="Times New Roman"/>
                <w:sz w:val="24"/>
              </w:rPr>
              <w:t>产生</w:t>
            </w:r>
            <w:r>
              <w:rPr>
                <w:rFonts w:ascii="Times New Roman" w:hAnsi="Times New Roman" w:eastAsia="宋体" w:cs="Times New Roman"/>
                <w:color w:val="000000"/>
                <w:sz w:val="24"/>
              </w:rPr>
              <w:t>、治理及排放情况见下表。</w:t>
            </w:r>
          </w:p>
          <w:p w14:paraId="446D0C5C">
            <w:pPr>
              <w:spacing w:line="360" w:lineRule="auto"/>
              <w:jc w:val="center"/>
              <w:rPr>
                <w:rFonts w:ascii="Times New Roman" w:hAnsi="Times New Roman" w:eastAsia="宋体" w:cs="Times New Roman"/>
                <w:b/>
                <w:bCs/>
                <w:snapToGrid w:val="0"/>
                <w:color w:val="FF0000"/>
                <w:kern w:val="0"/>
                <w:sz w:val="24"/>
              </w:rPr>
            </w:pPr>
            <w:r>
              <w:rPr>
                <w:rFonts w:hint="eastAsia" w:ascii="Times New Roman" w:hAnsi="Times New Roman" w:eastAsia="宋体" w:cs="Times New Roman"/>
                <w:b/>
                <w:bCs/>
                <w:snapToGrid w:val="0"/>
                <w:color w:val="000000" w:themeColor="text1"/>
                <w:kern w:val="0"/>
                <w:sz w:val="24"/>
                <w14:textFill>
                  <w14:solidFill>
                    <w14:schemeClr w14:val="tx1"/>
                  </w14:solidFill>
                </w14:textFill>
              </w:rPr>
              <w:t>表4-19  有机热载体炉废气产排情况一览表</w:t>
            </w:r>
          </w:p>
          <w:tbl>
            <w:tblPr>
              <w:tblStyle w:val="28"/>
              <w:tblW w:w="8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313"/>
              <w:gridCol w:w="411"/>
              <w:gridCol w:w="816"/>
              <w:gridCol w:w="655"/>
              <w:gridCol w:w="480"/>
              <w:gridCol w:w="646"/>
              <w:gridCol w:w="652"/>
              <w:gridCol w:w="1352"/>
              <w:gridCol w:w="594"/>
              <w:gridCol w:w="607"/>
              <w:gridCol w:w="677"/>
              <w:gridCol w:w="662"/>
              <w:gridCol w:w="268"/>
            </w:tblGrid>
            <w:tr w14:paraId="2870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9" w:hRule="atLeast"/>
                <w:jc w:val="center"/>
              </w:trPr>
              <w:tc>
                <w:tcPr>
                  <w:tcW w:w="192" w:type="pct"/>
                  <w:vMerge w:val="restart"/>
                  <w:tcBorders>
                    <w:tl2br w:val="nil"/>
                    <w:tr2bl w:val="nil"/>
                  </w:tcBorders>
                  <w:vAlign w:val="center"/>
                </w:tcPr>
                <w:p w14:paraId="26800E53">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序号</w:t>
                  </w:r>
                </w:p>
              </w:tc>
              <w:tc>
                <w:tcPr>
                  <w:tcW w:w="252" w:type="pct"/>
                  <w:vMerge w:val="restart"/>
                  <w:tcBorders>
                    <w:tl2br w:val="nil"/>
                    <w:tr2bl w:val="nil"/>
                  </w:tcBorders>
                  <w:vAlign w:val="center"/>
                </w:tcPr>
                <w:p w14:paraId="19B24505">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污染源</w:t>
                  </w:r>
                </w:p>
              </w:tc>
              <w:tc>
                <w:tcPr>
                  <w:tcW w:w="501" w:type="pct"/>
                  <w:vMerge w:val="restart"/>
                  <w:tcBorders>
                    <w:tl2br w:val="nil"/>
                    <w:tr2bl w:val="nil"/>
                  </w:tcBorders>
                  <w:vAlign w:val="center"/>
                </w:tcPr>
                <w:p w14:paraId="670E9380">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废气量</w:t>
                  </w:r>
                  <w:r>
                    <w:rPr>
                      <w:rFonts w:ascii="Times New Roman" w:hAnsi="Times New Roman" w:eastAsia="宋体" w:cs="Times New Roman"/>
                      <w:b/>
                      <w:bCs/>
                      <w:szCs w:val="21"/>
                    </w:rPr>
                    <w:t>(m</w:t>
                  </w:r>
                  <w:r>
                    <w:rPr>
                      <w:rFonts w:ascii="Times New Roman" w:hAnsi="Times New Roman" w:eastAsia="宋体" w:cs="Times New Roman"/>
                      <w:b/>
                      <w:bCs/>
                      <w:szCs w:val="21"/>
                      <w:vertAlign w:val="superscript"/>
                    </w:rPr>
                    <w:t>3</w:t>
                  </w:r>
                  <w:r>
                    <w:rPr>
                      <w:rFonts w:ascii="Times New Roman" w:hAnsi="Times New Roman" w:eastAsia="宋体" w:cs="Times New Roman"/>
                      <w:b/>
                      <w:bCs/>
                      <w:szCs w:val="21"/>
                    </w:rPr>
                    <w:t>/</w:t>
                  </w:r>
                  <w:r>
                    <w:rPr>
                      <w:rFonts w:hint="eastAsia" w:ascii="Times New Roman" w:hAnsi="Times New Roman" w:eastAsia="宋体" w:cs="Times New Roman"/>
                      <w:b/>
                      <w:bCs/>
                      <w:szCs w:val="21"/>
                    </w:rPr>
                    <w:t>m</w:t>
                  </w:r>
                  <w:r>
                    <w:rPr>
                      <w:rFonts w:hint="eastAsia" w:ascii="Times New Roman" w:hAnsi="Times New Roman" w:eastAsia="宋体" w:cs="Times New Roman"/>
                      <w:b/>
                      <w:bCs/>
                      <w:szCs w:val="21"/>
                      <w:vertAlign w:val="superscript"/>
                    </w:rPr>
                    <w:t>3</w:t>
                  </w:r>
                  <w:r>
                    <w:rPr>
                      <w:rFonts w:ascii="Times New Roman" w:hAnsi="Times New Roman" w:eastAsia="宋体" w:cs="Times New Roman"/>
                      <w:b/>
                      <w:bCs/>
                      <w:szCs w:val="21"/>
                    </w:rPr>
                    <w:t>)</w:t>
                  </w:r>
                </w:p>
              </w:tc>
              <w:tc>
                <w:tcPr>
                  <w:tcW w:w="402" w:type="pct"/>
                  <w:vMerge w:val="restart"/>
                  <w:tcBorders>
                    <w:tl2br w:val="nil"/>
                    <w:tr2bl w:val="nil"/>
                  </w:tcBorders>
                  <w:vAlign w:val="center"/>
                </w:tcPr>
                <w:p w14:paraId="353D88AA">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污染因子</w:t>
                  </w:r>
                </w:p>
              </w:tc>
              <w:tc>
                <w:tcPr>
                  <w:tcW w:w="1093" w:type="pct"/>
                  <w:gridSpan w:val="3"/>
                  <w:tcBorders>
                    <w:tl2br w:val="nil"/>
                    <w:tr2bl w:val="nil"/>
                  </w:tcBorders>
                  <w:vAlign w:val="center"/>
                </w:tcPr>
                <w:p w14:paraId="14B0C291">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产生情况</w:t>
                  </w:r>
                </w:p>
              </w:tc>
              <w:tc>
                <w:tcPr>
                  <w:tcW w:w="831" w:type="pct"/>
                  <w:vMerge w:val="restart"/>
                  <w:tcBorders>
                    <w:tl2br w:val="nil"/>
                    <w:tr2bl w:val="nil"/>
                  </w:tcBorders>
                  <w:vAlign w:val="center"/>
                </w:tcPr>
                <w:p w14:paraId="5C25023A">
                  <w:pPr>
                    <w:adjustRightInd w:val="0"/>
                    <w:spacing w:line="240" w:lineRule="exact"/>
                    <w:jc w:val="center"/>
                    <w:textAlignment w:val="baseline"/>
                    <w:rPr>
                      <w:rFonts w:hint="eastAsia" w:ascii="Times New Roman" w:hAnsi="宋体" w:eastAsia="宋体" w:cs="Times New Roman"/>
                      <w:b/>
                      <w:bCs/>
                      <w:szCs w:val="21"/>
                    </w:rPr>
                  </w:pPr>
                  <w:r>
                    <w:rPr>
                      <w:rFonts w:ascii="Times New Roman" w:hAnsi="宋体" w:eastAsia="宋体" w:cs="Times New Roman"/>
                      <w:b/>
                      <w:bCs/>
                      <w:szCs w:val="21"/>
                    </w:rPr>
                    <w:t>治理</w:t>
                  </w:r>
                </w:p>
                <w:p w14:paraId="12D344D6">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措施</w:t>
                  </w:r>
                </w:p>
              </w:tc>
              <w:tc>
                <w:tcPr>
                  <w:tcW w:w="1154" w:type="pct"/>
                  <w:gridSpan w:val="3"/>
                  <w:tcBorders>
                    <w:tl2br w:val="nil"/>
                    <w:tr2bl w:val="nil"/>
                  </w:tcBorders>
                  <w:vAlign w:val="center"/>
                </w:tcPr>
                <w:p w14:paraId="4E049072">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排放情况</w:t>
                  </w:r>
                </w:p>
              </w:tc>
              <w:tc>
                <w:tcPr>
                  <w:tcW w:w="407" w:type="pct"/>
                  <w:vMerge w:val="restart"/>
                  <w:tcBorders>
                    <w:tl2br w:val="nil"/>
                    <w:tr2bl w:val="nil"/>
                  </w:tcBorders>
                  <w:vAlign w:val="center"/>
                </w:tcPr>
                <w:p w14:paraId="202642ED">
                  <w:pPr>
                    <w:adjustRightInd w:val="0"/>
                    <w:spacing w:line="240" w:lineRule="exact"/>
                    <w:jc w:val="center"/>
                    <w:textAlignment w:val="baseline"/>
                    <w:rPr>
                      <w:rFonts w:hint="eastAsia" w:ascii="Times New Roman" w:hAnsi="宋体" w:eastAsia="宋体" w:cs="Times New Roman"/>
                      <w:b/>
                      <w:bCs/>
                      <w:szCs w:val="21"/>
                    </w:rPr>
                  </w:pPr>
                  <w:r>
                    <w:rPr>
                      <w:rFonts w:ascii="Times New Roman" w:hAnsi="宋体" w:eastAsia="宋体" w:cs="Times New Roman"/>
                      <w:b/>
                      <w:bCs/>
                      <w:szCs w:val="21"/>
                    </w:rPr>
                    <w:t>执行</w:t>
                  </w:r>
                </w:p>
                <w:p w14:paraId="76E24BF2">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标准</w:t>
                  </w:r>
                </w:p>
                <w:p w14:paraId="6288788D">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mg/m</w:t>
                  </w:r>
                  <w:r>
                    <w:rPr>
                      <w:rFonts w:ascii="Times New Roman" w:hAnsi="Times New Roman" w:eastAsia="宋体" w:cs="Times New Roman"/>
                      <w:b/>
                      <w:bCs/>
                      <w:szCs w:val="21"/>
                      <w:vertAlign w:val="superscript"/>
                    </w:rPr>
                    <w:t>3</w:t>
                  </w:r>
                </w:p>
              </w:tc>
              <w:tc>
                <w:tcPr>
                  <w:tcW w:w="165" w:type="pct"/>
                  <w:vMerge w:val="restart"/>
                  <w:tcBorders>
                    <w:tl2br w:val="nil"/>
                    <w:tr2bl w:val="nil"/>
                  </w:tcBorders>
                  <w:vAlign w:val="center"/>
                </w:tcPr>
                <w:p w14:paraId="288599F5">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达标分析</w:t>
                  </w:r>
                </w:p>
              </w:tc>
            </w:tr>
            <w:tr w14:paraId="21208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92" w:type="pct"/>
                  <w:vMerge w:val="continue"/>
                  <w:tcBorders>
                    <w:tl2br w:val="nil"/>
                    <w:tr2bl w:val="nil"/>
                  </w:tcBorders>
                  <w:vAlign w:val="center"/>
                </w:tcPr>
                <w:p w14:paraId="6E85E260">
                  <w:pPr>
                    <w:adjustRightInd w:val="0"/>
                    <w:spacing w:line="240" w:lineRule="exact"/>
                    <w:jc w:val="center"/>
                    <w:textAlignment w:val="baseline"/>
                    <w:rPr>
                      <w:rFonts w:ascii="Times New Roman" w:hAnsi="Times New Roman" w:eastAsia="宋体" w:cs="Times New Roman"/>
                      <w:szCs w:val="21"/>
                    </w:rPr>
                  </w:pPr>
                </w:p>
              </w:tc>
              <w:tc>
                <w:tcPr>
                  <w:tcW w:w="252" w:type="pct"/>
                  <w:vMerge w:val="continue"/>
                  <w:tcBorders>
                    <w:tl2br w:val="nil"/>
                    <w:tr2bl w:val="nil"/>
                  </w:tcBorders>
                  <w:vAlign w:val="center"/>
                </w:tcPr>
                <w:p w14:paraId="214A6D92">
                  <w:pPr>
                    <w:adjustRightInd w:val="0"/>
                    <w:spacing w:line="240" w:lineRule="exact"/>
                    <w:jc w:val="center"/>
                    <w:textAlignment w:val="baseline"/>
                    <w:rPr>
                      <w:rFonts w:ascii="Times New Roman" w:hAnsi="Times New Roman" w:eastAsia="宋体" w:cs="Times New Roman"/>
                      <w:szCs w:val="21"/>
                    </w:rPr>
                  </w:pPr>
                </w:p>
              </w:tc>
              <w:tc>
                <w:tcPr>
                  <w:tcW w:w="501" w:type="pct"/>
                  <w:vMerge w:val="continue"/>
                  <w:tcBorders>
                    <w:tl2br w:val="nil"/>
                    <w:tr2bl w:val="nil"/>
                  </w:tcBorders>
                  <w:vAlign w:val="center"/>
                </w:tcPr>
                <w:p w14:paraId="3F5A34B5">
                  <w:pPr>
                    <w:adjustRightInd w:val="0"/>
                    <w:spacing w:line="240" w:lineRule="exact"/>
                    <w:jc w:val="center"/>
                    <w:textAlignment w:val="baseline"/>
                    <w:rPr>
                      <w:rFonts w:ascii="Times New Roman" w:hAnsi="Times New Roman" w:eastAsia="宋体" w:cs="Times New Roman"/>
                      <w:szCs w:val="21"/>
                    </w:rPr>
                  </w:pPr>
                </w:p>
              </w:tc>
              <w:tc>
                <w:tcPr>
                  <w:tcW w:w="402" w:type="pct"/>
                  <w:vMerge w:val="continue"/>
                  <w:tcBorders>
                    <w:tl2br w:val="nil"/>
                    <w:tr2bl w:val="nil"/>
                  </w:tcBorders>
                  <w:vAlign w:val="center"/>
                </w:tcPr>
                <w:p w14:paraId="02A4E637">
                  <w:pPr>
                    <w:adjustRightInd w:val="0"/>
                    <w:spacing w:line="240" w:lineRule="exact"/>
                    <w:jc w:val="center"/>
                    <w:textAlignment w:val="baseline"/>
                    <w:rPr>
                      <w:rFonts w:ascii="Times New Roman" w:hAnsi="Times New Roman" w:eastAsia="宋体" w:cs="Times New Roman"/>
                      <w:szCs w:val="21"/>
                    </w:rPr>
                  </w:pPr>
                </w:p>
              </w:tc>
              <w:tc>
                <w:tcPr>
                  <w:tcW w:w="295" w:type="pct"/>
                  <w:tcBorders>
                    <w:tl2br w:val="nil"/>
                    <w:tr2bl w:val="nil"/>
                  </w:tcBorders>
                  <w:vAlign w:val="center"/>
                </w:tcPr>
                <w:p w14:paraId="0B207306">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产生量</w:t>
                  </w:r>
                </w:p>
              </w:tc>
              <w:tc>
                <w:tcPr>
                  <w:tcW w:w="397" w:type="pct"/>
                  <w:tcBorders>
                    <w:tl2br w:val="nil"/>
                    <w:tr2bl w:val="nil"/>
                  </w:tcBorders>
                  <w:vAlign w:val="center"/>
                </w:tcPr>
                <w:p w14:paraId="76E952A5">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速率</w:t>
                  </w:r>
                </w:p>
                <w:p w14:paraId="70146DE1">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kg/h</w:t>
                  </w:r>
                </w:p>
              </w:tc>
              <w:tc>
                <w:tcPr>
                  <w:tcW w:w="400" w:type="pct"/>
                  <w:tcBorders>
                    <w:tl2br w:val="nil"/>
                    <w:tr2bl w:val="nil"/>
                  </w:tcBorders>
                  <w:vAlign w:val="center"/>
                </w:tcPr>
                <w:p w14:paraId="5AC83BA9">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浓度</w:t>
                  </w:r>
                </w:p>
                <w:p w14:paraId="4EA5A407">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mg/m</w:t>
                  </w:r>
                  <w:r>
                    <w:rPr>
                      <w:rFonts w:ascii="Times New Roman" w:hAnsi="Times New Roman" w:eastAsia="宋体" w:cs="Times New Roman"/>
                      <w:b/>
                      <w:bCs/>
                      <w:szCs w:val="21"/>
                      <w:vertAlign w:val="superscript"/>
                    </w:rPr>
                    <w:t>3</w:t>
                  </w:r>
                </w:p>
              </w:tc>
              <w:tc>
                <w:tcPr>
                  <w:tcW w:w="831" w:type="pct"/>
                  <w:vMerge w:val="continue"/>
                  <w:tcBorders>
                    <w:tl2br w:val="nil"/>
                    <w:tr2bl w:val="nil"/>
                  </w:tcBorders>
                  <w:vAlign w:val="center"/>
                </w:tcPr>
                <w:p w14:paraId="43926E05">
                  <w:pPr>
                    <w:adjustRightInd w:val="0"/>
                    <w:spacing w:line="240" w:lineRule="exact"/>
                    <w:jc w:val="center"/>
                    <w:textAlignment w:val="baseline"/>
                    <w:rPr>
                      <w:rFonts w:ascii="Times New Roman" w:hAnsi="Times New Roman" w:eastAsia="宋体" w:cs="Times New Roman"/>
                      <w:b/>
                      <w:bCs/>
                      <w:szCs w:val="21"/>
                    </w:rPr>
                  </w:pPr>
                </w:p>
              </w:tc>
              <w:tc>
                <w:tcPr>
                  <w:tcW w:w="365" w:type="pct"/>
                  <w:tcBorders>
                    <w:tl2br w:val="nil"/>
                    <w:tr2bl w:val="nil"/>
                  </w:tcBorders>
                  <w:vAlign w:val="center"/>
                </w:tcPr>
                <w:p w14:paraId="6393889C">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排放量</w:t>
                  </w:r>
                  <w:r>
                    <w:rPr>
                      <w:rFonts w:ascii="Times New Roman" w:hAnsi="Times New Roman" w:eastAsia="宋体" w:cs="Times New Roman"/>
                      <w:b/>
                      <w:bCs/>
                      <w:szCs w:val="21"/>
                    </w:rPr>
                    <w:t>t/a</w:t>
                  </w:r>
                </w:p>
              </w:tc>
              <w:tc>
                <w:tcPr>
                  <w:tcW w:w="373" w:type="pct"/>
                  <w:tcBorders>
                    <w:tl2br w:val="nil"/>
                    <w:tr2bl w:val="nil"/>
                  </w:tcBorders>
                  <w:vAlign w:val="center"/>
                </w:tcPr>
                <w:p w14:paraId="2DECBDDC">
                  <w:pPr>
                    <w:adjustRightInd w:val="0"/>
                    <w:spacing w:line="240" w:lineRule="exact"/>
                    <w:jc w:val="center"/>
                    <w:textAlignment w:val="baseline"/>
                    <w:rPr>
                      <w:rFonts w:ascii="Times New Roman" w:hAnsi="Times New Roman" w:eastAsia="宋体" w:cs="Times New Roman"/>
                      <w:b/>
                      <w:bCs/>
                      <w:szCs w:val="21"/>
                    </w:rPr>
                  </w:pPr>
                  <w:r>
                    <w:rPr>
                      <w:rFonts w:ascii="Times New Roman" w:hAnsi="宋体" w:eastAsia="宋体" w:cs="Times New Roman"/>
                      <w:b/>
                      <w:bCs/>
                      <w:szCs w:val="21"/>
                    </w:rPr>
                    <w:t>速率</w:t>
                  </w:r>
                  <w:r>
                    <w:rPr>
                      <w:rFonts w:ascii="Times New Roman" w:hAnsi="Times New Roman" w:eastAsia="宋体" w:cs="Times New Roman"/>
                      <w:b/>
                      <w:bCs/>
                      <w:szCs w:val="21"/>
                    </w:rPr>
                    <w:t>kg/h</w:t>
                  </w:r>
                </w:p>
              </w:tc>
              <w:tc>
                <w:tcPr>
                  <w:tcW w:w="414" w:type="pct"/>
                  <w:tcBorders>
                    <w:tl2br w:val="nil"/>
                    <w:tr2bl w:val="nil"/>
                  </w:tcBorders>
                  <w:vAlign w:val="center"/>
                </w:tcPr>
                <w:p w14:paraId="6E3C7E0E">
                  <w:pPr>
                    <w:adjustRightInd w:val="0"/>
                    <w:spacing w:line="240" w:lineRule="exact"/>
                    <w:jc w:val="center"/>
                    <w:textAlignment w:val="baseline"/>
                    <w:rPr>
                      <w:rFonts w:ascii="Times New Roman" w:hAnsi="Times New Roman" w:eastAsia="宋体" w:cs="Times New Roman"/>
                      <w:szCs w:val="21"/>
                    </w:rPr>
                  </w:pPr>
                  <w:r>
                    <w:rPr>
                      <w:rFonts w:ascii="Times New Roman" w:hAnsi="宋体" w:eastAsia="宋体" w:cs="Times New Roman"/>
                      <w:b/>
                      <w:bCs/>
                      <w:szCs w:val="21"/>
                    </w:rPr>
                    <w:t>浓度</w:t>
                  </w:r>
                  <w:r>
                    <w:rPr>
                      <w:rFonts w:ascii="Times New Roman" w:hAnsi="Times New Roman" w:eastAsia="宋体" w:cs="Times New Roman"/>
                      <w:b/>
                      <w:bCs/>
                      <w:szCs w:val="21"/>
                    </w:rPr>
                    <w:t>mg/m</w:t>
                  </w:r>
                  <w:r>
                    <w:rPr>
                      <w:rFonts w:ascii="Times New Roman" w:hAnsi="Times New Roman" w:eastAsia="宋体" w:cs="Times New Roman"/>
                      <w:b/>
                      <w:bCs/>
                      <w:szCs w:val="21"/>
                      <w:vertAlign w:val="superscript"/>
                    </w:rPr>
                    <w:t>3</w:t>
                  </w:r>
                </w:p>
              </w:tc>
              <w:tc>
                <w:tcPr>
                  <w:tcW w:w="407" w:type="pct"/>
                  <w:vMerge w:val="continue"/>
                  <w:tcBorders>
                    <w:tl2br w:val="nil"/>
                    <w:tr2bl w:val="nil"/>
                  </w:tcBorders>
                  <w:vAlign w:val="center"/>
                </w:tcPr>
                <w:p w14:paraId="21BCD6D3">
                  <w:pPr>
                    <w:adjustRightInd w:val="0"/>
                    <w:spacing w:line="240" w:lineRule="exact"/>
                    <w:jc w:val="center"/>
                    <w:textAlignment w:val="baseline"/>
                    <w:rPr>
                      <w:rFonts w:ascii="Times New Roman" w:hAnsi="Times New Roman" w:eastAsia="宋体" w:cs="Times New Roman"/>
                      <w:szCs w:val="21"/>
                    </w:rPr>
                  </w:pPr>
                </w:p>
              </w:tc>
              <w:tc>
                <w:tcPr>
                  <w:tcW w:w="165" w:type="pct"/>
                  <w:vMerge w:val="continue"/>
                  <w:tcBorders>
                    <w:tl2br w:val="nil"/>
                    <w:tr2bl w:val="nil"/>
                  </w:tcBorders>
                  <w:vAlign w:val="center"/>
                </w:tcPr>
                <w:p w14:paraId="648A1A51">
                  <w:pPr>
                    <w:adjustRightInd w:val="0"/>
                    <w:spacing w:line="240" w:lineRule="exact"/>
                    <w:jc w:val="center"/>
                    <w:textAlignment w:val="baseline"/>
                    <w:rPr>
                      <w:rFonts w:ascii="Times New Roman" w:hAnsi="Times New Roman" w:eastAsia="宋体" w:cs="Times New Roman"/>
                      <w:szCs w:val="21"/>
                    </w:rPr>
                  </w:pPr>
                </w:p>
              </w:tc>
            </w:tr>
            <w:tr w14:paraId="51DC1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5" w:hRule="atLeast"/>
                <w:jc w:val="center"/>
              </w:trPr>
              <w:tc>
                <w:tcPr>
                  <w:tcW w:w="192" w:type="pct"/>
                  <w:tcBorders>
                    <w:tl2br w:val="nil"/>
                    <w:tr2bl w:val="nil"/>
                  </w:tcBorders>
                  <w:vAlign w:val="center"/>
                </w:tcPr>
                <w:p w14:paraId="772AD4E9">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1</w:t>
                  </w:r>
                </w:p>
              </w:tc>
              <w:tc>
                <w:tcPr>
                  <w:tcW w:w="252" w:type="pct"/>
                  <w:vMerge w:val="restart"/>
                  <w:tcBorders>
                    <w:tl2br w:val="nil"/>
                    <w:tr2bl w:val="nil"/>
                  </w:tcBorders>
                  <w:vAlign w:val="center"/>
                </w:tcPr>
                <w:p w14:paraId="4136EFD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有机热载体炉</w:t>
                  </w:r>
                </w:p>
              </w:tc>
              <w:tc>
                <w:tcPr>
                  <w:tcW w:w="501" w:type="pct"/>
                  <w:vMerge w:val="restart"/>
                  <w:tcBorders>
                    <w:tl2br w:val="nil"/>
                    <w:tr2bl w:val="nil"/>
                  </w:tcBorders>
                  <w:vAlign w:val="center"/>
                </w:tcPr>
                <w:p w14:paraId="739B2AD2">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534120m</w:t>
                  </w:r>
                  <w:r>
                    <w:rPr>
                      <w:rFonts w:ascii="Times New Roman" w:hAnsi="Times New Roman" w:eastAsia="宋体" w:cs="Times New Roman"/>
                      <w:szCs w:val="21"/>
                      <w:vertAlign w:val="superscript"/>
                    </w:rPr>
                    <w:t>3</w:t>
                  </w:r>
                  <w:r>
                    <w:rPr>
                      <w:rFonts w:ascii="Times New Roman" w:hAnsi="Times New Roman" w:eastAsia="宋体" w:cs="Times New Roman"/>
                      <w:szCs w:val="21"/>
                    </w:rPr>
                    <w:t>/m</w:t>
                  </w:r>
                  <w:r>
                    <w:rPr>
                      <w:rFonts w:ascii="Times New Roman" w:hAnsi="Times New Roman" w:eastAsia="宋体" w:cs="Times New Roman"/>
                      <w:szCs w:val="21"/>
                      <w:vertAlign w:val="superscript"/>
                    </w:rPr>
                    <w:t>3</w:t>
                  </w:r>
                </w:p>
              </w:tc>
              <w:tc>
                <w:tcPr>
                  <w:tcW w:w="402" w:type="pct"/>
                  <w:tcBorders>
                    <w:tl2br w:val="nil"/>
                    <w:tr2bl w:val="nil"/>
                  </w:tcBorders>
                  <w:vAlign w:val="center"/>
                </w:tcPr>
                <w:p w14:paraId="22C6AAD5">
                  <w:pPr>
                    <w:adjustRightInd w:val="0"/>
                    <w:spacing w:line="240" w:lineRule="exact"/>
                    <w:jc w:val="center"/>
                    <w:textAlignment w:val="baseline"/>
                    <w:rPr>
                      <w:rFonts w:ascii="Times New Roman" w:hAnsi="Times New Roman" w:eastAsia="宋体" w:cs="Times New Roman"/>
                      <w:szCs w:val="21"/>
                    </w:rPr>
                  </w:pPr>
                  <w:r>
                    <w:rPr>
                      <w:rFonts w:hint="eastAsia" w:ascii="Times New Roman" w:hAnsi="宋体" w:eastAsia="宋体" w:cs="Times New Roman"/>
                      <w:szCs w:val="21"/>
                    </w:rPr>
                    <w:t>颗粒物</w:t>
                  </w:r>
                </w:p>
              </w:tc>
              <w:tc>
                <w:tcPr>
                  <w:tcW w:w="295" w:type="pct"/>
                  <w:tcBorders>
                    <w:tl2br w:val="nil"/>
                    <w:tr2bl w:val="nil"/>
                  </w:tcBorders>
                  <w:vAlign w:val="center"/>
                </w:tcPr>
                <w:p w14:paraId="3A9480A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0.0078</w:t>
                  </w:r>
                </w:p>
              </w:tc>
              <w:tc>
                <w:tcPr>
                  <w:tcW w:w="397" w:type="pct"/>
                  <w:tcBorders>
                    <w:tl2br w:val="nil"/>
                    <w:tr2bl w:val="nil"/>
                  </w:tcBorders>
                  <w:vAlign w:val="center"/>
                </w:tcPr>
                <w:p w14:paraId="6E174C6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0.0054</w:t>
                  </w:r>
                </w:p>
              </w:tc>
              <w:tc>
                <w:tcPr>
                  <w:tcW w:w="400" w:type="pct"/>
                  <w:tcBorders>
                    <w:tl2br w:val="nil"/>
                    <w:tr2bl w:val="nil"/>
                  </w:tcBorders>
                  <w:vAlign w:val="center"/>
                </w:tcPr>
                <w:p w14:paraId="0EDAA97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14.6</w:t>
                  </w:r>
                </w:p>
              </w:tc>
              <w:tc>
                <w:tcPr>
                  <w:tcW w:w="831" w:type="pct"/>
                  <w:vMerge w:val="restart"/>
                  <w:tcBorders>
                    <w:tl2br w:val="nil"/>
                    <w:tr2bl w:val="nil"/>
                  </w:tcBorders>
                  <w:vAlign w:val="center"/>
                </w:tcPr>
                <w:p w14:paraId="75A40DEC">
                  <w:pPr>
                    <w:adjustRightInd w:val="0"/>
                    <w:spacing w:line="240" w:lineRule="exact"/>
                    <w:jc w:val="center"/>
                    <w:textAlignment w:val="baseline"/>
                    <w:rPr>
                      <w:rFonts w:ascii="Times New Roman" w:hAnsi="Times New Roman" w:eastAsia="宋体" w:cs="Times New Roman"/>
                      <w:szCs w:val="21"/>
                    </w:rPr>
                  </w:pPr>
                  <w:r>
                    <w:rPr>
                      <w:rFonts w:hint="eastAsia" w:ascii="Times New Roman" w:hAnsi="宋体" w:eastAsia="宋体" w:cs="Times New Roman"/>
                      <w:color w:val="FF0000"/>
                      <w:szCs w:val="21"/>
                    </w:rPr>
                    <w:t>低氮燃烧器，</w:t>
                  </w:r>
                  <w:r>
                    <w:rPr>
                      <w:rFonts w:hint="eastAsia" w:ascii="Times New Roman" w:hAnsi="Times New Roman" w:eastAsia="宋体" w:cs="Times New Roman"/>
                      <w:szCs w:val="21"/>
                    </w:rPr>
                    <w:t>一根</w:t>
                  </w:r>
                  <w:r>
                    <w:rPr>
                      <w:rFonts w:hint="eastAsia" w:ascii="Times New Roman" w:hAnsi="Times New Roman" w:eastAsia="宋体" w:cs="Times New Roman"/>
                      <w:color w:val="FF0000"/>
                      <w:szCs w:val="21"/>
                      <w:highlight w:val="yellow"/>
                    </w:rPr>
                    <w:t>15m高</w:t>
                  </w:r>
                  <w:r>
                    <w:rPr>
                      <w:rFonts w:hint="eastAsia" w:ascii="Times New Roman" w:hAnsi="Times New Roman" w:eastAsia="宋体" w:cs="Times New Roman"/>
                      <w:szCs w:val="21"/>
                    </w:rPr>
                    <w:t>排气筒排放</w:t>
                  </w:r>
                </w:p>
              </w:tc>
              <w:tc>
                <w:tcPr>
                  <w:tcW w:w="595" w:type="dxa"/>
                  <w:tcBorders>
                    <w:tl2br w:val="nil"/>
                    <w:tr2bl w:val="nil"/>
                  </w:tcBorders>
                  <w:vAlign w:val="center"/>
                </w:tcPr>
                <w:p w14:paraId="31B712D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0.0078</w:t>
                  </w:r>
                </w:p>
              </w:tc>
              <w:tc>
                <w:tcPr>
                  <w:tcW w:w="608" w:type="dxa"/>
                  <w:tcBorders>
                    <w:tl2br w:val="nil"/>
                    <w:tr2bl w:val="nil"/>
                  </w:tcBorders>
                  <w:vAlign w:val="center"/>
                </w:tcPr>
                <w:p w14:paraId="5759ADF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0.0054</w:t>
                  </w:r>
                </w:p>
              </w:tc>
              <w:tc>
                <w:tcPr>
                  <w:tcW w:w="675" w:type="dxa"/>
                  <w:tcBorders>
                    <w:tl2br w:val="nil"/>
                    <w:tr2bl w:val="nil"/>
                  </w:tcBorders>
                  <w:vAlign w:val="center"/>
                </w:tcPr>
                <w:p w14:paraId="2673FF5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14.6</w:t>
                  </w:r>
                </w:p>
              </w:tc>
              <w:tc>
                <w:tcPr>
                  <w:tcW w:w="407" w:type="pct"/>
                  <w:tcBorders>
                    <w:tl2br w:val="nil"/>
                    <w:tr2bl w:val="nil"/>
                  </w:tcBorders>
                  <w:vAlign w:val="center"/>
                </w:tcPr>
                <w:p w14:paraId="4B16F32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30</w:t>
                  </w:r>
                </w:p>
              </w:tc>
              <w:tc>
                <w:tcPr>
                  <w:tcW w:w="165" w:type="pct"/>
                  <w:tcBorders>
                    <w:tl2br w:val="nil"/>
                    <w:tr2bl w:val="nil"/>
                  </w:tcBorders>
                  <w:vAlign w:val="center"/>
                </w:tcPr>
                <w:p w14:paraId="4A7A5357">
                  <w:pPr>
                    <w:adjustRightInd w:val="0"/>
                    <w:spacing w:line="240" w:lineRule="exact"/>
                    <w:jc w:val="center"/>
                    <w:textAlignment w:val="baseline"/>
                    <w:rPr>
                      <w:rFonts w:ascii="Times New Roman" w:hAnsi="Times New Roman" w:eastAsia="宋体" w:cs="Times New Roman"/>
                      <w:szCs w:val="21"/>
                    </w:rPr>
                  </w:pPr>
                  <w:r>
                    <w:rPr>
                      <w:rFonts w:ascii="Times New Roman" w:hAnsi="宋体" w:eastAsia="宋体" w:cs="Times New Roman"/>
                      <w:szCs w:val="21"/>
                    </w:rPr>
                    <w:t>达标</w:t>
                  </w:r>
                </w:p>
              </w:tc>
            </w:tr>
            <w:tr w14:paraId="6126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5" w:hRule="atLeast"/>
                <w:jc w:val="center"/>
              </w:trPr>
              <w:tc>
                <w:tcPr>
                  <w:tcW w:w="192" w:type="pct"/>
                  <w:tcBorders>
                    <w:tl2br w:val="nil"/>
                    <w:tr2bl w:val="nil"/>
                  </w:tcBorders>
                  <w:vAlign w:val="center"/>
                </w:tcPr>
                <w:p w14:paraId="0291FD31">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2</w:t>
                  </w:r>
                </w:p>
              </w:tc>
              <w:tc>
                <w:tcPr>
                  <w:tcW w:w="252" w:type="pct"/>
                  <w:vMerge w:val="continue"/>
                  <w:tcBorders>
                    <w:tl2br w:val="nil"/>
                    <w:tr2bl w:val="nil"/>
                  </w:tcBorders>
                  <w:vAlign w:val="center"/>
                </w:tcPr>
                <w:p w14:paraId="35AAF853">
                  <w:pPr>
                    <w:adjustRightInd w:val="0"/>
                    <w:spacing w:line="240" w:lineRule="exact"/>
                    <w:jc w:val="center"/>
                    <w:textAlignment w:val="baseline"/>
                    <w:rPr>
                      <w:rFonts w:ascii="Times New Roman" w:hAnsi="Times New Roman" w:eastAsia="宋体" w:cs="Times New Roman"/>
                      <w:szCs w:val="21"/>
                    </w:rPr>
                  </w:pPr>
                </w:p>
              </w:tc>
              <w:tc>
                <w:tcPr>
                  <w:tcW w:w="501" w:type="pct"/>
                  <w:vMerge w:val="continue"/>
                  <w:tcBorders>
                    <w:tl2br w:val="nil"/>
                    <w:tr2bl w:val="nil"/>
                  </w:tcBorders>
                  <w:vAlign w:val="center"/>
                </w:tcPr>
                <w:p w14:paraId="7B05527B">
                  <w:pPr>
                    <w:adjustRightInd w:val="0"/>
                    <w:spacing w:line="240" w:lineRule="exact"/>
                    <w:jc w:val="center"/>
                    <w:textAlignment w:val="baseline"/>
                    <w:rPr>
                      <w:rFonts w:ascii="Times New Roman" w:hAnsi="Times New Roman" w:eastAsia="宋体" w:cs="Times New Roman"/>
                      <w:szCs w:val="21"/>
                    </w:rPr>
                  </w:pPr>
                </w:p>
              </w:tc>
              <w:tc>
                <w:tcPr>
                  <w:tcW w:w="402" w:type="pct"/>
                  <w:tcBorders>
                    <w:tl2br w:val="nil"/>
                    <w:tr2bl w:val="nil"/>
                  </w:tcBorders>
                  <w:vAlign w:val="center"/>
                </w:tcPr>
                <w:p w14:paraId="163A30B9">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bCs/>
                      <w:szCs w:val="21"/>
                    </w:rPr>
                    <w:t>SO</w:t>
                  </w:r>
                  <w:r>
                    <w:rPr>
                      <w:rFonts w:ascii="Times New Roman" w:hAnsi="Times New Roman" w:eastAsia="宋体" w:cs="Times New Roman"/>
                      <w:bCs/>
                      <w:szCs w:val="21"/>
                      <w:vertAlign w:val="subscript"/>
                    </w:rPr>
                    <w:t>2</w:t>
                  </w:r>
                </w:p>
              </w:tc>
              <w:tc>
                <w:tcPr>
                  <w:tcW w:w="295" w:type="pct"/>
                  <w:tcBorders>
                    <w:tl2br w:val="nil"/>
                    <w:tr2bl w:val="nil"/>
                  </w:tcBorders>
                  <w:vAlign w:val="center"/>
                </w:tcPr>
                <w:p w14:paraId="516BDC6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0.00057</w:t>
                  </w:r>
                </w:p>
              </w:tc>
              <w:tc>
                <w:tcPr>
                  <w:tcW w:w="397" w:type="pct"/>
                  <w:tcBorders>
                    <w:tl2br w:val="nil"/>
                    <w:tr2bl w:val="nil"/>
                  </w:tcBorders>
                  <w:vAlign w:val="center"/>
                </w:tcPr>
                <w:p w14:paraId="31F277C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0.0004</w:t>
                  </w:r>
                </w:p>
              </w:tc>
              <w:tc>
                <w:tcPr>
                  <w:tcW w:w="400" w:type="pct"/>
                  <w:tcBorders>
                    <w:tl2br w:val="nil"/>
                    <w:tr2bl w:val="nil"/>
                  </w:tcBorders>
                  <w:vAlign w:val="center"/>
                </w:tcPr>
                <w:p w14:paraId="3DE95DB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1.06</w:t>
                  </w:r>
                </w:p>
              </w:tc>
              <w:tc>
                <w:tcPr>
                  <w:tcW w:w="831" w:type="pct"/>
                  <w:vMerge w:val="continue"/>
                  <w:tcBorders>
                    <w:tl2br w:val="nil"/>
                    <w:tr2bl w:val="nil"/>
                  </w:tcBorders>
                  <w:vAlign w:val="center"/>
                </w:tcPr>
                <w:p w14:paraId="3CBD0235">
                  <w:pPr>
                    <w:adjustRightInd w:val="0"/>
                    <w:spacing w:line="240" w:lineRule="exact"/>
                    <w:jc w:val="center"/>
                    <w:textAlignment w:val="baseline"/>
                    <w:rPr>
                      <w:rFonts w:ascii="Times New Roman" w:hAnsi="Times New Roman" w:eastAsia="宋体" w:cs="Times New Roman"/>
                      <w:szCs w:val="21"/>
                    </w:rPr>
                  </w:pPr>
                </w:p>
              </w:tc>
              <w:tc>
                <w:tcPr>
                  <w:tcW w:w="595" w:type="dxa"/>
                  <w:tcBorders>
                    <w:tl2br w:val="nil"/>
                    <w:tr2bl w:val="nil"/>
                  </w:tcBorders>
                  <w:vAlign w:val="center"/>
                </w:tcPr>
                <w:p w14:paraId="3A0A851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0.00057</w:t>
                  </w:r>
                </w:p>
              </w:tc>
              <w:tc>
                <w:tcPr>
                  <w:tcW w:w="608" w:type="dxa"/>
                  <w:tcBorders>
                    <w:tl2br w:val="nil"/>
                    <w:tr2bl w:val="nil"/>
                  </w:tcBorders>
                  <w:vAlign w:val="center"/>
                </w:tcPr>
                <w:p w14:paraId="40A0BB6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0.0004</w:t>
                  </w:r>
                </w:p>
              </w:tc>
              <w:tc>
                <w:tcPr>
                  <w:tcW w:w="675" w:type="dxa"/>
                  <w:tcBorders>
                    <w:tl2br w:val="nil"/>
                    <w:tr2bl w:val="nil"/>
                  </w:tcBorders>
                  <w:vAlign w:val="center"/>
                </w:tcPr>
                <w:p w14:paraId="7141C4B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1.06</w:t>
                  </w:r>
                </w:p>
              </w:tc>
              <w:tc>
                <w:tcPr>
                  <w:tcW w:w="407" w:type="pct"/>
                  <w:tcBorders>
                    <w:tl2br w:val="nil"/>
                    <w:tr2bl w:val="nil"/>
                  </w:tcBorders>
                  <w:vAlign w:val="center"/>
                </w:tcPr>
                <w:p w14:paraId="0324951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200</w:t>
                  </w:r>
                </w:p>
              </w:tc>
              <w:tc>
                <w:tcPr>
                  <w:tcW w:w="165" w:type="pct"/>
                  <w:tcBorders>
                    <w:tl2br w:val="nil"/>
                    <w:tr2bl w:val="nil"/>
                  </w:tcBorders>
                  <w:vAlign w:val="center"/>
                </w:tcPr>
                <w:p w14:paraId="2D779F4B">
                  <w:pPr>
                    <w:adjustRightInd w:val="0"/>
                    <w:spacing w:line="240" w:lineRule="exact"/>
                    <w:jc w:val="center"/>
                    <w:textAlignment w:val="baseline"/>
                    <w:rPr>
                      <w:rFonts w:ascii="Times New Roman" w:hAnsi="Times New Roman" w:eastAsia="宋体" w:cs="Times New Roman"/>
                      <w:szCs w:val="21"/>
                    </w:rPr>
                  </w:pPr>
                  <w:r>
                    <w:rPr>
                      <w:rFonts w:ascii="Times New Roman" w:hAnsi="宋体" w:eastAsia="宋体" w:cs="Times New Roman"/>
                      <w:szCs w:val="21"/>
                    </w:rPr>
                    <w:t>达标</w:t>
                  </w:r>
                </w:p>
              </w:tc>
            </w:tr>
            <w:tr w14:paraId="14FC6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0" w:hRule="atLeast"/>
                <w:jc w:val="center"/>
              </w:trPr>
              <w:tc>
                <w:tcPr>
                  <w:tcW w:w="192" w:type="pct"/>
                  <w:tcBorders>
                    <w:tl2br w:val="nil"/>
                    <w:tr2bl w:val="nil"/>
                  </w:tcBorders>
                  <w:vAlign w:val="center"/>
                </w:tcPr>
                <w:p w14:paraId="28759E98">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3</w:t>
                  </w:r>
                </w:p>
              </w:tc>
              <w:tc>
                <w:tcPr>
                  <w:tcW w:w="252" w:type="pct"/>
                  <w:vMerge w:val="continue"/>
                  <w:tcBorders>
                    <w:tl2br w:val="nil"/>
                    <w:tr2bl w:val="nil"/>
                  </w:tcBorders>
                  <w:vAlign w:val="center"/>
                </w:tcPr>
                <w:p w14:paraId="4351F8AC">
                  <w:pPr>
                    <w:adjustRightInd w:val="0"/>
                    <w:spacing w:line="240" w:lineRule="exact"/>
                    <w:jc w:val="center"/>
                    <w:textAlignment w:val="baseline"/>
                    <w:rPr>
                      <w:rFonts w:ascii="Times New Roman" w:hAnsi="Times New Roman" w:eastAsia="宋体" w:cs="Times New Roman"/>
                      <w:szCs w:val="21"/>
                    </w:rPr>
                  </w:pPr>
                </w:p>
              </w:tc>
              <w:tc>
                <w:tcPr>
                  <w:tcW w:w="501" w:type="pct"/>
                  <w:vMerge w:val="continue"/>
                  <w:tcBorders>
                    <w:tl2br w:val="nil"/>
                    <w:tr2bl w:val="nil"/>
                  </w:tcBorders>
                  <w:vAlign w:val="center"/>
                </w:tcPr>
                <w:p w14:paraId="3ABDB4F4">
                  <w:pPr>
                    <w:adjustRightInd w:val="0"/>
                    <w:spacing w:line="240" w:lineRule="exact"/>
                    <w:jc w:val="center"/>
                    <w:textAlignment w:val="baseline"/>
                    <w:rPr>
                      <w:rFonts w:ascii="Times New Roman" w:hAnsi="Times New Roman" w:eastAsia="宋体" w:cs="Times New Roman"/>
                      <w:szCs w:val="21"/>
                    </w:rPr>
                  </w:pPr>
                </w:p>
              </w:tc>
              <w:tc>
                <w:tcPr>
                  <w:tcW w:w="402" w:type="pct"/>
                  <w:tcBorders>
                    <w:tl2br w:val="nil"/>
                    <w:tr2bl w:val="nil"/>
                  </w:tcBorders>
                  <w:vAlign w:val="center"/>
                </w:tcPr>
                <w:p w14:paraId="1AD3BFA5">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bCs/>
                      <w:szCs w:val="21"/>
                    </w:rPr>
                    <w:t>NO</w:t>
                  </w:r>
                  <w:r>
                    <w:rPr>
                      <w:rFonts w:ascii="Times New Roman" w:hAnsi="Times New Roman" w:eastAsia="宋体" w:cs="Times New Roman"/>
                      <w:bCs/>
                      <w:szCs w:val="21"/>
                      <w:vertAlign w:val="subscript"/>
                    </w:rPr>
                    <w:t>x</w:t>
                  </w:r>
                </w:p>
              </w:tc>
              <w:tc>
                <w:tcPr>
                  <w:tcW w:w="295" w:type="pct"/>
                  <w:tcBorders>
                    <w:tl2br w:val="nil"/>
                    <w:tr2bl w:val="nil"/>
                  </w:tcBorders>
                  <w:vAlign w:val="center"/>
                </w:tcPr>
                <w:p w14:paraId="486BEFF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0.09</w:t>
                  </w:r>
                </w:p>
              </w:tc>
              <w:tc>
                <w:tcPr>
                  <w:tcW w:w="397" w:type="pct"/>
                  <w:tcBorders>
                    <w:tl2br w:val="nil"/>
                    <w:tr2bl w:val="nil"/>
                  </w:tcBorders>
                  <w:vAlign w:val="center"/>
                </w:tcPr>
                <w:p w14:paraId="6FE1941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0.063</w:t>
                  </w:r>
                </w:p>
              </w:tc>
              <w:tc>
                <w:tcPr>
                  <w:tcW w:w="400" w:type="pct"/>
                  <w:tcBorders>
                    <w:tl2br w:val="nil"/>
                    <w:tr2bl w:val="nil"/>
                  </w:tcBorders>
                  <w:vAlign w:val="center"/>
                </w:tcPr>
                <w:p w14:paraId="3BFB53D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168.5</w:t>
                  </w:r>
                </w:p>
              </w:tc>
              <w:tc>
                <w:tcPr>
                  <w:tcW w:w="831" w:type="pct"/>
                  <w:vMerge w:val="continue"/>
                  <w:tcBorders>
                    <w:tl2br w:val="nil"/>
                    <w:tr2bl w:val="nil"/>
                  </w:tcBorders>
                  <w:vAlign w:val="center"/>
                </w:tcPr>
                <w:p w14:paraId="33CCCB35">
                  <w:pPr>
                    <w:adjustRightInd w:val="0"/>
                    <w:spacing w:line="240" w:lineRule="exact"/>
                    <w:jc w:val="center"/>
                    <w:textAlignment w:val="baseline"/>
                    <w:rPr>
                      <w:rFonts w:ascii="Times New Roman" w:hAnsi="Times New Roman" w:eastAsia="宋体" w:cs="Times New Roman"/>
                      <w:szCs w:val="21"/>
                    </w:rPr>
                  </w:pPr>
                </w:p>
              </w:tc>
              <w:tc>
                <w:tcPr>
                  <w:tcW w:w="595" w:type="dxa"/>
                  <w:tcBorders>
                    <w:tl2br w:val="nil"/>
                    <w:tr2bl w:val="nil"/>
                  </w:tcBorders>
                  <w:vAlign w:val="center"/>
                </w:tcPr>
                <w:p w14:paraId="529C712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0.0405</w:t>
                  </w:r>
                </w:p>
              </w:tc>
              <w:tc>
                <w:tcPr>
                  <w:tcW w:w="608" w:type="dxa"/>
                  <w:tcBorders>
                    <w:tl2br w:val="nil"/>
                    <w:tr2bl w:val="nil"/>
                  </w:tcBorders>
                  <w:vAlign w:val="center"/>
                </w:tcPr>
                <w:p w14:paraId="56AD577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0.028</w:t>
                  </w:r>
                </w:p>
              </w:tc>
              <w:tc>
                <w:tcPr>
                  <w:tcW w:w="675" w:type="dxa"/>
                  <w:tcBorders>
                    <w:tl2br w:val="nil"/>
                    <w:tr2bl w:val="nil"/>
                  </w:tcBorders>
                  <w:vAlign w:val="center"/>
                </w:tcPr>
                <w:p w14:paraId="5300F42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75.82</w:t>
                  </w:r>
                </w:p>
              </w:tc>
              <w:tc>
                <w:tcPr>
                  <w:tcW w:w="407" w:type="pct"/>
                  <w:tcBorders>
                    <w:tl2br w:val="nil"/>
                    <w:tr2bl w:val="nil"/>
                  </w:tcBorders>
                  <w:vAlign w:val="center"/>
                </w:tcPr>
                <w:p w14:paraId="66A25A8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250</w:t>
                  </w:r>
                </w:p>
              </w:tc>
              <w:tc>
                <w:tcPr>
                  <w:tcW w:w="165" w:type="pct"/>
                  <w:tcBorders>
                    <w:tl2br w:val="nil"/>
                    <w:tr2bl w:val="nil"/>
                  </w:tcBorders>
                  <w:vAlign w:val="center"/>
                </w:tcPr>
                <w:p w14:paraId="7D788E6A">
                  <w:pPr>
                    <w:adjustRightInd w:val="0"/>
                    <w:spacing w:line="240" w:lineRule="exact"/>
                    <w:jc w:val="center"/>
                    <w:textAlignment w:val="baseline"/>
                    <w:rPr>
                      <w:rFonts w:ascii="Times New Roman" w:hAnsi="Times New Roman" w:eastAsia="宋体" w:cs="Times New Roman"/>
                      <w:szCs w:val="21"/>
                    </w:rPr>
                  </w:pPr>
                  <w:r>
                    <w:rPr>
                      <w:rFonts w:ascii="Times New Roman" w:hAnsi="宋体" w:eastAsia="宋体" w:cs="Times New Roman"/>
                      <w:szCs w:val="21"/>
                    </w:rPr>
                    <w:t>达标</w:t>
                  </w:r>
                </w:p>
              </w:tc>
            </w:tr>
          </w:tbl>
          <w:p w14:paraId="31CA113B">
            <w:pPr>
              <w:wordWrap w:val="0"/>
              <w:topLinePunct/>
              <w:spacing w:line="360" w:lineRule="auto"/>
              <w:ind w:firstLine="482" w:firstLineChars="200"/>
              <w:rPr>
                <w:rFonts w:hint="eastAsia" w:ascii="Times New Roman" w:hAnsi="宋体" w:eastAsia="宋体" w:cs="Times New Roman"/>
                <w:b/>
                <w:sz w:val="24"/>
              </w:rPr>
            </w:pPr>
            <w:r>
              <w:rPr>
                <w:rFonts w:hint="eastAsia" w:ascii="Times New Roman" w:hAnsi="宋体" w:eastAsia="宋体" w:cs="Times New Roman"/>
                <w:b/>
                <w:sz w:val="24"/>
              </w:rPr>
              <w:t>2.2.11</w:t>
            </w:r>
            <w:r>
              <w:rPr>
                <w:rFonts w:ascii="Times New Roman" w:hAnsi="宋体" w:eastAsia="宋体" w:cs="Times New Roman"/>
                <w:b/>
                <w:sz w:val="24"/>
              </w:rPr>
              <w:t>食堂油烟</w:t>
            </w:r>
          </w:p>
          <w:p w14:paraId="3003D9DA">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本项目食堂为职工提供餐食，每日用餐人数5人，每日3餐。食用油用量按0.03kg/人·日计，则日耗油量为0.15kg/d（年工作180天，年耗油量27kg/a）。油的平均挥发量为总耗油量的3%，则油烟产生量为0.81kg/a，产生速率为0.0015kg/h。</w:t>
            </w:r>
          </w:p>
          <w:p w14:paraId="1EC95CBC">
            <w:pPr>
              <w:wordWrap w:val="0"/>
              <w:topLinePunct/>
              <w:spacing w:line="360" w:lineRule="auto"/>
              <w:ind w:firstLine="480" w:firstLineChars="200"/>
              <w:rPr>
                <w:rFonts w:ascii="Times New Roman" w:hAnsi="Times New Roman" w:eastAsia="宋体" w:cs="Times New Roman"/>
                <w:color w:val="FF0000"/>
                <w:sz w:val="24"/>
              </w:rPr>
            </w:pPr>
            <w:r>
              <w:rPr>
                <w:rFonts w:ascii="Times New Roman" w:hAnsi="Times New Roman" w:eastAsia="宋体" w:cs="Times New Roman"/>
                <w:sz w:val="24"/>
              </w:rPr>
              <w:t>本项目食堂属小型规模，设1个灶头，单个灶头基准排风量2000m³/h，每天工作3h，产生油烟浓度为0.75mg/m³。油烟经油烟净化器（处理效率60%）处理后</w:t>
            </w:r>
            <w:r>
              <w:rPr>
                <w:rFonts w:hint="eastAsia" w:ascii="Times New Roman" w:hAnsi="Times New Roman" w:eastAsia="宋体" w:cs="Times New Roman"/>
                <w:sz w:val="24"/>
              </w:rPr>
              <w:t>经烟道引至屋顶</w:t>
            </w:r>
            <w:r>
              <w:rPr>
                <w:rFonts w:ascii="Times New Roman" w:hAnsi="Times New Roman" w:eastAsia="宋体" w:cs="Times New Roman"/>
                <w:sz w:val="24"/>
              </w:rPr>
              <w:t>排放，经处理后油烟排放量为0.324kg/a，排放速率为0.0006kg/h，排放浓度为0.3mg/m³，满足《饮食业油烟排放标准》（GB 18483-2001）表2小型规模标准限值要求（最高允许排放浓度≤2.0mg/m³，净化设施最低去除效率≥60%）。</w:t>
            </w:r>
          </w:p>
          <w:p w14:paraId="2DF75849">
            <w:pPr>
              <w:wordWrap w:val="0"/>
              <w:topLinePunct/>
              <w:spacing w:line="360" w:lineRule="auto"/>
              <w:ind w:firstLine="482" w:firstLineChars="200"/>
              <w:rPr>
                <w:rFonts w:hint="eastAsia" w:ascii="Times New Roman" w:hAnsi="宋体" w:eastAsia="宋体" w:cs="Times New Roman"/>
                <w:b/>
                <w:sz w:val="24"/>
              </w:rPr>
            </w:pPr>
            <w:r>
              <w:rPr>
                <w:rFonts w:hint="eastAsia" w:ascii="Times New Roman" w:hAnsi="宋体" w:eastAsia="宋体" w:cs="Times New Roman"/>
                <w:b/>
                <w:sz w:val="24"/>
              </w:rPr>
              <w:t>2.3大气环境影响分析</w:t>
            </w:r>
          </w:p>
          <w:p w14:paraId="0502C702">
            <w:pPr>
              <w:wordWrap w:val="0"/>
              <w:topLinePunct/>
              <w:spacing w:line="360" w:lineRule="auto"/>
              <w:ind w:firstLine="482" w:firstLineChars="200"/>
              <w:rPr>
                <w:rFonts w:hint="eastAsia" w:ascii="Times New Roman" w:hAnsi="宋体" w:eastAsia="宋体" w:cs="Times New Roman"/>
                <w:b/>
                <w:sz w:val="24"/>
              </w:rPr>
            </w:pPr>
            <w:r>
              <w:rPr>
                <w:rFonts w:hint="eastAsia" w:ascii="Times New Roman" w:hAnsi="宋体" w:eastAsia="宋体" w:cs="Times New Roman"/>
                <w:b/>
                <w:sz w:val="24"/>
              </w:rPr>
              <w:t>2.3.1污染物排放量核算</w:t>
            </w:r>
          </w:p>
          <w:p w14:paraId="56994D13">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全厂大气污染物排放量核算见表4-20、表4-21。</w:t>
            </w:r>
          </w:p>
          <w:p w14:paraId="522EB854">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①全厂有组织大气污染物排放量核算</w:t>
            </w:r>
            <w:bookmarkStart w:id="19" w:name="_Hlk92813504"/>
          </w:p>
          <w:p w14:paraId="656253F7">
            <w:pPr>
              <w:spacing w:line="360" w:lineRule="auto"/>
              <w:jc w:val="center"/>
              <w:rPr>
                <w:rFonts w:ascii="Times New Roman" w:hAnsi="Times New Roman" w:eastAsia="宋体" w:cs="Times New Roman"/>
                <w:b/>
                <w:bCs/>
                <w:snapToGrid w:val="0"/>
                <w:kern w:val="0"/>
                <w:sz w:val="24"/>
                <w:lang w:val="zh-CN"/>
              </w:rPr>
            </w:pPr>
            <w:r>
              <w:rPr>
                <w:rFonts w:hint="eastAsia" w:ascii="Times New Roman" w:hAnsi="Times New Roman" w:eastAsia="宋体" w:cs="Times New Roman"/>
                <w:b/>
                <w:bCs/>
                <w:snapToGrid w:val="0"/>
                <w:kern w:val="0"/>
                <w:sz w:val="24"/>
                <w:lang w:val="zh-CN"/>
              </w:rPr>
              <w:t>表</w:t>
            </w:r>
            <w:r>
              <w:rPr>
                <w:rFonts w:hint="eastAsia" w:ascii="Times New Roman" w:hAnsi="Times New Roman" w:eastAsia="宋体" w:cs="Times New Roman"/>
                <w:b/>
                <w:bCs/>
                <w:snapToGrid w:val="0"/>
                <w:kern w:val="0"/>
                <w:sz w:val="24"/>
              </w:rPr>
              <w:t xml:space="preserve">4-20  </w:t>
            </w:r>
            <w:r>
              <w:rPr>
                <w:rFonts w:hint="eastAsia" w:ascii="Times New Roman" w:hAnsi="Times New Roman" w:eastAsia="宋体" w:cs="Times New Roman"/>
                <w:b/>
                <w:bCs/>
                <w:snapToGrid w:val="0"/>
                <w:kern w:val="0"/>
                <w:sz w:val="24"/>
                <w:lang w:val="zh-CN"/>
              </w:rPr>
              <w:t>全厂有组织大气污染物排放量核算表</w:t>
            </w:r>
          </w:p>
          <w:tbl>
            <w:tblPr>
              <w:tblStyle w:val="28"/>
              <w:tblW w:w="49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1"/>
              <w:gridCol w:w="315"/>
              <w:gridCol w:w="570"/>
              <w:gridCol w:w="1159"/>
              <w:gridCol w:w="1683"/>
              <w:gridCol w:w="1688"/>
              <w:gridCol w:w="2050"/>
            </w:tblGrid>
            <w:tr w14:paraId="70912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restart"/>
                  <w:tcBorders>
                    <w:tl2br w:val="nil"/>
                    <w:tr2bl w:val="nil"/>
                  </w:tcBorders>
                  <w:shd w:val="clear" w:color="000000" w:fill="FFFFFF"/>
                  <w:vAlign w:val="center"/>
                </w:tcPr>
                <w:p w14:paraId="083C28B0">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序号</w:t>
                  </w:r>
                </w:p>
              </w:tc>
              <w:tc>
                <w:tcPr>
                  <w:tcW w:w="553" w:type="pct"/>
                  <w:gridSpan w:val="2"/>
                  <w:vMerge w:val="restart"/>
                  <w:tcBorders>
                    <w:tl2br w:val="nil"/>
                    <w:tr2bl w:val="nil"/>
                  </w:tcBorders>
                  <w:shd w:val="clear" w:color="000000" w:fill="FFFFFF"/>
                  <w:vAlign w:val="center"/>
                </w:tcPr>
                <w:p w14:paraId="06F1A861">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排放口</w:t>
                  </w:r>
                </w:p>
                <w:p w14:paraId="7FD54CCD">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编号</w:t>
                  </w:r>
                </w:p>
              </w:tc>
              <w:tc>
                <w:tcPr>
                  <w:tcW w:w="724" w:type="pct"/>
                  <w:vMerge w:val="restart"/>
                  <w:tcBorders>
                    <w:tl2br w:val="nil"/>
                    <w:tr2bl w:val="nil"/>
                  </w:tcBorders>
                  <w:shd w:val="clear" w:color="000000" w:fill="FFFFFF"/>
                  <w:vAlign w:val="center"/>
                </w:tcPr>
                <w:p w14:paraId="34F0643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b/>
                      <w:bCs/>
                      <w:szCs w:val="21"/>
                    </w:rPr>
                    <w:t>污染物</w:t>
                  </w:r>
                </w:p>
              </w:tc>
              <w:tc>
                <w:tcPr>
                  <w:tcW w:w="1051" w:type="pct"/>
                  <w:vMerge w:val="restart"/>
                  <w:tcBorders>
                    <w:tl2br w:val="nil"/>
                    <w:tr2bl w:val="nil"/>
                  </w:tcBorders>
                  <w:shd w:val="clear" w:color="000000" w:fill="FFFFFF"/>
                  <w:vAlign w:val="center"/>
                </w:tcPr>
                <w:p w14:paraId="054047E7">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核算排放浓度/</w:t>
                  </w:r>
                </w:p>
                <w:p w14:paraId="0E1320D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b/>
                      <w:bCs/>
                      <w:szCs w:val="21"/>
                    </w:rPr>
                    <w:t>(mg/m</w:t>
                  </w:r>
                  <w:r>
                    <w:rPr>
                      <w:rFonts w:hint="eastAsia" w:ascii="Times New Roman" w:hAnsi="Times New Roman" w:eastAsia="宋体" w:cs="Times New Roman"/>
                      <w:b/>
                      <w:bCs/>
                      <w:szCs w:val="21"/>
                      <w:vertAlign w:val="superscript"/>
                    </w:rPr>
                    <w:t>3</w:t>
                  </w:r>
                  <w:r>
                    <w:rPr>
                      <w:rFonts w:hint="eastAsia" w:ascii="Times New Roman" w:hAnsi="Times New Roman" w:eastAsia="宋体" w:cs="Times New Roman"/>
                      <w:b/>
                      <w:bCs/>
                      <w:szCs w:val="21"/>
                    </w:rPr>
                    <w:t>）</w:t>
                  </w:r>
                </w:p>
              </w:tc>
              <w:tc>
                <w:tcPr>
                  <w:tcW w:w="1052" w:type="pct"/>
                  <w:vMerge w:val="restart"/>
                  <w:tcBorders>
                    <w:tl2br w:val="nil"/>
                    <w:tr2bl w:val="nil"/>
                  </w:tcBorders>
                  <w:shd w:val="clear" w:color="000000" w:fill="FFFFFF"/>
                  <w:vAlign w:val="center"/>
                </w:tcPr>
                <w:p w14:paraId="0EDEB8BD">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核算排放速率/（kg/h）</w:t>
                  </w:r>
                </w:p>
              </w:tc>
              <w:tc>
                <w:tcPr>
                  <w:tcW w:w="1279" w:type="pct"/>
                  <w:vMerge w:val="restart"/>
                  <w:tcBorders>
                    <w:tl2br w:val="nil"/>
                    <w:tr2bl w:val="nil"/>
                  </w:tcBorders>
                  <w:shd w:val="clear" w:color="000000" w:fill="FFFFFF"/>
                  <w:vAlign w:val="center"/>
                </w:tcPr>
                <w:p w14:paraId="1161D0BA">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核算年排放量/（t/a）</w:t>
                  </w:r>
                </w:p>
              </w:tc>
            </w:tr>
            <w:tr w14:paraId="6F07D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continue"/>
                  <w:tcBorders>
                    <w:tl2br w:val="nil"/>
                    <w:tr2bl w:val="nil"/>
                  </w:tcBorders>
                  <w:vAlign w:val="center"/>
                </w:tcPr>
                <w:p w14:paraId="0C8CC2EE">
                  <w:pPr>
                    <w:adjustRightInd w:val="0"/>
                    <w:spacing w:line="240" w:lineRule="exact"/>
                    <w:jc w:val="center"/>
                    <w:textAlignment w:val="baseline"/>
                    <w:rPr>
                      <w:rFonts w:ascii="Times New Roman" w:hAnsi="Times New Roman" w:eastAsia="宋体" w:cs="Times New Roman"/>
                      <w:szCs w:val="21"/>
                    </w:rPr>
                  </w:pPr>
                </w:p>
              </w:tc>
              <w:tc>
                <w:tcPr>
                  <w:tcW w:w="553" w:type="pct"/>
                  <w:gridSpan w:val="2"/>
                  <w:vMerge w:val="continue"/>
                  <w:tcBorders>
                    <w:tl2br w:val="nil"/>
                    <w:tr2bl w:val="nil"/>
                  </w:tcBorders>
                  <w:vAlign w:val="center"/>
                </w:tcPr>
                <w:p w14:paraId="0F1ED624">
                  <w:pPr>
                    <w:adjustRightInd w:val="0"/>
                    <w:spacing w:line="240" w:lineRule="exact"/>
                    <w:jc w:val="center"/>
                    <w:textAlignment w:val="baseline"/>
                    <w:rPr>
                      <w:rFonts w:ascii="Times New Roman" w:hAnsi="Times New Roman" w:eastAsia="宋体" w:cs="Times New Roman"/>
                      <w:szCs w:val="21"/>
                    </w:rPr>
                  </w:pPr>
                </w:p>
              </w:tc>
              <w:tc>
                <w:tcPr>
                  <w:tcW w:w="724" w:type="pct"/>
                  <w:vMerge w:val="continue"/>
                  <w:tcBorders>
                    <w:tl2br w:val="nil"/>
                    <w:tr2bl w:val="nil"/>
                  </w:tcBorders>
                  <w:vAlign w:val="center"/>
                </w:tcPr>
                <w:p w14:paraId="2D09E6F7">
                  <w:pPr>
                    <w:adjustRightInd w:val="0"/>
                    <w:spacing w:line="240" w:lineRule="exact"/>
                    <w:jc w:val="center"/>
                    <w:textAlignment w:val="baseline"/>
                    <w:rPr>
                      <w:rFonts w:ascii="Times New Roman" w:hAnsi="Times New Roman" w:eastAsia="宋体" w:cs="Times New Roman"/>
                      <w:szCs w:val="21"/>
                    </w:rPr>
                  </w:pPr>
                </w:p>
              </w:tc>
              <w:tc>
                <w:tcPr>
                  <w:tcW w:w="1051" w:type="pct"/>
                  <w:vMerge w:val="continue"/>
                  <w:tcBorders>
                    <w:tl2br w:val="nil"/>
                    <w:tr2bl w:val="nil"/>
                  </w:tcBorders>
                  <w:vAlign w:val="center"/>
                </w:tcPr>
                <w:p w14:paraId="6FEE5AEF">
                  <w:pPr>
                    <w:adjustRightInd w:val="0"/>
                    <w:spacing w:line="240" w:lineRule="exact"/>
                    <w:jc w:val="center"/>
                    <w:textAlignment w:val="baseline"/>
                    <w:rPr>
                      <w:rFonts w:ascii="Times New Roman" w:hAnsi="Times New Roman" w:eastAsia="宋体" w:cs="Times New Roman"/>
                      <w:szCs w:val="21"/>
                    </w:rPr>
                  </w:pPr>
                </w:p>
              </w:tc>
              <w:tc>
                <w:tcPr>
                  <w:tcW w:w="1052" w:type="pct"/>
                  <w:vMerge w:val="continue"/>
                  <w:tcBorders>
                    <w:tl2br w:val="nil"/>
                    <w:tr2bl w:val="nil"/>
                  </w:tcBorders>
                  <w:vAlign w:val="center"/>
                </w:tcPr>
                <w:p w14:paraId="26236E6C">
                  <w:pPr>
                    <w:adjustRightInd w:val="0"/>
                    <w:spacing w:line="240" w:lineRule="exact"/>
                    <w:jc w:val="center"/>
                    <w:textAlignment w:val="baseline"/>
                    <w:rPr>
                      <w:rFonts w:ascii="Times New Roman" w:hAnsi="Times New Roman" w:eastAsia="宋体" w:cs="Times New Roman"/>
                      <w:szCs w:val="21"/>
                    </w:rPr>
                  </w:pPr>
                </w:p>
              </w:tc>
              <w:tc>
                <w:tcPr>
                  <w:tcW w:w="1279" w:type="pct"/>
                  <w:vMerge w:val="continue"/>
                  <w:tcBorders>
                    <w:tl2br w:val="nil"/>
                    <w:tr2bl w:val="nil"/>
                  </w:tcBorders>
                  <w:vAlign w:val="center"/>
                </w:tcPr>
                <w:p w14:paraId="384FF8C8">
                  <w:pPr>
                    <w:adjustRightInd w:val="0"/>
                    <w:spacing w:line="240" w:lineRule="exact"/>
                    <w:jc w:val="center"/>
                    <w:textAlignment w:val="baseline"/>
                    <w:rPr>
                      <w:rFonts w:ascii="Times New Roman" w:hAnsi="Times New Roman" w:eastAsia="宋体" w:cs="Times New Roman"/>
                      <w:szCs w:val="21"/>
                    </w:rPr>
                  </w:pPr>
                </w:p>
              </w:tc>
            </w:tr>
            <w:tr w14:paraId="7AA2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000" w:type="pct"/>
                  <w:gridSpan w:val="7"/>
                  <w:tcBorders>
                    <w:tl2br w:val="nil"/>
                    <w:tr2bl w:val="nil"/>
                  </w:tcBorders>
                  <w:shd w:val="clear" w:color="000000" w:fill="FFFFFF"/>
                  <w:vAlign w:val="center"/>
                </w:tcPr>
                <w:p w14:paraId="1B071AF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一般排放口</w:t>
                  </w:r>
                </w:p>
              </w:tc>
            </w:tr>
            <w:tr w14:paraId="4956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restart"/>
                  <w:tcBorders>
                    <w:tl2br w:val="nil"/>
                    <w:tr2bl w:val="nil"/>
                  </w:tcBorders>
                  <w:shd w:val="clear" w:color="000000" w:fill="FFFFFF"/>
                  <w:vAlign w:val="center"/>
                </w:tcPr>
                <w:p w14:paraId="5060671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w:t>
                  </w:r>
                </w:p>
              </w:tc>
              <w:tc>
                <w:tcPr>
                  <w:tcW w:w="553" w:type="pct"/>
                  <w:gridSpan w:val="2"/>
                  <w:vMerge w:val="restart"/>
                  <w:tcBorders>
                    <w:tl2br w:val="nil"/>
                    <w:tr2bl w:val="nil"/>
                  </w:tcBorders>
                  <w:shd w:val="clear" w:color="000000" w:fill="FFFFFF"/>
                  <w:vAlign w:val="center"/>
                </w:tcPr>
                <w:p w14:paraId="1D5F835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DA001</w:t>
                  </w:r>
                </w:p>
              </w:tc>
              <w:tc>
                <w:tcPr>
                  <w:tcW w:w="724" w:type="pct"/>
                  <w:tcBorders>
                    <w:tl2br w:val="nil"/>
                    <w:tr2bl w:val="nil"/>
                  </w:tcBorders>
                  <w:shd w:val="clear" w:color="000000" w:fill="FFFFFF"/>
                  <w:vAlign w:val="center"/>
                </w:tcPr>
                <w:p w14:paraId="743EA45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051" w:type="pct"/>
                  <w:tcBorders>
                    <w:tl2br w:val="nil"/>
                    <w:tr2bl w:val="nil"/>
                  </w:tcBorders>
                  <w:shd w:val="clear" w:color="000000" w:fill="FFFFFF"/>
                  <w:vAlign w:val="center"/>
                </w:tcPr>
                <w:p w14:paraId="223310C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6.29</w:t>
                  </w:r>
                </w:p>
              </w:tc>
              <w:tc>
                <w:tcPr>
                  <w:tcW w:w="1052" w:type="pct"/>
                  <w:tcBorders>
                    <w:tl2br w:val="nil"/>
                    <w:tr2bl w:val="nil"/>
                  </w:tcBorders>
                  <w:shd w:val="clear" w:color="000000" w:fill="FFFFFF"/>
                  <w:vAlign w:val="center"/>
                </w:tcPr>
                <w:p w14:paraId="1C18135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0.283</w:t>
                  </w:r>
                </w:p>
              </w:tc>
              <w:tc>
                <w:tcPr>
                  <w:tcW w:w="1279" w:type="pct"/>
                  <w:tcBorders>
                    <w:tl2br w:val="nil"/>
                    <w:tr2bl w:val="nil"/>
                  </w:tcBorders>
                  <w:shd w:val="clear" w:color="000000" w:fill="FFFFFF"/>
                  <w:vAlign w:val="center"/>
                </w:tcPr>
                <w:p w14:paraId="62AAB10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0.40739</w:t>
                  </w:r>
                </w:p>
              </w:tc>
            </w:tr>
            <w:tr w14:paraId="02E1F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continue"/>
                  <w:tcBorders>
                    <w:tl2br w:val="nil"/>
                    <w:tr2bl w:val="nil"/>
                  </w:tcBorders>
                  <w:shd w:val="clear" w:color="000000" w:fill="FFFFFF"/>
                  <w:vAlign w:val="center"/>
                </w:tcPr>
                <w:p w14:paraId="23337173">
                  <w:pPr>
                    <w:adjustRightInd w:val="0"/>
                    <w:spacing w:line="240" w:lineRule="exact"/>
                    <w:jc w:val="center"/>
                    <w:textAlignment w:val="baseline"/>
                    <w:rPr>
                      <w:rFonts w:ascii="Times New Roman" w:hAnsi="Times New Roman" w:eastAsia="宋体" w:cs="Times New Roman"/>
                      <w:szCs w:val="21"/>
                    </w:rPr>
                  </w:pPr>
                </w:p>
              </w:tc>
              <w:tc>
                <w:tcPr>
                  <w:tcW w:w="553" w:type="pct"/>
                  <w:gridSpan w:val="2"/>
                  <w:vMerge w:val="continue"/>
                  <w:tcBorders>
                    <w:tl2br w:val="nil"/>
                    <w:tr2bl w:val="nil"/>
                  </w:tcBorders>
                  <w:shd w:val="clear" w:color="000000" w:fill="FFFFFF"/>
                  <w:vAlign w:val="center"/>
                </w:tcPr>
                <w:p w14:paraId="07940B18">
                  <w:pPr>
                    <w:adjustRightInd w:val="0"/>
                    <w:spacing w:line="240" w:lineRule="exact"/>
                    <w:jc w:val="center"/>
                    <w:textAlignment w:val="baseline"/>
                    <w:rPr>
                      <w:rFonts w:ascii="Times New Roman" w:hAnsi="Times New Roman" w:eastAsia="宋体" w:cs="Times New Roman"/>
                      <w:szCs w:val="21"/>
                    </w:rPr>
                  </w:pPr>
                </w:p>
              </w:tc>
              <w:tc>
                <w:tcPr>
                  <w:tcW w:w="724" w:type="pct"/>
                  <w:tcBorders>
                    <w:tl2br w:val="nil"/>
                    <w:tr2bl w:val="nil"/>
                  </w:tcBorders>
                  <w:shd w:val="clear" w:color="000000" w:fill="FFFFFF"/>
                  <w:vAlign w:val="center"/>
                </w:tcPr>
                <w:p w14:paraId="557A41A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SO</w:t>
                  </w:r>
                  <w:r>
                    <w:rPr>
                      <w:rFonts w:hint="eastAsia" w:ascii="Times New Roman" w:hAnsi="Times New Roman" w:eastAsia="宋体" w:cs="Times New Roman"/>
                      <w:szCs w:val="21"/>
                      <w:vertAlign w:val="subscript"/>
                    </w:rPr>
                    <w:t>2</w:t>
                  </w:r>
                </w:p>
              </w:tc>
              <w:tc>
                <w:tcPr>
                  <w:tcW w:w="1051" w:type="pct"/>
                  <w:tcBorders>
                    <w:tl2br w:val="nil"/>
                    <w:tr2bl w:val="nil"/>
                  </w:tcBorders>
                  <w:shd w:val="clear" w:color="000000" w:fill="FFFFFF"/>
                  <w:vAlign w:val="center"/>
                </w:tcPr>
                <w:p w14:paraId="4E367F4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1.08</w:t>
                  </w:r>
                </w:p>
              </w:tc>
              <w:tc>
                <w:tcPr>
                  <w:tcW w:w="1052" w:type="pct"/>
                  <w:tcBorders>
                    <w:tl2br w:val="nil"/>
                    <w:tr2bl w:val="nil"/>
                  </w:tcBorders>
                  <w:shd w:val="clear" w:color="000000" w:fill="FFFFFF"/>
                  <w:vAlign w:val="center"/>
                </w:tcPr>
                <w:p w14:paraId="1BBCF90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0.002</w:t>
                  </w:r>
                </w:p>
              </w:tc>
              <w:tc>
                <w:tcPr>
                  <w:tcW w:w="1279" w:type="pct"/>
                  <w:tcBorders>
                    <w:tl2br w:val="nil"/>
                    <w:tr2bl w:val="nil"/>
                  </w:tcBorders>
                  <w:shd w:val="clear" w:color="000000" w:fill="FFFFFF"/>
                  <w:vAlign w:val="center"/>
                </w:tcPr>
                <w:p w14:paraId="3BA9F9D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0.0029</w:t>
                  </w:r>
                </w:p>
              </w:tc>
            </w:tr>
            <w:tr w14:paraId="4D0D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continue"/>
                  <w:tcBorders>
                    <w:bottom w:val="single" w:color="000000" w:sz="4" w:space="0"/>
                    <w:tl2br w:val="nil"/>
                    <w:tr2bl w:val="nil"/>
                  </w:tcBorders>
                  <w:shd w:val="clear" w:color="000000" w:fill="FFFFFF"/>
                  <w:vAlign w:val="center"/>
                </w:tcPr>
                <w:p w14:paraId="320D192D">
                  <w:pPr>
                    <w:adjustRightInd w:val="0"/>
                    <w:spacing w:line="240" w:lineRule="exact"/>
                    <w:jc w:val="center"/>
                    <w:textAlignment w:val="baseline"/>
                    <w:rPr>
                      <w:rFonts w:ascii="Times New Roman" w:hAnsi="Times New Roman" w:eastAsia="宋体" w:cs="Times New Roman"/>
                      <w:szCs w:val="21"/>
                    </w:rPr>
                  </w:pPr>
                </w:p>
              </w:tc>
              <w:tc>
                <w:tcPr>
                  <w:tcW w:w="553" w:type="pct"/>
                  <w:gridSpan w:val="2"/>
                  <w:vMerge w:val="continue"/>
                  <w:tcBorders>
                    <w:bottom w:val="single" w:color="000000" w:sz="4" w:space="0"/>
                    <w:tl2br w:val="nil"/>
                    <w:tr2bl w:val="nil"/>
                  </w:tcBorders>
                  <w:shd w:val="clear" w:color="000000" w:fill="FFFFFF"/>
                  <w:vAlign w:val="center"/>
                </w:tcPr>
                <w:p w14:paraId="3B8BAC84">
                  <w:pPr>
                    <w:adjustRightInd w:val="0"/>
                    <w:spacing w:line="240" w:lineRule="exact"/>
                    <w:jc w:val="center"/>
                    <w:textAlignment w:val="baseline"/>
                    <w:rPr>
                      <w:rFonts w:ascii="Times New Roman" w:hAnsi="Times New Roman" w:eastAsia="宋体" w:cs="Times New Roman"/>
                      <w:szCs w:val="21"/>
                    </w:rPr>
                  </w:pPr>
                </w:p>
              </w:tc>
              <w:tc>
                <w:tcPr>
                  <w:tcW w:w="724" w:type="pct"/>
                  <w:tcBorders>
                    <w:bottom w:val="single" w:color="000000" w:sz="4" w:space="0"/>
                    <w:tl2br w:val="nil"/>
                    <w:tr2bl w:val="nil"/>
                  </w:tcBorders>
                  <w:shd w:val="clear" w:color="000000" w:fill="FFFFFF"/>
                  <w:vAlign w:val="center"/>
                </w:tcPr>
                <w:p w14:paraId="7866144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NO</w:t>
                  </w:r>
                  <w:r>
                    <w:rPr>
                      <w:rFonts w:hint="eastAsia" w:ascii="Times New Roman" w:hAnsi="Times New Roman" w:eastAsia="宋体" w:cs="Times New Roman"/>
                      <w:szCs w:val="21"/>
                      <w:vertAlign w:val="subscript"/>
                    </w:rPr>
                    <w:t>X</w:t>
                  </w:r>
                </w:p>
              </w:tc>
              <w:tc>
                <w:tcPr>
                  <w:tcW w:w="1051" w:type="pct"/>
                  <w:tcBorders>
                    <w:bottom w:val="single" w:color="000000" w:sz="4" w:space="0"/>
                    <w:tl2br w:val="nil"/>
                    <w:tr2bl w:val="nil"/>
                  </w:tcBorders>
                  <w:shd w:val="clear" w:color="000000" w:fill="FFFFFF"/>
                  <w:vAlign w:val="center"/>
                </w:tcPr>
                <w:p w14:paraId="7F24B6D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169.99</w:t>
                  </w:r>
                </w:p>
              </w:tc>
              <w:tc>
                <w:tcPr>
                  <w:tcW w:w="1052" w:type="pct"/>
                  <w:tcBorders>
                    <w:bottom w:val="single" w:color="000000" w:sz="4" w:space="0"/>
                    <w:tl2br w:val="nil"/>
                    <w:tr2bl w:val="nil"/>
                  </w:tcBorders>
                  <w:shd w:val="clear" w:color="000000" w:fill="FFFFFF"/>
                  <w:vAlign w:val="center"/>
                </w:tcPr>
                <w:p w14:paraId="3E87483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0.316</w:t>
                  </w:r>
                </w:p>
              </w:tc>
              <w:tc>
                <w:tcPr>
                  <w:tcW w:w="1279" w:type="pct"/>
                  <w:tcBorders>
                    <w:bottom w:val="single" w:color="000000" w:sz="4" w:space="0"/>
                    <w:tl2br w:val="nil"/>
                    <w:tr2bl w:val="nil"/>
                  </w:tcBorders>
                  <w:shd w:val="clear" w:color="000000" w:fill="FFFFFF"/>
                  <w:vAlign w:val="center"/>
                </w:tcPr>
                <w:p w14:paraId="66EA7EC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0.454</w:t>
                  </w:r>
                </w:p>
              </w:tc>
            </w:tr>
            <w:tr w14:paraId="70E4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restart"/>
                  <w:tcBorders>
                    <w:top w:val="single" w:color="000000" w:sz="4" w:space="0"/>
                    <w:tl2br w:val="nil"/>
                    <w:tr2bl w:val="nil"/>
                  </w:tcBorders>
                  <w:shd w:val="clear" w:color="000000" w:fill="FFFFFF"/>
                  <w:vAlign w:val="center"/>
                </w:tcPr>
                <w:p w14:paraId="239826E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w:t>
                  </w:r>
                </w:p>
              </w:tc>
              <w:tc>
                <w:tcPr>
                  <w:tcW w:w="197" w:type="pct"/>
                  <w:vMerge w:val="restart"/>
                  <w:tcBorders>
                    <w:top w:val="single" w:color="000000" w:sz="4" w:space="0"/>
                    <w:right w:val="single" w:color="000000" w:sz="4" w:space="0"/>
                    <w:tl2br w:val="nil"/>
                    <w:tr2bl w:val="nil"/>
                  </w:tcBorders>
                  <w:shd w:val="clear" w:color="000000" w:fill="FFFFFF"/>
                  <w:vAlign w:val="center"/>
                </w:tcPr>
                <w:p w14:paraId="1F19B507">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D</w:t>
                  </w:r>
                </w:p>
                <w:p w14:paraId="3842951A">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A</w:t>
                  </w:r>
                </w:p>
                <w:p w14:paraId="6D5ECBD4">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0</w:t>
                  </w:r>
                </w:p>
                <w:p w14:paraId="68BE657F">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0</w:t>
                  </w:r>
                </w:p>
                <w:p w14:paraId="6B489F1D">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2</w:t>
                  </w:r>
                </w:p>
              </w:tc>
              <w:tc>
                <w:tcPr>
                  <w:tcW w:w="355" w:type="pct"/>
                  <w:vMerge w:val="restart"/>
                  <w:tcBorders>
                    <w:top w:val="single" w:color="000000" w:sz="4" w:space="0"/>
                    <w:left w:val="single" w:color="000000" w:sz="4" w:space="0"/>
                    <w:tl2br w:val="nil"/>
                    <w:tr2bl w:val="nil"/>
                  </w:tcBorders>
                  <w:shd w:val="clear" w:color="000000" w:fill="FFFFFF"/>
                  <w:vAlign w:val="center"/>
                </w:tcPr>
                <w:p w14:paraId="5C0CFD8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1440h</w:t>
                  </w:r>
                </w:p>
              </w:tc>
              <w:tc>
                <w:tcPr>
                  <w:tcW w:w="724" w:type="pct"/>
                  <w:tcBorders>
                    <w:top w:val="single" w:color="000000" w:sz="4" w:space="0"/>
                    <w:bottom w:val="single" w:color="000000" w:sz="4" w:space="0"/>
                    <w:tl2br w:val="nil"/>
                    <w:tr2bl w:val="nil"/>
                  </w:tcBorders>
                  <w:shd w:val="clear" w:color="000000" w:fill="FFFFFF"/>
                  <w:vAlign w:val="center"/>
                </w:tcPr>
                <w:p w14:paraId="79678772">
                  <w:pPr>
                    <w:jc w:val="center"/>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051" w:type="pct"/>
                  <w:tcBorders>
                    <w:top w:val="single" w:color="000000" w:sz="4" w:space="0"/>
                    <w:bottom w:val="single" w:color="000000" w:sz="4" w:space="0"/>
                    <w:tl2br w:val="nil"/>
                    <w:tr2bl w:val="nil"/>
                  </w:tcBorders>
                  <w:shd w:val="clear" w:color="000000" w:fill="FFFFFF"/>
                  <w:vAlign w:val="center"/>
                </w:tcPr>
                <w:p w14:paraId="13C42B5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1.05</w:t>
                  </w:r>
                </w:p>
              </w:tc>
              <w:tc>
                <w:tcPr>
                  <w:tcW w:w="1052" w:type="pct"/>
                  <w:tcBorders>
                    <w:top w:val="single" w:color="000000" w:sz="4" w:space="0"/>
                    <w:bottom w:val="single" w:color="000000" w:sz="4" w:space="0"/>
                    <w:tl2br w:val="nil"/>
                    <w:tr2bl w:val="nil"/>
                  </w:tcBorders>
                  <w:shd w:val="clear" w:color="000000" w:fill="FFFFFF"/>
                  <w:vAlign w:val="center"/>
                </w:tcPr>
                <w:p w14:paraId="67BF2CB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0.023</w:t>
                  </w:r>
                </w:p>
              </w:tc>
              <w:tc>
                <w:tcPr>
                  <w:tcW w:w="1279" w:type="pct"/>
                  <w:tcBorders>
                    <w:top w:val="single" w:color="000000" w:sz="4" w:space="0"/>
                    <w:bottom w:val="single" w:color="000000" w:sz="4" w:space="0"/>
                    <w:tl2br w:val="nil"/>
                    <w:tr2bl w:val="nil"/>
                  </w:tcBorders>
                  <w:shd w:val="clear" w:color="000000" w:fill="FFFFFF"/>
                  <w:vAlign w:val="center"/>
                </w:tcPr>
                <w:p w14:paraId="2C23B50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0.0335</w:t>
                  </w:r>
                </w:p>
              </w:tc>
            </w:tr>
            <w:tr w14:paraId="0690B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continue"/>
                  <w:tcBorders>
                    <w:tl2br w:val="nil"/>
                    <w:tr2bl w:val="nil"/>
                  </w:tcBorders>
                  <w:shd w:val="clear" w:color="000000" w:fill="FFFFFF"/>
                  <w:vAlign w:val="center"/>
                </w:tcPr>
                <w:p w14:paraId="19C36FDD">
                  <w:pPr>
                    <w:adjustRightInd w:val="0"/>
                    <w:spacing w:line="240" w:lineRule="exact"/>
                    <w:jc w:val="center"/>
                    <w:textAlignment w:val="baseline"/>
                    <w:rPr>
                      <w:rFonts w:ascii="Times New Roman" w:hAnsi="Times New Roman" w:eastAsia="宋体" w:cs="Times New Roman"/>
                      <w:szCs w:val="21"/>
                    </w:rPr>
                  </w:pPr>
                </w:p>
              </w:tc>
              <w:tc>
                <w:tcPr>
                  <w:tcW w:w="197" w:type="pct"/>
                  <w:vMerge w:val="continue"/>
                  <w:tcBorders>
                    <w:right w:val="single" w:color="000000" w:sz="4" w:space="0"/>
                    <w:tl2br w:val="nil"/>
                    <w:tr2bl w:val="nil"/>
                  </w:tcBorders>
                  <w:shd w:val="clear" w:color="000000" w:fill="FFFFFF"/>
                  <w:vAlign w:val="center"/>
                </w:tcPr>
                <w:p w14:paraId="79A73DA2">
                  <w:pPr>
                    <w:adjustRightInd w:val="0"/>
                    <w:spacing w:line="240" w:lineRule="exact"/>
                    <w:jc w:val="center"/>
                    <w:textAlignment w:val="baseline"/>
                    <w:rPr>
                      <w:rFonts w:ascii="Times New Roman" w:hAnsi="Times New Roman" w:eastAsia="宋体" w:cs="Times New Roman"/>
                      <w:szCs w:val="21"/>
                    </w:rPr>
                  </w:pPr>
                </w:p>
              </w:tc>
              <w:tc>
                <w:tcPr>
                  <w:tcW w:w="355" w:type="pct"/>
                  <w:vMerge w:val="continue"/>
                  <w:tcBorders>
                    <w:left w:val="single" w:color="000000" w:sz="4" w:space="0"/>
                    <w:tl2br w:val="nil"/>
                    <w:tr2bl w:val="nil"/>
                  </w:tcBorders>
                  <w:shd w:val="clear" w:color="000000" w:fill="FFFFFF"/>
                  <w:vAlign w:val="center"/>
                </w:tcPr>
                <w:p w14:paraId="1FF47394">
                  <w:pPr>
                    <w:adjustRightInd w:val="0"/>
                    <w:spacing w:line="240" w:lineRule="exact"/>
                    <w:jc w:val="center"/>
                    <w:textAlignment w:val="baseline"/>
                    <w:rPr>
                      <w:rFonts w:ascii="Times New Roman" w:hAnsi="Times New Roman" w:eastAsia="宋体" w:cs="Times New Roman"/>
                      <w:szCs w:val="21"/>
                    </w:rPr>
                  </w:pPr>
                </w:p>
              </w:tc>
              <w:tc>
                <w:tcPr>
                  <w:tcW w:w="724" w:type="pct"/>
                  <w:tcBorders>
                    <w:top w:val="single" w:color="000000" w:sz="4" w:space="0"/>
                    <w:bottom w:val="single" w:color="000000" w:sz="4" w:space="0"/>
                    <w:tl2br w:val="nil"/>
                    <w:tr2bl w:val="nil"/>
                  </w:tcBorders>
                  <w:shd w:val="clear" w:color="000000" w:fill="FFFFFF"/>
                  <w:vAlign w:val="center"/>
                </w:tcPr>
                <w:p w14:paraId="0002B4D5">
                  <w:pPr>
                    <w:jc w:val="center"/>
                    <w:rPr>
                      <w:rFonts w:ascii="Times New Roman" w:hAnsi="Times New Roman" w:eastAsia="宋体" w:cs="Times New Roman"/>
                      <w:szCs w:val="21"/>
                    </w:rPr>
                  </w:pPr>
                  <w:r>
                    <w:rPr>
                      <w:rFonts w:hint="eastAsia" w:ascii="Times New Roman" w:hAnsi="Times New Roman" w:cs="Times New Roman"/>
                      <w:szCs w:val="21"/>
                    </w:rPr>
                    <w:t>沥青烟</w:t>
                  </w:r>
                </w:p>
              </w:tc>
              <w:tc>
                <w:tcPr>
                  <w:tcW w:w="1051" w:type="pct"/>
                  <w:tcBorders>
                    <w:top w:val="single" w:color="000000" w:sz="4" w:space="0"/>
                    <w:bottom w:val="single" w:color="000000" w:sz="4" w:space="0"/>
                    <w:tl2br w:val="nil"/>
                    <w:tr2bl w:val="nil"/>
                  </w:tcBorders>
                  <w:shd w:val="clear" w:color="000000" w:fill="FFFFFF"/>
                  <w:vAlign w:val="center"/>
                </w:tcPr>
                <w:p w14:paraId="02E00E7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0.133</w:t>
                  </w:r>
                </w:p>
              </w:tc>
              <w:tc>
                <w:tcPr>
                  <w:tcW w:w="1052" w:type="pct"/>
                  <w:tcBorders>
                    <w:top w:val="single" w:color="000000" w:sz="4" w:space="0"/>
                    <w:bottom w:val="single" w:color="000000" w:sz="4" w:space="0"/>
                    <w:tl2br w:val="nil"/>
                    <w:tr2bl w:val="nil"/>
                  </w:tcBorders>
                  <w:shd w:val="clear" w:color="000000" w:fill="FFFFFF"/>
                  <w:vAlign w:val="center"/>
                </w:tcPr>
                <w:p w14:paraId="6897E92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0.0029</w:t>
                  </w:r>
                </w:p>
              </w:tc>
              <w:tc>
                <w:tcPr>
                  <w:tcW w:w="1279" w:type="pct"/>
                  <w:tcBorders>
                    <w:top w:val="single" w:color="000000" w:sz="4" w:space="0"/>
                    <w:bottom w:val="single" w:color="000000" w:sz="4" w:space="0"/>
                    <w:tl2br w:val="nil"/>
                    <w:tr2bl w:val="nil"/>
                  </w:tcBorders>
                  <w:shd w:val="clear" w:color="000000" w:fill="FFFFFF"/>
                  <w:vAlign w:val="center"/>
                </w:tcPr>
                <w:p w14:paraId="26D9A4B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0.0042</w:t>
                  </w:r>
                </w:p>
              </w:tc>
            </w:tr>
            <w:tr w14:paraId="33DD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continue"/>
                  <w:tcBorders>
                    <w:tl2br w:val="nil"/>
                    <w:tr2bl w:val="nil"/>
                  </w:tcBorders>
                  <w:shd w:val="clear" w:color="000000" w:fill="FFFFFF"/>
                  <w:vAlign w:val="center"/>
                </w:tcPr>
                <w:p w14:paraId="7999610F">
                  <w:pPr>
                    <w:adjustRightInd w:val="0"/>
                    <w:spacing w:line="240" w:lineRule="exact"/>
                    <w:jc w:val="center"/>
                    <w:textAlignment w:val="baseline"/>
                    <w:rPr>
                      <w:rFonts w:ascii="Times New Roman" w:hAnsi="Times New Roman" w:eastAsia="宋体" w:cs="Times New Roman"/>
                      <w:szCs w:val="21"/>
                    </w:rPr>
                  </w:pPr>
                </w:p>
              </w:tc>
              <w:tc>
                <w:tcPr>
                  <w:tcW w:w="197" w:type="pct"/>
                  <w:vMerge w:val="continue"/>
                  <w:tcBorders>
                    <w:right w:val="single" w:color="000000" w:sz="4" w:space="0"/>
                    <w:tl2br w:val="nil"/>
                    <w:tr2bl w:val="nil"/>
                  </w:tcBorders>
                  <w:shd w:val="clear" w:color="000000" w:fill="FFFFFF"/>
                  <w:vAlign w:val="center"/>
                </w:tcPr>
                <w:p w14:paraId="0C2D76E3">
                  <w:pPr>
                    <w:adjustRightInd w:val="0"/>
                    <w:spacing w:line="240" w:lineRule="exact"/>
                    <w:jc w:val="center"/>
                    <w:textAlignment w:val="baseline"/>
                    <w:rPr>
                      <w:rFonts w:ascii="Times New Roman" w:hAnsi="Times New Roman" w:eastAsia="宋体" w:cs="Times New Roman"/>
                      <w:szCs w:val="21"/>
                    </w:rPr>
                  </w:pPr>
                </w:p>
              </w:tc>
              <w:tc>
                <w:tcPr>
                  <w:tcW w:w="355" w:type="pct"/>
                  <w:vMerge w:val="continue"/>
                  <w:tcBorders>
                    <w:left w:val="single" w:color="000000" w:sz="4" w:space="0"/>
                    <w:tl2br w:val="nil"/>
                    <w:tr2bl w:val="nil"/>
                  </w:tcBorders>
                  <w:shd w:val="clear" w:color="000000" w:fill="FFFFFF"/>
                  <w:vAlign w:val="center"/>
                </w:tcPr>
                <w:p w14:paraId="47368E73">
                  <w:pPr>
                    <w:adjustRightInd w:val="0"/>
                    <w:spacing w:line="240" w:lineRule="exact"/>
                    <w:jc w:val="center"/>
                    <w:textAlignment w:val="baseline"/>
                    <w:rPr>
                      <w:rFonts w:ascii="Times New Roman" w:hAnsi="Times New Roman" w:eastAsia="宋体" w:cs="Times New Roman"/>
                      <w:szCs w:val="21"/>
                    </w:rPr>
                  </w:pPr>
                </w:p>
              </w:tc>
              <w:tc>
                <w:tcPr>
                  <w:tcW w:w="724" w:type="pct"/>
                  <w:tcBorders>
                    <w:top w:val="single" w:color="000000" w:sz="4" w:space="0"/>
                    <w:bottom w:val="single" w:color="000000" w:sz="4" w:space="0"/>
                    <w:tl2br w:val="nil"/>
                    <w:tr2bl w:val="nil"/>
                  </w:tcBorders>
                  <w:shd w:val="clear" w:color="000000" w:fill="FFFFFF"/>
                  <w:vAlign w:val="center"/>
                </w:tcPr>
                <w:p w14:paraId="13039D29">
                  <w:pPr>
                    <w:jc w:val="center"/>
                    <w:rPr>
                      <w:rFonts w:ascii="Times New Roman" w:hAnsi="Times New Roman" w:eastAsia="宋体" w:cs="Times New Roman"/>
                      <w:szCs w:val="21"/>
                    </w:rPr>
                  </w:pPr>
                  <w:r>
                    <w:rPr>
                      <w:rFonts w:ascii="Times New Roman" w:hAnsi="Times New Roman" w:cs="Times New Roman"/>
                      <w:szCs w:val="21"/>
                    </w:rPr>
                    <w:t>苯并[a]芘</w:t>
                  </w:r>
                </w:p>
              </w:tc>
              <w:tc>
                <w:tcPr>
                  <w:tcW w:w="1051" w:type="pct"/>
                  <w:tcBorders>
                    <w:top w:val="single" w:color="000000" w:sz="4" w:space="0"/>
                    <w:bottom w:val="single" w:color="000000" w:sz="4" w:space="0"/>
                    <w:tl2br w:val="nil"/>
                    <w:tr2bl w:val="nil"/>
                  </w:tcBorders>
                  <w:shd w:val="clear" w:color="000000" w:fill="FFFFFF"/>
                  <w:vAlign w:val="center"/>
                </w:tcPr>
                <w:p w14:paraId="0CB0D70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0.00001</w:t>
                  </w:r>
                </w:p>
              </w:tc>
              <w:tc>
                <w:tcPr>
                  <w:tcW w:w="1052" w:type="pct"/>
                  <w:tcBorders>
                    <w:top w:val="single" w:color="000000" w:sz="4" w:space="0"/>
                    <w:bottom w:val="single" w:color="000000" w:sz="4" w:space="0"/>
                    <w:tl2br w:val="nil"/>
                    <w:tr2bl w:val="nil"/>
                  </w:tcBorders>
                  <w:shd w:val="clear" w:color="000000" w:fill="FFFFFF"/>
                  <w:vAlign w:val="center"/>
                </w:tcPr>
                <w:p w14:paraId="77361D0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0.000000435</w:t>
                  </w:r>
                </w:p>
              </w:tc>
              <w:tc>
                <w:tcPr>
                  <w:tcW w:w="1279" w:type="pct"/>
                  <w:tcBorders>
                    <w:top w:val="single" w:color="000000" w:sz="4" w:space="0"/>
                    <w:bottom w:val="single" w:color="000000" w:sz="4" w:space="0"/>
                    <w:tl2br w:val="nil"/>
                    <w:tr2bl w:val="nil"/>
                  </w:tcBorders>
                  <w:shd w:val="clear" w:color="000000" w:fill="FFFFFF"/>
                  <w:vAlign w:val="center"/>
                </w:tcPr>
                <w:p w14:paraId="72048E8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0.000000627</w:t>
                  </w:r>
                </w:p>
              </w:tc>
            </w:tr>
            <w:tr w14:paraId="082AB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continue"/>
                  <w:tcBorders>
                    <w:tl2br w:val="nil"/>
                    <w:tr2bl w:val="nil"/>
                  </w:tcBorders>
                  <w:shd w:val="clear" w:color="000000" w:fill="FFFFFF"/>
                  <w:vAlign w:val="center"/>
                </w:tcPr>
                <w:p w14:paraId="58184D48">
                  <w:pPr>
                    <w:adjustRightInd w:val="0"/>
                    <w:spacing w:line="240" w:lineRule="exact"/>
                    <w:jc w:val="center"/>
                    <w:textAlignment w:val="baseline"/>
                    <w:rPr>
                      <w:rFonts w:ascii="Times New Roman" w:hAnsi="Times New Roman" w:eastAsia="宋体" w:cs="Times New Roman"/>
                      <w:szCs w:val="21"/>
                    </w:rPr>
                  </w:pPr>
                </w:p>
              </w:tc>
              <w:tc>
                <w:tcPr>
                  <w:tcW w:w="197" w:type="pct"/>
                  <w:vMerge w:val="continue"/>
                  <w:tcBorders>
                    <w:right w:val="single" w:color="000000" w:sz="4" w:space="0"/>
                    <w:tl2br w:val="nil"/>
                    <w:tr2bl w:val="nil"/>
                  </w:tcBorders>
                  <w:shd w:val="clear" w:color="000000" w:fill="FFFFFF"/>
                  <w:vAlign w:val="center"/>
                </w:tcPr>
                <w:p w14:paraId="375996A1">
                  <w:pPr>
                    <w:adjustRightInd w:val="0"/>
                    <w:spacing w:line="240" w:lineRule="exact"/>
                    <w:jc w:val="center"/>
                    <w:textAlignment w:val="baseline"/>
                    <w:rPr>
                      <w:rFonts w:ascii="Times New Roman" w:hAnsi="Times New Roman" w:eastAsia="宋体" w:cs="Times New Roman"/>
                      <w:szCs w:val="21"/>
                    </w:rPr>
                  </w:pPr>
                </w:p>
              </w:tc>
              <w:tc>
                <w:tcPr>
                  <w:tcW w:w="355" w:type="pct"/>
                  <w:vMerge w:val="continue"/>
                  <w:tcBorders>
                    <w:left w:val="single" w:color="000000" w:sz="4" w:space="0"/>
                    <w:bottom w:val="single" w:color="000000" w:sz="4" w:space="0"/>
                    <w:tl2br w:val="nil"/>
                    <w:tr2bl w:val="nil"/>
                  </w:tcBorders>
                  <w:shd w:val="clear" w:color="000000" w:fill="FFFFFF"/>
                  <w:vAlign w:val="center"/>
                </w:tcPr>
                <w:p w14:paraId="02F45F4E">
                  <w:pPr>
                    <w:adjustRightInd w:val="0"/>
                    <w:spacing w:line="240" w:lineRule="exact"/>
                    <w:jc w:val="center"/>
                    <w:textAlignment w:val="baseline"/>
                    <w:rPr>
                      <w:rFonts w:ascii="Times New Roman" w:hAnsi="Times New Roman" w:eastAsia="宋体" w:cs="Times New Roman"/>
                      <w:szCs w:val="21"/>
                    </w:rPr>
                  </w:pPr>
                </w:p>
              </w:tc>
              <w:tc>
                <w:tcPr>
                  <w:tcW w:w="724" w:type="pct"/>
                  <w:tcBorders>
                    <w:top w:val="single" w:color="000000" w:sz="4" w:space="0"/>
                    <w:bottom w:val="single" w:color="000000" w:sz="4" w:space="0"/>
                    <w:tl2br w:val="nil"/>
                    <w:tr2bl w:val="nil"/>
                  </w:tcBorders>
                  <w:shd w:val="clear" w:color="000000" w:fill="FFFFFF"/>
                  <w:vAlign w:val="center"/>
                </w:tcPr>
                <w:p w14:paraId="73F8EB61">
                  <w:pPr>
                    <w:jc w:val="center"/>
                    <w:rPr>
                      <w:rFonts w:ascii="Times New Roman" w:hAnsi="Times New Roman" w:eastAsia="宋体" w:cs="Times New Roman"/>
                      <w:szCs w:val="21"/>
                    </w:rPr>
                  </w:pPr>
                  <w:r>
                    <w:rPr>
                      <w:rFonts w:hint="eastAsia" w:ascii="Times New Roman" w:hAnsi="Times New Roman" w:cs="Times New Roman"/>
                      <w:szCs w:val="21"/>
                    </w:rPr>
                    <w:t>非甲烷总烃</w:t>
                  </w:r>
                </w:p>
              </w:tc>
              <w:tc>
                <w:tcPr>
                  <w:tcW w:w="1051" w:type="pct"/>
                  <w:tcBorders>
                    <w:top w:val="single" w:color="000000" w:sz="4" w:space="0"/>
                    <w:bottom w:val="single" w:color="000000" w:sz="4" w:space="0"/>
                    <w:tl2br w:val="nil"/>
                    <w:tr2bl w:val="nil"/>
                  </w:tcBorders>
                  <w:shd w:val="clear" w:color="000000" w:fill="FFFFFF"/>
                  <w:vAlign w:val="center"/>
                </w:tcPr>
                <w:p w14:paraId="2F6AE35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0.641</w:t>
                  </w:r>
                </w:p>
              </w:tc>
              <w:tc>
                <w:tcPr>
                  <w:tcW w:w="1052" w:type="pct"/>
                  <w:tcBorders>
                    <w:top w:val="single" w:color="000000" w:sz="4" w:space="0"/>
                    <w:bottom w:val="single" w:color="000000" w:sz="4" w:space="0"/>
                    <w:tl2br w:val="nil"/>
                    <w:tr2bl w:val="nil"/>
                  </w:tcBorders>
                  <w:shd w:val="clear" w:color="000000" w:fill="FFFFFF"/>
                  <w:vAlign w:val="center"/>
                </w:tcPr>
                <w:p w14:paraId="32A0A88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0.014</w:t>
                  </w:r>
                </w:p>
              </w:tc>
              <w:tc>
                <w:tcPr>
                  <w:tcW w:w="1279" w:type="pct"/>
                  <w:tcBorders>
                    <w:top w:val="single" w:color="000000" w:sz="4" w:space="0"/>
                    <w:bottom w:val="single" w:color="000000" w:sz="4" w:space="0"/>
                    <w:tl2br w:val="nil"/>
                    <w:tr2bl w:val="nil"/>
                  </w:tcBorders>
                  <w:shd w:val="clear" w:color="000000" w:fill="FFFFFF"/>
                  <w:vAlign w:val="center"/>
                </w:tcPr>
                <w:p w14:paraId="586DD25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0.02</w:t>
                  </w:r>
                </w:p>
              </w:tc>
            </w:tr>
            <w:tr w14:paraId="16F5C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continue"/>
                  <w:tcBorders>
                    <w:tl2br w:val="nil"/>
                    <w:tr2bl w:val="nil"/>
                  </w:tcBorders>
                  <w:shd w:val="clear" w:color="000000" w:fill="FFFFFF"/>
                  <w:vAlign w:val="center"/>
                </w:tcPr>
                <w:p w14:paraId="6A8C831B">
                  <w:pPr>
                    <w:adjustRightInd w:val="0"/>
                    <w:spacing w:line="240" w:lineRule="exact"/>
                    <w:jc w:val="center"/>
                    <w:textAlignment w:val="baseline"/>
                    <w:rPr>
                      <w:rFonts w:ascii="Times New Roman" w:hAnsi="Times New Roman" w:eastAsia="宋体" w:cs="Times New Roman"/>
                      <w:szCs w:val="21"/>
                    </w:rPr>
                  </w:pPr>
                </w:p>
              </w:tc>
              <w:tc>
                <w:tcPr>
                  <w:tcW w:w="197" w:type="pct"/>
                  <w:vMerge w:val="continue"/>
                  <w:tcBorders>
                    <w:right w:val="single" w:color="000000" w:sz="4" w:space="0"/>
                    <w:tl2br w:val="nil"/>
                    <w:tr2bl w:val="nil"/>
                  </w:tcBorders>
                  <w:shd w:val="clear" w:color="000000" w:fill="FFFFFF"/>
                  <w:vAlign w:val="center"/>
                </w:tcPr>
                <w:p w14:paraId="2B8EA243">
                  <w:pPr>
                    <w:adjustRightInd w:val="0"/>
                    <w:spacing w:line="240" w:lineRule="exact"/>
                    <w:jc w:val="center"/>
                    <w:textAlignment w:val="baseline"/>
                    <w:rPr>
                      <w:rFonts w:ascii="Times New Roman" w:hAnsi="Times New Roman" w:eastAsia="宋体" w:cs="Times New Roman"/>
                      <w:szCs w:val="21"/>
                    </w:rPr>
                  </w:pPr>
                </w:p>
              </w:tc>
              <w:tc>
                <w:tcPr>
                  <w:tcW w:w="355" w:type="pct"/>
                  <w:vMerge w:val="restart"/>
                  <w:tcBorders>
                    <w:top w:val="single" w:color="000000" w:sz="4" w:space="0"/>
                    <w:left w:val="single" w:color="000000" w:sz="4" w:space="0"/>
                    <w:tl2br w:val="nil"/>
                    <w:tr2bl w:val="nil"/>
                  </w:tcBorders>
                  <w:shd w:val="clear" w:color="000000" w:fill="FFFFFF"/>
                  <w:vAlign w:val="center"/>
                </w:tcPr>
                <w:p w14:paraId="19F3BD0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4320h</w:t>
                  </w:r>
                </w:p>
              </w:tc>
              <w:tc>
                <w:tcPr>
                  <w:tcW w:w="724" w:type="pct"/>
                  <w:tcBorders>
                    <w:top w:val="single" w:color="000000" w:sz="4" w:space="0"/>
                    <w:bottom w:val="single" w:color="000000" w:sz="4" w:space="0"/>
                    <w:tl2br w:val="nil"/>
                    <w:tr2bl w:val="nil"/>
                  </w:tcBorders>
                  <w:shd w:val="clear" w:color="000000" w:fill="FFFFFF"/>
                  <w:vAlign w:val="center"/>
                </w:tcPr>
                <w:p w14:paraId="36A89E53">
                  <w:pPr>
                    <w:jc w:val="center"/>
                    <w:rPr>
                      <w:rFonts w:ascii="Times New Roman" w:hAnsi="Times New Roman" w:cs="Times New Roman"/>
                      <w:szCs w:val="21"/>
                    </w:rPr>
                  </w:pPr>
                  <w:r>
                    <w:rPr>
                      <w:rFonts w:hint="eastAsia" w:ascii="Times New Roman" w:hAnsi="Times New Roman" w:cs="Times New Roman"/>
                      <w:szCs w:val="21"/>
                    </w:rPr>
                    <w:t>沥青烟</w:t>
                  </w:r>
                </w:p>
              </w:tc>
              <w:tc>
                <w:tcPr>
                  <w:tcW w:w="1051" w:type="pct"/>
                  <w:tcBorders>
                    <w:top w:val="single" w:color="000000" w:sz="4" w:space="0"/>
                    <w:bottom w:val="single" w:color="000000" w:sz="4" w:space="0"/>
                    <w:tl2br w:val="nil"/>
                    <w:tr2bl w:val="nil"/>
                  </w:tcBorders>
                  <w:shd w:val="clear" w:color="000000" w:fill="FFFFFF"/>
                  <w:vAlign w:val="center"/>
                </w:tcPr>
                <w:p w14:paraId="7DCEA0A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0.051</w:t>
                  </w:r>
                </w:p>
              </w:tc>
              <w:tc>
                <w:tcPr>
                  <w:tcW w:w="1052" w:type="pct"/>
                  <w:tcBorders>
                    <w:top w:val="single" w:color="000000" w:sz="4" w:space="0"/>
                    <w:bottom w:val="single" w:color="000000" w:sz="4" w:space="0"/>
                    <w:tl2br w:val="nil"/>
                    <w:tr2bl w:val="nil"/>
                  </w:tcBorders>
                  <w:shd w:val="clear" w:color="000000" w:fill="FFFFFF"/>
                  <w:vAlign w:val="center"/>
                </w:tcPr>
                <w:p w14:paraId="7AF52F7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0.001</w:t>
                  </w:r>
                </w:p>
              </w:tc>
              <w:tc>
                <w:tcPr>
                  <w:tcW w:w="1279" w:type="pct"/>
                  <w:tcBorders>
                    <w:top w:val="single" w:color="000000" w:sz="4" w:space="0"/>
                    <w:bottom w:val="single" w:color="000000" w:sz="4" w:space="0"/>
                    <w:tl2br w:val="nil"/>
                    <w:tr2bl w:val="nil"/>
                  </w:tcBorders>
                  <w:shd w:val="clear" w:color="000000" w:fill="FFFFFF"/>
                  <w:vAlign w:val="center"/>
                </w:tcPr>
                <w:p w14:paraId="2B2A75C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0.00485</w:t>
                  </w:r>
                </w:p>
              </w:tc>
            </w:tr>
            <w:tr w14:paraId="5437D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continue"/>
                  <w:tcBorders>
                    <w:tl2br w:val="nil"/>
                    <w:tr2bl w:val="nil"/>
                  </w:tcBorders>
                  <w:shd w:val="clear" w:color="000000" w:fill="FFFFFF"/>
                  <w:vAlign w:val="center"/>
                </w:tcPr>
                <w:p w14:paraId="6D1E022E">
                  <w:pPr>
                    <w:adjustRightInd w:val="0"/>
                    <w:spacing w:line="240" w:lineRule="exact"/>
                    <w:jc w:val="center"/>
                    <w:textAlignment w:val="baseline"/>
                    <w:rPr>
                      <w:rFonts w:ascii="Times New Roman" w:hAnsi="Times New Roman" w:eastAsia="宋体" w:cs="Times New Roman"/>
                      <w:szCs w:val="21"/>
                    </w:rPr>
                  </w:pPr>
                </w:p>
              </w:tc>
              <w:tc>
                <w:tcPr>
                  <w:tcW w:w="197" w:type="pct"/>
                  <w:vMerge w:val="continue"/>
                  <w:tcBorders>
                    <w:right w:val="single" w:color="000000" w:sz="4" w:space="0"/>
                    <w:tl2br w:val="nil"/>
                    <w:tr2bl w:val="nil"/>
                  </w:tcBorders>
                  <w:shd w:val="clear" w:color="000000" w:fill="FFFFFF"/>
                  <w:vAlign w:val="center"/>
                </w:tcPr>
                <w:p w14:paraId="3346916D">
                  <w:pPr>
                    <w:adjustRightInd w:val="0"/>
                    <w:spacing w:line="240" w:lineRule="exact"/>
                    <w:jc w:val="center"/>
                    <w:textAlignment w:val="baseline"/>
                    <w:rPr>
                      <w:rFonts w:ascii="Times New Roman" w:hAnsi="Times New Roman" w:eastAsia="宋体" w:cs="Times New Roman"/>
                      <w:szCs w:val="21"/>
                    </w:rPr>
                  </w:pPr>
                </w:p>
              </w:tc>
              <w:tc>
                <w:tcPr>
                  <w:tcW w:w="355" w:type="pct"/>
                  <w:vMerge w:val="continue"/>
                  <w:tcBorders>
                    <w:left w:val="single" w:color="000000" w:sz="4" w:space="0"/>
                    <w:tl2br w:val="nil"/>
                    <w:tr2bl w:val="nil"/>
                  </w:tcBorders>
                  <w:shd w:val="clear" w:color="000000" w:fill="FFFFFF"/>
                  <w:vAlign w:val="center"/>
                </w:tcPr>
                <w:p w14:paraId="3545E009">
                  <w:pPr>
                    <w:adjustRightInd w:val="0"/>
                    <w:spacing w:line="240" w:lineRule="exact"/>
                    <w:jc w:val="center"/>
                    <w:textAlignment w:val="baseline"/>
                    <w:rPr>
                      <w:rFonts w:ascii="Times New Roman" w:hAnsi="Times New Roman" w:eastAsia="宋体" w:cs="Times New Roman"/>
                      <w:szCs w:val="21"/>
                    </w:rPr>
                  </w:pPr>
                </w:p>
              </w:tc>
              <w:tc>
                <w:tcPr>
                  <w:tcW w:w="724" w:type="pct"/>
                  <w:tcBorders>
                    <w:top w:val="single" w:color="000000" w:sz="4" w:space="0"/>
                    <w:bottom w:val="single" w:color="000000" w:sz="4" w:space="0"/>
                    <w:tl2br w:val="nil"/>
                    <w:tr2bl w:val="nil"/>
                  </w:tcBorders>
                  <w:shd w:val="clear" w:color="000000" w:fill="FFFFFF"/>
                  <w:vAlign w:val="center"/>
                </w:tcPr>
                <w:p w14:paraId="54B08027">
                  <w:pPr>
                    <w:jc w:val="center"/>
                    <w:rPr>
                      <w:rFonts w:ascii="Times New Roman" w:hAnsi="Times New Roman" w:cs="Times New Roman"/>
                      <w:szCs w:val="21"/>
                    </w:rPr>
                  </w:pPr>
                  <w:r>
                    <w:rPr>
                      <w:rFonts w:ascii="Times New Roman" w:hAnsi="Times New Roman" w:cs="Times New Roman"/>
                      <w:szCs w:val="21"/>
                    </w:rPr>
                    <w:t>苯并[a]芘</w:t>
                  </w:r>
                </w:p>
              </w:tc>
              <w:tc>
                <w:tcPr>
                  <w:tcW w:w="1051" w:type="pct"/>
                  <w:tcBorders>
                    <w:top w:val="single" w:color="000000" w:sz="4" w:space="0"/>
                    <w:bottom w:val="single" w:color="000000" w:sz="4" w:space="0"/>
                    <w:tl2br w:val="nil"/>
                    <w:tr2bl w:val="nil"/>
                  </w:tcBorders>
                  <w:shd w:val="clear" w:color="000000" w:fill="FFFFFF"/>
                  <w:vAlign w:val="center"/>
                </w:tcPr>
                <w:p w14:paraId="12312B9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cs="Times New Roman"/>
                      <w:szCs w:val="21"/>
                    </w:rPr>
                    <w:t>7.708</w:t>
                  </w:r>
                  <w:r>
                    <w:rPr>
                      <w:rFonts w:ascii="Times New Roman" w:hAnsi="Times New Roman" w:cs="Times New Roman"/>
                      <w:szCs w:val="21"/>
                    </w:rPr>
                    <w:t>×10</w:t>
                  </w:r>
                  <w:r>
                    <w:rPr>
                      <w:rFonts w:hint="eastAsia" w:ascii="Times New Roman" w:hAnsi="Times New Roman" w:cs="Times New Roman"/>
                      <w:szCs w:val="21"/>
                      <w:vertAlign w:val="superscript"/>
                    </w:rPr>
                    <w:t>-6</w:t>
                  </w:r>
                </w:p>
              </w:tc>
              <w:tc>
                <w:tcPr>
                  <w:tcW w:w="1052" w:type="pct"/>
                  <w:tcBorders>
                    <w:top w:val="single" w:color="000000" w:sz="4" w:space="0"/>
                    <w:bottom w:val="single" w:color="000000" w:sz="4" w:space="0"/>
                    <w:tl2br w:val="nil"/>
                    <w:tr2bl w:val="nil"/>
                  </w:tcBorders>
                  <w:shd w:val="clear" w:color="000000" w:fill="FFFFFF"/>
                  <w:vAlign w:val="center"/>
                </w:tcPr>
                <w:p w14:paraId="0361138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cs="Times New Roman"/>
                      <w:szCs w:val="21"/>
                    </w:rPr>
                    <w:t>1.68</w:t>
                  </w:r>
                  <w:r>
                    <w:rPr>
                      <w:rFonts w:ascii="Times New Roman" w:hAnsi="Times New Roman" w:cs="Times New Roman"/>
                      <w:szCs w:val="21"/>
                    </w:rPr>
                    <w:t>×10</w:t>
                  </w:r>
                  <w:r>
                    <w:rPr>
                      <w:rFonts w:hint="eastAsia" w:ascii="Times New Roman" w:hAnsi="Times New Roman" w:cs="Times New Roman"/>
                      <w:szCs w:val="21"/>
                      <w:vertAlign w:val="superscript"/>
                    </w:rPr>
                    <w:t>-7</w:t>
                  </w:r>
                </w:p>
              </w:tc>
              <w:tc>
                <w:tcPr>
                  <w:tcW w:w="1279" w:type="pct"/>
                  <w:tcBorders>
                    <w:top w:val="single" w:color="000000" w:sz="4" w:space="0"/>
                    <w:bottom w:val="single" w:color="000000" w:sz="4" w:space="0"/>
                    <w:tl2br w:val="nil"/>
                    <w:tr2bl w:val="nil"/>
                  </w:tcBorders>
                  <w:shd w:val="clear" w:color="000000" w:fill="FFFFFF"/>
                  <w:vAlign w:val="center"/>
                </w:tcPr>
                <w:p w14:paraId="3E36B7D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0.000000727</w:t>
                  </w:r>
                </w:p>
              </w:tc>
            </w:tr>
            <w:tr w14:paraId="07A67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continue"/>
                  <w:tcBorders>
                    <w:bottom w:val="single" w:color="000000" w:sz="4" w:space="0"/>
                    <w:tl2br w:val="nil"/>
                    <w:tr2bl w:val="nil"/>
                  </w:tcBorders>
                  <w:shd w:val="clear" w:color="000000" w:fill="FFFFFF"/>
                  <w:vAlign w:val="center"/>
                </w:tcPr>
                <w:p w14:paraId="7CD49698">
                  <w:pPr>
                    <w:adjustRightInd w:val="0"/>
                    <w:spacing w:line="240" w:lineRule="exact"/>
                    <w:jc w:val="center"/>
                    <w:textAlignment w:val="baseline"/>
                    <w:rPr>
                      <w:rFonts w:ascii="Times New Roman" w:hAnsi="Times New Roman" w:eastAsia="宋体" w:cs="Times New Roman"/>
                      <w:szCs w:val="21"/>
                    </w:rPr>
                  </w:pPr>
                </w:p>
              </w:tc>
              <w:tc>
                <w:tcPr>
                  <w:tcW w:w="197" w:type="pct"/>
                  <w:vMerge w:val="continue"/>
                  <w:tcBorders>
                    <w:bottom w:val="single" w:color="000000" w:sz="4" w:space="0"/>
                    <w:right w:val="single" w:color="000000" w:sz="4" w:space="0"/>
                    <w:tl2br w:val="nil"/>
                    <w:tr2bl w:val="nil"/>
                  </w:tcBorders>
                  <w:shd w:val="clear" w:color="000000" w:fill="FFFFFF"/>
                  <w:vAlign w:val="center"/>
                </w:tcPr>
                <w:p w14:paraId="02A23EE8">
                  <w:pPr>
                    <w:adjustRightInd w:val="0"/>
                    <w:spacing w:line="240" w:lineRule="exact"/>
                    <w:jc w:val="center"/>
                    <w:textAlignment w:val="baseline"/>
                    <w:rPr>
                      <w:rFonts w:ascii="Times New Roman" w:hAnsi="Times New Roman" w:eastAsia="宋体" w:cs="Times New Roman"/>
                      <w:szCs w:val="21"/>
                    </w:rPr>
                  </w:pPr>
                </w:p>
              </w:tc>
              <w:tc>
                <w:tcPr>
                  <w:tcW w:w="355" w:type="pct"/>
                  <w:vMerge w:val="continue"/>
                  <w:tcBorders>
                    <w:left w:val="single" w:color="000000" w:sz="4" w:space="0"/>
                    <w:bottom w:val="single" w:color="000000" w:sz="4" w:space="0"/>
                    <w:tl2br w:val="nil"/>
                    <w:tr2bl w:val="nil"/>
                  </w:tcBorders>
                  <w:shd w:val="clear" w:color="000000" w:fill="FFFFFF"/>
                  <w:vAlign w:val="center"/>
                </w:tcPr>
                <w:p w14:paraId="2553FD29">
                  <w:pPr>
                    <w:adjustRightInd w:val="0"/>
                    <w:spacing w:line="240" w:lineRule="exact"/>
                    <w:jc w:val="center"/>
                    <w:textAlignment w:val="baseline"/>
                    <w:rPr>
                      <w:rFonts w:ascii="Times New Roman" w:hAnsi="Times New Roman" w:eastAsia="宋体" w:cs="Times New Roman"/>
                      <w:szCs w:val="21"/>
                    </w:rPr>
                  </w:pPr>
                </w:p>
              </w:tc>
              <w:tc>
                <w:tcPr>
                  <w:tcW w:w="724" w:type="pct"/>
                  <w:tcBorders>
                    <w:top w:val="single" w:color="000000" w:sz="4" w:space="0"/>
                    <w:bottom w:val="single" w:color="000000" w:sz="4" w:space="0"/>
                    <w:tl2br w:val="nil"/>
                    <w:tr2bl w:val="nil"/>
                  </w:tcBorders>
                  <w:shd w:val="clear" w:color="000000" w:fill="FFFFFF"/>
                  <w:vAlign w:val="center"/>
                </w:tcPr>
                <w:p w14:paraId="2223CE30">
                  <w:pPr>
                    <w:jc w:val="center"/>
                    <w:rPr>
                      <w:rFonts w:ascii="Times New Roman" w:hAnsi="Times New Roman" w:cs="Times New Roman"/>
                      <w:szCs w:val="21"/>
                    </w:rPr>
                  </w:pPr>
                  <w:r>
                    <w:rPr>
                      <w:rFonts w:hint="eastAsia" w:ascii="Times New Roman" w:hAnsi="Times New Roman" w:cs="Times New Roman"/>
                      <w:szCs w:val="21"/>
                    </w:rPr>
                    <w:t>非甲烷总烃</w:t>
                  </w:r>
                </w:p>
              </w:tc>
              <w:tc>
                <w:tcPr>
                  <w:tcW w:w="1051" w:type="pct"/>
                  <w:tcBorders>
                    <w:top w:val="single" w:color="000000" w:sz="4" w:space="0"/>
                    <w:bottom w:val="single" w:color="000000" w:sz="4" w:space="0"/>
                    <w:tl2br w:val="nil"/>
                    <w:tr2bl w:val="nil"/>
                  </w:tcBorders>
                  <w:shd w:val="clear" w:color="000000" w:fill="FFFFFF"/>
                  <w:vAlign w:val="center"/>
                </w:tcPr>
                <w:p w14:paraId="52A9CC1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0.036</w:t>
                  </w:r>
                </w:p>
              </w:tc>
              <w:tc>
                <w:tcPr>
                  <w:tcW w:w="1052" w:type="pct"/>
                  <w:tcBorders>
                    <w:top w:val="single" w:color="000000" w:sz="4" w:space="0"/>
                    <w:bottom w:val="single" w:color="000000" w:sz="4" w:space="0"/>
                    <w:tl2br w:val="nil"/>
                    <w:tr2bl w:val="nil"/>
                  </w:tcBorders>
                  <w:shd w:val="clear" w:color="000000" w:fill="FFFFFF"/>
                  <w:vAlign w:val="center"/>
                </w:tcPr>
                <w:p w14:paraId="5706B71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0.00078</w:t>
                  </w:r>
                </w:p>
              </w:tc>
              <w:tc>
                <w:tcPr>
                  <w:tcW w:w="1279" w:type="pct"/>
                  <w:tcBorders>
                    <w:top w:val="single" w:color="000000" w:sz="4" w:space="0"/>
                    <w:bottom w:val="single" w:color="000000" w:sz="4" w:space="0"/>
                    <w:tl2br w:val="nil"/>
                    <w:tr2bl w:val="nil"/>
                  </w:tcBorders>
                  <w:shd w:val="clear" w:color="000000" w:fill="FFFFFF"/>
                  <w:vAlign w:val="center"/>
                </w:tcPr>
                <w:p w14:paraId="37A9C99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0.00393</w:t>
                  </w:r>
                </w:p>
              </w:tc>
            </w:tr>
            <w:tr w14:paraId="328BB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restart"/>
                  <w:tcBorders>
                    <w:top w:val="single" w:color="000000" w:sz="4" w:space="0"/>
                    <w:tl2br w:val="nil"/>
                    <w:tr2bl w:val="nil"/>
                  </w:tcBorders>
                  <w:shd w:val="clear" w:color="000000" w:fill="FFFFFF"/>
                  <w:vAlign w:val="center"/>
                </w:tcPr>
                <w:p w14:paraId="173AB53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w:t>
                  </w:r>
                </w:p>
              </w:tc>
              <w:tc>
                <w:tcPr>
                  <w:tcW w:w="553" w:type="pct"/>
                  <w:gridSpan w:val="2"/>
                  <w:vMerge w:val="restart"/>
                  <w:tcBorders>
                    <w:top w:val="single" w:color="000000" w:sz="4" w:space="0"/>
                    <w:tl2br w:val="nil"/>
                    <w:tr2bl w:val="nil"/>
                  </w:tcBorders>
                  <w:shd w:val="clear" w:color="000000" w:fill="FFFFFF"/>
                  <w:vAlign w:val="center"/>
                </w:tcPr>
                <w:p w14:paraId="4247B136">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DA003</w:t>
                  </w:r>
                </w:p>
              </w:tc>
              <w:tc>
                <w:tcPr>
                  <w:tcW w:w="724" w:type="pct"/>
                  <w:tcBorders>
                    <w:top w:val="single" w:color="000000" w:sz="4" w:space="0"/>
                    <w:bottom w:val="single" w:color="000000" w:sz="4" w:space="0"/>
                    <w:tl2br w:val="nil"/>
                    <w:tr2bl w:val="nil"/>
                  </w:tcBorders>
                  <w:shd w:val="clear" w:color="000000" w:fill="FFFFFF"/>
                  <w:vAlign w:val="center"/>
                </w:tcPr>
                <w:p w14:paraId="53664C78">
                  <w:pPr>
                    <w:jc w:val="center"/>
                    <w:rPr>
                      <w:rFonts w:ascii="Times New Roman" w:hAnsi="Times New Roman" w:cs="Times New Roman"/>
                      <w:szCs w:val="21"/>
                    </w:rPr>
                  </w:pPr>
                  <w:r>
                    <w:rPr>
                      <w:rFonts w:hint="eastAsia" w:ascii="Times New Roman" w:hAnsi="Times New Roman" w:cs="Times New Roman"/>
                      <w:szCs w:val="21"/>
                    </w:rPr>
                    <w:t>沥青烟</w:t>
                  </w:r>
                </w:p>
              </w:tc>
              <w:tc>
                <w:tcPr>
                  <w:tcW w:w="1051" w:type="pct"/>
                  <w:tcBorders>
                    <w:top w:val="single" w:color="000000" w:sz="4" w:space="0"/>
                    <w:bottom w:val="single" w:color="000000" w:sz="4" w:space="0"/>
                    <w:tl2br w:val="nil"/>
                    <w:tr2bl w:val="nil"/>
                  </w:tcBorders>
                  <w:shd w:val="clear" w:color="000000" w:fill="FFFFFF"/>
                  <w:vAlign w:val="center"/>
                </w:tcPr>
                <w:p w14:paraId="169067F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1.12</w:t>
                  </w:r>
                </w:p>
              </w:tc>
              <w:tc>
                <w:tcPr>
                  <w:tcW w:w="1052" w:type="pct"/>
                  <w:tcBorders>
                    <w:top w:val="single" w:color="000000" w:sz="4" w:space="0"/>
                    <w:bottom w:val="single" w:color="000000" w:sz="4" w:space="0"/>
                    <w:tl2br w:val="nil"/>
                    <w:tr2bl w:val="nil"/>
                  </w:tcBorders>
                  <w:shd w:val="clear" w:color="000000" w:fill="FFFFFF"/>
                  <w:vAlign w:val="center"/>
                </w:tcPr>
                <w:p w14:paraId="3CF2514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0.0056</w:t>
                  </w:r>
                </w:p>
              </w:tc>
              <w:tc>
                <w:tcPr>
                  <w:tcW w:w="1279" w:type="pct"/>
                  <w:tcBorders>
                    <w:top w:val="single" w:color="000000" w:sz="4" w:space="0"/>
                    <w:bottom w:val="single" w:color="000000" w:sz="4" w:space="0"/>
                    <w:tl2br w:val="nil"/>
                    <w:tr2bl w:val="nil"/>
                  </w:tcBorders>
                  <w:shd w:val="clear" w:color="000000" w:fill="FFFFFF"/>
                  <w:vAlign w:val="center"/>
                </w:tcPr>
                <w:p w14:paraId="372571C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0.00028</w:t>
                  </w:r>
                </w:p>
              </w:tc>
            </w:tr>
            <w:tr w14:paraId="247C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continue"/>
                  <w:tcBorders>
                    <w:tl2br w:val="nil"/>
                    <w:tr2bl w:val="nil"/>
                  </w:tcBorders>
                  <w:shd w:val="clear" w:color="000000" w:fill="FFFFFF"/>
                  <w:vAlign w:val="center"/>
                </w:tcPr>
                <w:p w14:paraId="341A92D4">
                  <w:pPr>
                    <w:adjustRightInd w:val="0"/>
                    <w:spacing w:line="240" w:lineRule="exact"/>
                    <w:jc w:val="center"/>
                    <w:textAlignment w:val="baseline"/>
                    <w:rPr>
                      <w:rFonts w:ascii="Times New Roman" w:hAnsi="Times New Roman" w:eastAsia="宋体" w:cs="Times New Roman"/>
                      <w:szCs w:val="21"/>
                    </w:rPr>
                  </w:pPr>
                </w:p>
              </w:tc>
              <w:tc>
                <w:tcPr>
                  <w:tcW w:w="553" w:type="pct"/>
                  <w:gridSpan w:val="2"/>
                  <w:vMerge w:val="continue"/>
                  <w:tcBorders>
                    <w:tl2br w:val="nil"/>
                    <w:tr2bl w:val="nil"/>
                  </w:tcBorders>
                  <w:shd w:val="clear" w:color="000000" w:fill="FFFFFF"/>
                  <w:vAlign w:val="center"/>
                </w:tcPr>
                <w:p w14:paraId="7A7F8E8D">
                  <w:pPr>
                    <w:adjustRightInd w:val="0"/>
                    <w:spacing w:line="240" w:lineRule="exact"/>
                    <w:jc w:val="center"/>
                    <w:textAlignment w:val="baseline"/>
                    <w:rPr>
                      <w:rFonts w:ascii="Times New Roman" w:hAnsi="Times New Roman" w:eastAsia="宋体" w:cs="Times New Roman"/>
                      <w:szCs w:val="21"/>
                    </w:rPr>
                  </w:pPr>
                </w:p>
              </w:tc>
              <w:tc>
                <w:tcPr>
                  <w:tcW w:w="724" w:type="pct"/>
                  <w:tcBorders>
                    <w:top w:val="single" w:color="000000" w:sz="4" w:space="0"/>
                    <w:bottom w:val="single" w:color="000000" w:sz="4" w:space="0"/>
                    <w:tl2br w:val="nil"/>
                    <w:tr2bl w:val="nil"/>
                  </w:tcBorders>
                  <w:shd w:val="clear" w:color="000000" w:fill="FFFFFF"/>
                  <w:vAlign w:val="center"/>
                </w:tcPr>
                <w:p w14:paraId="0A8CB8A1">
                  <w:pPr>
                    <w:jc w:val="center"/>
                    <w:rPr>
                      <w:rFonts w:ascii="Times New Roman" w:hAnsi="Times New Roman" w:cs="Times New Roman"/>
                      <w:szCs w:val="21"/>
                    </w:rPr>
                  </w:pPr>
                  <w:r>
                    <w:rPr>
                      <w:rFonts w:ascii="Times New Roman" w:hAnsi="Times New Roman" w:cs="Times New Roman"/>
                      <w:szCs w:val="21"/>
                    </w:rPr>
                    <w:t>苯并[a]芘</w:t>
                  </w:r>
                </w:p>
              </w:tc>
              <w:tc>
                <w:tcPr>
                  <w:tcW w:w="1051" w:type="pct"/>
                  <w:tcBorders>
                    <w:top w:val="single" w:color="000000" w:sz="4" w:space="0"/>
                    <w:bottom w:val="single" w:color="000000" w:sz="4" w:space="0"/>
                    <w:tl2br w:val="nil"/>
                    <w:tr2bl w:val="nil"/>
                  </w:tcBorders>
                  <w:shd w:val="clear" w:color="000000" w:fill="FFFFFF"/>
                  <w:vAlign w:val="center"/>
                </w:tcPr>
                <w:p w14:paraId="5393A04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0.000168</w:t>
                  </w:r>
                </w:p>
              </w:tc>
              <w:tc>
                <w:tcPr>
                  <w:tcW w:w="1052" w:type="pct"/>
                  <w:tcBorders>
                    <w:top w:val="single" w:color="000000" w:sz="4" w:space="0"/>
                    <w:bottom w:val="single" w:color="000000" w:sz="4" w:space="0"/>
                    <w:tl2br w:val="nil"/>
                    <w:tr2bl w:val="nil"/>
                  </w:tcBorders>
                  <w:shd w:val="clear" w:color="000000" w:fill="FFFFFF"/>
                  <w:vAlign w:val="center"/>
                </w:tcPr>
                <w:p w14:paraId="6178889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仿宋" w:cs="Times New Roman"/>
                      <w:szCs w:val="21"/>
                    </w:rPr>
                    <w:t>8.4</w:t>
                  </w:r>
                  <w:r>
                    <w:rPr>
                      <w:rFonts w:ascii="Times New Roman" w:hAnsi="Times New Roman" w:eastAsia="仿宋" w:cs="Times New Roman"/>
                      <w:szCs w:val="21"/>
                    </w:rPr>
                    <w:t>×10</w:t>
                  </w:r>
                  <w:r>
                    <w:rPr>
                      <w:rFonts w:ascii="Times New Roman" w:hAnsi="Times New Roman" w:eastAsia="仿宋" w:cs="Times New Roman"/>
                      <w:szCs w:val="21"/>
                      <w:vertAlign w:val="superscript"/>
                    </w:rPr>
                    <w:t>-</w:t>
                  </w:r>
                  <w:r>
                    <w:rPr>
                      <w:rFonts w:hint="eastAsia" w:ascii="Times New Roman" w:hAnsi="Times New Roman" w:eastAsia="仿宋" w:cs="Times New Roman"/>
                      <w:szCs w:val="21"/>
                      <w:vertAlign w:val="superscript"/>
                    </w:rPr>
                    <w:t>7</w:t>
                  </w:r>
                </w:p>
              </w:tc>
              <w:tc>
                <w:tcPr>
                  <w:tcW w:w="1279" w:type="pct"/>
                  <w:tcBorders>
                    <w:top w:val="single" w:color="000000" w:sz="4" w:space="0"/>
                    <w:bottom w:val="single" w:color="000000" w:sz="4" w:space="0"/>
                    <w:tl2br w:val="nil"/>
                    <w:tr2bl w:val="nil"/>
                  </w:tcBorders>
                  <w:shd w:val="clear" w:color="000000" w:fill="FFFFFF"/>
                  <w:vAlign w:val="center"/>
                </w:tcPr>
                <w:p w14:paraId="681C65D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仿宋" w:cs="Times New Roman"/>
                      <w:szCs w:val="21"/>
                    </w:rPr>
                    <w:t>4.2</w:t>
                  </w:r>
                  <w:r>
                    <w:rPr>
                      <w:rFonts w:ascii="Times New Roman" w:hAnsi="Times New Roman" w:eastAsia="仿宋" w:cs="Times New Roman"/>
                      <w:szCs w:val="21"/>
                    </w:rPr>
                    <w:t>×10</w:t>
                  </w:r>
                  <w:r>
                    <w:rPr>
                      <w:rFonts w:ascii="Times New Roman" w:hAnsi="Times New Roman" w:eastAsia="仿宋" w:cs="Times New Roman"/>
                      <w:szCs w:val="21"/>
                      <w:vertAlign w:val="superscript"/>
                    </w:rPr>
                    <w:t>-</w:t>
                  </w:r>
                  <w:r>
                    <w:rPr>
                      <w:rFonts w:hint="eastAsia" w:ascii="Times New Roman" w:hAnsi="Times New Roman" w:eastAsia="仿宋" w:cs="Times New Roman"/>
                      <w:szCs w:val="21"/>
                      <w:vertAlign w:val="superscript"/>
                    </w:rPr>
                    <w:t>8</w:t>
                  </w:r>
                </w:p>
              </w:tc>
            </w:tr>
            <w:tr w14:paraId="18CE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continue"/>
                  <w:tcBorders>
                    <w:bottom w:val="single" w:color="000000" w:sz="4" w:space="0"/>
                    <w:tl2br w:val="nil"/>
                    <w:tr2bl w:val="nil"/>
                  </w:tcBorders>
                  <w:shd w:val="clear" w:color="000000" w:fill="FFFFFF"/>
                  <w:vAlign w:val="center"/>
                </w:tcPr>
                <w:p w14:paraId="5E70D6C9">
                  <w:pPr>
                    <w:adjustRightInd w:val="0"/>
                    <w:spacing w:line="240" w:lineRule="exact"/>
                    <w:jc w:val="center"/>
                    <w:textAlignment w:val="baseline"/>
                    <w:rPr>
                      <w:rFonts w:ascii="Times New Roman" w:hAnsi="Times New Roman" w:eastAsia="宋体" w:cs="Times New Roman"/>
                      <w:szCs w:val="21"/>
                    </w:rPr>
                  </w:pPr>
                </w:p>
              </w:tc>
              <w:tc>
                <w:tcPr>
                  <w:tcW w:w="553" w:type="pct"/>
                  <w:gridSpan w:val="2"/>
                  <w:vMerge w:val="continue"/>
                  <w:tcBorders>
                    <w:bottom w:val="single" w:color="000000" w:sz="4" w:space="0"/>
                    <w:tl2br w:val="nil"/>
                    <w:tr2bl w:val="nil"/>
                  </w:tcBorders>
                  <w:shd w:val="clear" w:color="000000" w:fill="FFFFFF"/>
                  <w:vAlign w:val="center"/>
                </w:tcPr>
                <w:p w14:paraId="29ECC745">
                  <w:pPr>
                    <w:adjustRightInd w:val="0"/>
                    <w:spacing w:line="240" w:lineRule="exact"/>
                    <w:jc w:val="center"/>
                    <w:textAlignment w:val="baseline"/>
                    <w:rPr>
                      <w:rFonts w:ascii="Times New Roman" w:hAnsi="Times New Roman" w:eastAsia="宋体" w:cs="Times New Roman"/>
                      <w:szCs w:val="21"/>
                    </w:rPr>
                  </w:pPr>
                </w:p>
              </w:tc>
              <w:tc>
                <w:tcPr>
                  <w:tcW w:w="724" w:type="pct"/>
                  <w:tcBorders>
                    <w:top w:val="single" w:color="000000" w:sz="4" w:space="0"/>
                    <w:bottom w:val="single" w:color="000000" w:sz="4" w:space="0"/>
                    <w:tl2br w:val="nil"/>
                    <w:tr2bl w:val="nil"/>
                  </w:tcBorders>
                  <w:shd w:val="clear" w:color="000000" w:fill="FFFFFF"/>
                  <w:vAlign w:val="center"/>
                </w:tcPr>
                <w:p w14:paraId="7BA56B45">
                  <w:pPr>
                    <w:jc w:val="center"/>
                    <w:rPr>
                      <w:rFonts w:ascii="Times New Roman" w:hAnsi="Times New Roman" w:cs="Times New Roman"/>
                      <w:szCs w:val="21"/>
                    </w:rPr>
                  </w:pPr>
                  <w:r>
                    <w:rPr>
                      <w:rFonts w:hint="eastAsia" w:ascii="Times New Roman" w:hAnsi="Times New Roman" w:cs="Times New Roman"/>
                      <w:szCs w:val="21"/>
                    </w:rPr>
                    <w:t>非甲烷总烃</w:t>
                  </w:r>
                </w:p>
              </w:tc>
              <w:tc>
                <w:tcPr>
                  <w:tcW w:w="1051" w:type="pct"/>
                  <w:tcBorders>
                    <w:top w:val="single" w:color="000000" w:sz="4" w:space="0"/>
                    <w:bottom w:val="single" w:color="000000" w:sz="4" w:space="0"/>
                    <w:tl2br w:val="nil"/>
                    <w:tr2bl w:val="nil"/>
                  </w:tcBorders>
                  <w:shd w:val="clear" w:color="000000" w:fill="FFFFFF"/>
                  <w:vAlign w:val="center"/>
                </w:tcPr>
                <w:p w14:paraId="141121A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0.56</w:t>
                  </w:r>
                </w:p>
              </w:tc>
              <w:tc>
                <w:tcPr>
                  <w:tcW w:w="1052" w:type="pct"/>
                  <w:tcBorders>
                    <w:top w:val="single" w:color="000000" w:sz="4" w:space="0"/>
                    <w:bottom w:val="single" w:color="000000" w:sz="4" w:space="0"/>
                    <w:tl2br w:val="nil"/>
                    <w:tr2bl w:val="nil"/>
                  </w:tcBorders>
                  <w:shd w:val="clear" w:color="000000" w:fill="FFFFFF"/>
                  <w:vAlign w:val="center"/>
                </w:tcPr>
                <w:p w14:paraId="70454A4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0.0028</w:t>
                  </w:r>
                </w:p>
              </w:tc>
              <w:tc>
                <w:tcPr>
                  <w:tcW w:w="1279" w:type="pct"/>
                  <w:tcBorders>
                    <w:top w:val="single" w:color="000000" w:sz="4" w:space="0"/>
                    <w:bottom w:val="single" w:color="000000" w:sz="4" w:space="0"/>
                    <w:tl2br w:val="nil"/>
                    <w:tr2bl w:val="nil"/>
                  </w:tcBorders>
                  <w:shd w:val="clear" w:color="000000" w:fill="FFFFFF"/>
                  <w:vAlign w:val="center"/>
                </w:tcPr>
                <w:p w14:paraId="2D405A1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0.00014</w:t>
                  </w:r>
                </w:p>
              </w:tc>
            </w:tr>
            <w:tr w14:paraId="7424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restart"/>
                  <w:tcBorders>
                    <w:top w:val="single" w:color="000000" w:sz="4" w:space="0"/>
                    <w:tl2br w:val="nil"/>
                    <w:tr2bl w:val="nil"/>
                  </w:tcBorders>
                  <w:shd w:val="clear" w:color="000000" w:fill="FFFFFF"/>
                  <w:vAlign w:val="center"/>
                </w:tcPr>
                <w:p w14:paraId="3395C54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w:t>
                  </w:r>
                </w:p>
              </w:tc>
              <w:tc>
                <w:tcPr>
                  <w:tcW w:w="553" w:type="pct"/>
                  <w:gridSpan w:val="2"/>
                  <w:vMerge w:val="restart"/>
                  <w:tcBorders>
                    <w:top w:val="single" w:color="000000" w:sz="4" w:space="0"/>
                    <w:tl2br w:val="nil"/>
                    <w:tr2bl w:val="nil"/>
                  </w:tcBorders>
                  <w:shd w:val="clear" w:color="000000" w:fill="FFFFFF"/>
                  <w:vAlign w:val="center"/>
                </w:tcPr>
                <w:p w14:paraId="13BED366">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DA00</w:t>
                  </w:r>
                  <w:r>
                    <w:rPr>
                      <w:rFonts w:hint="eastAsia" w:ascii="Times New Roman" w:hAnsi="Times New Roman" w:eastAsia="宋体" w:cs="Times New Roman"/>
                      <w:szCs w:val="21"/>
                    </w:rPr>
                    <w:t>4</w:t>
                  </w:r>
                </w:p>
              </w:tc>
              <w:tc>
                <w:tcPr>
                  <w:tcW w:w="1160" w:type="dxa"/>
                  <w:tcBorders>
                    <w:top w:val="single" w:color="000000" w:sz="4" w:space="0"/>
                    <w:bottom w:val="single" w:color="000000" w:sz="4" w:space="0"/>
                    <w:tl2br w:val="nil"/>
                    <w:tr2bl w:val="nil"/>
                  </w:tcBorders>
                  <w:shd w:val="clear" w:color="000000" w:fill="FFFFFF"/>
                  <w:vAlign w:val="center"/>
                </w:tcPr>
                <w:p w14:paraId="1AC09AEB">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颗粒物</w:t>
                  </w:r>
                </w:p>
              </w:tc>
              <w:tc>
                <w:tcPr>
                  <w:tcW w:w="1051" w:type="pct"/>
                  <w:tcBorders>
                    <w:top w:val="single" w:color="000000" w:sz="4" w:space="0"/>
                    <w:bottom w:val="single" w:color="000000" w:sz="4" w:space="0"/>
                    <w:tl2br w:val="nil"/>
                    <w:tr2bl w:val="nil"/>
                  </w:tcBorders>
                  <w:shd w:val="clear" w:color="000000" w:fill="FFFFFF"/>
                  <w:vAlign w:val="center"/>
                </w:tcPr>
                <w:p w14:paraId="6A03D8F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14.6</w:t>
                  </w:r>
                </w:p>
              </w:tc>
              <w:tc>
                <w:tcPr>
                  <w:tcW w:w="1052" w:type="pct"/>
                  <w:tcBorders>
                    <w:top w:val="single" w:color="000000" w:sz="4" w:space="0"/>
                    <w:bottom w:val="single" w:color="000000" w:sz="4" w:space="0"/>
                    <w:tl2br w:val="nil"/>
                    <w:tr2bl w:val="nil"/>
                  </w:tcBorders>
                  <w:shd w:val="clear" w:color="000000" w:fill="FFFFFF"/>
                  <w:vAlign w:val="center"/>
                </w:tcPr>
                <w:p w14:paraId="30A6C93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0.0054</w:t>
                  </w:r>
                </w:p>
              </w:tc>
              <w:tc>
                <w:tcPr>
                  <w:tcW w:w="1279" w:type="pct"/>
                  <w:tcBorders>
                    <w:top w:val="single" w:color="000000" w:sz="4" w:space="0"/>
                    <w:bottom w:val="single" w:color="000000" w:sz="4" w:space="0"/>
                    <w:tl2br w:val="nil"/>
                    <w:tr2bl w:val="nil"/>
                  </w:tcBorders>
                  <w:shd w:val="clear" w:color="000000" w:fill="FFFFFF"/>
                  <w:vAlign w:val="center"/>
                </w:tcPr>
                <w:p w14:paraId="0982A5F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0.0078</w:t>
                  </w:r>
                </w:p>
              </w:tc>
            </w:tr>
            <w:tr w14:paraId="14AB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continue"/>
                  <w:tcBorders>
                    <w:tl2br w:val="nil"/>
                    <w:tr2bl w:val="nil"/>
                  </w:tcBorders>
                  <w:shd w:val="clear" w:color="000000" w:fill="FFFFFF"/>
                  <w:vAlign w:val="center"/>
                </w:tcPr>
                <w:p w14:paraId="424B2BAC">
                  <w:pPr>
                    <w:adjustRightInd w:val="0"/>
                    <w:spacing w:line="240" w:lineRule="exact"/>
                    <w:jc w:val="center"/>
                    <w:textAlignment w:val="baseline"/>
                    <w:rPr>
                      <w:rFonts w:ascii="Times New Roman" w:hAnsi="Times New Roman" w:eastAsia="宋体" w:cs="Times New Roman"/>
                      <w:szCs w:val="21"/>
                    </w:rPr>
                  </w:pPr>
                </w:p>
              </w:tc>
              <w:tc>
                <w:tcPr>
                  <w:tcW w:w="553" w:type="pct"/>
                  <w:gridSpan w:val="2"/>
                  <w:vMerge w:val="continue"/>
                  <w:tcBorders>
                    <w:tl2br w:val="nil"/>
                    <w:tr2bl w:val="nil"/>
                  </w:tcBorders>
                  <w:shd w:val="clear" w:color="000000" w:fill="FFFFFF"/>
                  <w:vAlign w:val="center"/>
                </w:tcPr>
                <w:p w14:paraId="58D72ED7">
                  <w:pPr>
                    <w:adjustRightInd w:val="0"/>
                    <w:spacing w:line="240" w:lineRule="exact"/>
                    <w:jc w:val="center"/>
                    <w:textAlignment w:val="baseline"/>
                    <w:rPr>
                      <w:rFonts w:ascii="Times New Roman" w:hAnsi="Times New Roman" w:eastAsia="宋体" w:cs="Times New Roman"/>
                      <w:szCs w:val="21"/>
                    </w:rPr>
                  </w:pPr>
                </w:p>
              </w:tc>
              <w:tc>
                <w:tcPr>
                  <w:tcW w:w="1160" w:type="dxa"/>
                  <w:tcBorders>
                    <w:top w:val="single" w:color="000000" w:sz="4" w:space="0"/>
                    <w:bottom w:val="single" w:color="000000" w:sz="4" w:space="0"/>
                    <w:tl2br w:val="nil"/>
                    <w:tr2bl w:val="nil"/>
                  </w:tcBorders>
                  <w:shd w:val="clear" w:color="000000" w:fill="FFFFFF"/>
                  <w:vAlign w:val="center"/>
                </w:tcPr>
                <w:p w14:paraId="522CC146">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SO</w:t>
                  </w:r>
                  <w:r>
                    <w:rPr>
                      <w:rFonts w:hint="eastAsia" w:ascii="Times New Roman" w:hAnsi="Times New Roman" w:eastAsia="宋体" w:cs="Times New Roman"/>
                      <w:szCs w:val="21"/>
                      <w:vertAlign w:val="subscript"/>
                    </w:rPr>
                    <w:t>2</w:t>
                  </w:r>
                </w:p>
              </w:tc>
              <w:tc>
                <w:tcPr>
                  <w:tcW w:w="1051" w:type="pct"/>
                  <w:tcBorders>
                    <w:top w:val="single" w:color="000000" w:sz="4" w:space="0"/>
                    <w:bottom w:val="single" w:color="000000" w:sz="4" w:space="0"/>
                    <w:tl2br w:val="nil"/>
                    <w:tr2bl w:val="nil"/>
                  </w:tcBorders>
                  <w:shd w:val="clear" w:color="000000" w:fill="FFFFFF"/>
                  <w:vAlign w:val="center"/>
                </w:tcPr>
                <w:p w14:paraId="19FF8C1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1.06</w:t>
                  </w:r>
                </w:p>
              </w:tc>
              <w:tc>
                <w:tcPr>
                  <w:tcW w:w="1052" w:type="pct"/>
                  <w:tcBorders>
                    <w:top w:val="single" w:color="000000" w:sz="4" w:space="0"/>
                    <w:bottom w:val="single" w:color="000000" w:sz="4" w:space="0"/>
                    <w:tl2br w:val="nil"/>
                    <w:tr2bl w:val="nil"/>
                  </w:tcBorders>
                  <w:shd w:val="clear" w:color="000000" w:fill="FFFFFF"/>
                  <w:vAlign w:val="center"/>
                </w:tcPr>
                <w:p w14:paraId="7BAE639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0.0004</w:t>
                  </w:r>
                </w:p>
              </w:tc>
              <w:tc>
                <w:tcPr>
                  <w:tcW w:w="1279" w:type="pct"/>
                  <w:tcBorders>
                    <w:top w:val="single" w:color="000000" w:sz="4" w:space="0"/>
                    <w:bottom w:val="single" w:color="000000" w:sz="4" w:space="0"/>
                    <w:tl2br w:val="nil"/>
                    <w:tr2bl w:val="nil"/>
                  </w:tcBorders>
                  <w:shd w:val="clear" w:color="000000" w:fill="FFFFFF"/>
                  <w:vAlign w:val="center"/>
                </w:tcPr>
                <w:p w14:paraId="6C30514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0.00057</w:t>
                  </w:r>
                </w:p>
              </w:tc>
            </w:tr>
            <w:tr w14:paraId="4327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vMerge w:val="continue"/>
                  <w:tcBorders>
                    <w:bottom w:val="single" w:color="000000" w:sz="4" w:space="0"/>
                    <w:tl2br w:val="nil"/>
                    <w:tr2bl w:val="nil"/>
                  </w:tcBorders>
                  <w:shd w:val="clear" w:color="000000" w:fill="FFFFFF"/>
                  <w:vAlign w:val="center"/>
                </w:tcPr>
                <w:p w14:paraId="00986552">
                  <w:pPr>
                    <w:adjustRightInd w:val="0"/>
                    <w:spacing w:line="240" w:lineRule="exact"/>
                    <w:jc w:val="center"/>
                    <w:textAlignment w:val="baseline"/>
                    <w:rPr>
                      <w:rFonts w:ascii="Times New Roman" w:hAnsi="Times New Roman" w:eastAsia="宋体" w:cs="Times New Roman"/>
                      <w:szCs w:val="21"/>
                    </w:rPr>
                  </w:pPr>
                </w:p>
              </w:tc>
              <w:tc>
                <w:tcPr>
                  <w:tcW w:w="553" w:type="pct"/>
                  <w:gridSpan w:val="2"/>
                  <w:vMerge w:val="continue"/>
                  <w:tcBorders>
                    <w:bottom w:val="single" w:color="000000" w:sz="4" w:space="0"/>
                    <w:tl2br w:val="nil"/>
                    <w:tr2bl w:val="nil"/>
                  </w:tcBorders>
                  <w:shd w:val="clear" w:color="000000" w:fill="FFFFFF"/>
                  <w:vAlign w:val="center"/>
                </w:tcPr>
                <w:p w14:paraId="7173AAE4">
                  <w:pPr>
                    <w:adjustRightInd w:val="0"/>
                    <w:spacing w:line="240" w:lineRule="exact"/>
                    <w:jc w:val="center"/>
                    <w:textAlignment w:val="baseline"/>
                    <w:rPr>
                      <w:rFonts w:ascii="Times New Roman" w:hAnsi="Times New Roman" w:eastAsia="宋体" w:cs="Times New Roman"/>
                      <w:szCs w:val="21"/>
                    </w:rPr>
                  </w:pPr>
                </w:p>
              </w:tc>
              <w:tc>
                <w:tcPr>
                  <w:tcW w:w="1160" w:type="dxa"/>
                  <w:tcBorders>
                    <w:top w:val="single" w:color="000000" w:sz="4" w:space="0"/>
                    <w:bottom w:val="single" w:color="000000" w:sz="4" w:space="0"/>
                    <w:tl2br w:val="nil"/>
                    <w:tr2bl w:val="nil"/>
                  </w:tcBorders>
                  <w:shd w:val="clear" w:color="000000" w:fill="FFFFFF"/>
                  <w:vAlign w:val="center"/>
                </w:tcPr>
                <w:p w14:paraId="7D6FDE31">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NO</w:t>
                  </w:r>
                  <w:r>
                    <w:rPr>
                      <w:rFonts w:hint="eastAsia" w:ascii="Times New Roman" w:hAnsi="Times New Roman" w:eastAsia="宋体" w:cs="Times New Roman"/>
                      <w:szCs w:val="21"/>
                      <w:vertAlign w:val="subscript"/>
                    </w:rPr>
                    <w:t>X</w:t>
                  </w:r>
                </w:p>
              </w:tc>
              <w:tc>
                <w:tcPr>
                  <w:tcW w:w="1051" w:type="pct"/>
                  <w:tcBorders>
                    <w:top w:val="single" w:color="000000" w:sz="4" w:space="0"/>
                    <w:bottom w:val="single" w:color="000000" w:sz="4" w:space="0"/>
                    <w:tl2br w:val="nil"/>
                    <w:tr2bl w:val="nil"/>
                  </w:tcBorders>
                  <w:shd w:val="clear" w:color="000000" w:fill="FFFFFF"/>
                  <w:vAlign w:val="center"/>
                </w:tcPr>
                <w:p w14:paraId="47AC02CC">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75.82</w:t>
                  </w:r>
                </w:p>
              </w:tc>
              <w:tc>
                <w:tcPr>
                  <w:tcW w:w="1052" w:type="pct"/>
                  <w:tcBorders>
                    <w:top w:val="single" w:color="000000" w:sz="4" w:space="0"/>
                    <w:bottom w:val="single" w:color="000000" w:sz="4" w:space="0"/>
                    <w:tl2br w:val="nil"/>
                    <w:tr2bl w:val="nil"/>
                  </w:tcBorders>
                  <w:shd w:val="clear" w:color="000000" w:fill="FFFFFF"/>
                  <w:vAlign w:val="center"/>
                </w:tcPr>
                <w:p w14:paraId="2CF435D6">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0.028</w:t>
                  </w:r>
                </w:p>
              </w:tc>
              <w:tc>
                <w:tcPr>
                  <w:tcW w:w="1279" w:type="pct"/>
                  <w:tcBorders>
                    <w:top w:val="single" w:color="000000" w:sz="4" w:space="0"/>
                    <w:bottom w:val="single" w:color="000000" w:sz="4" w:space="0"/>
                    <w:tl2br w:val="nil"/>
                    <w:tr2bl w:val="nil"/>
                  </w:tcBorders>
                  <w:shd w:val="clear" w:color="000000" w:fill="FFFFFF"/>
                  <w:vAlign w:val="center"/>
                </w:tcPr>
                <w:p w14:paraId="2FC21189">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0.0405</w:t>
                  </w:r>
                </w:p>
              </w:tc>
            </w:tr>
            <w:tr w14:paraId="7C93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tcBorders>
                    <w:top w:val="single" w:color="000000" w:sz="4" w:space="0"/>
                    <w:tl2br w:val="nil"/>
                    <w:tr2bl w:val="nil"/>
                  </w:tcBorders>
                  <w:shd w:val="clear" w:color="000000" w:fill="FFFFFF"/>
                  <w:vAlign w:val="center"/>
                </w:tcPr>
                <w:p w14:paraId="5B133C5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w:t>
                  </w:r>
                </w:p>
              </w:tc>
              <w:tc>
                <w:tcPr>
                  <w:tcW w:w="553" w:type="pct"/>
                  <w:gridSpan w:val="2"/>
                  <w:tcBorders>
                    <w:top w:val="single" w:color="000000" w:sz="4" w:space="0"/>
                    <w:tl2br w:val="nil"/>
                    <w:tr2bl w:val="nil"/>
                  </w:tcBorders>
                  <w:shd w:val="clear" w:color="000000" w:fill="FFFFFF"/>
                  <w:vAlign w:val="center"/>
                </w:tcPr>
                <w:p w14:paraId="0BFE6951">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DA005</w:t>
                  </w:r>
                </w:p>
              </w:tc>
              <w:tc>
                <w:tcPr>
                  <w:tcW w:w="1160" w:type="dxa"/>
                  <w:tcBorders>
                    <w:top w:val="single" w:color="000000" w:sz="4" w:space="0"/>
                    <w:bottom w:val="single" w:color="000000" w:sz="4" w:space="0"/>
                    <w:tl2br w:val="nil"/>
                    <w:tr2bl w:val="nil"/>
                  </w:tcBorders>
                  <w:shd w:val="clear" w:color="000000" w:fill="FFFFFF"/>
                  <w:vAlign w:val="center"/>
                </w:tcPr>
                <w:p w14:paraId="3A1AF32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油烟</w:t>
                  </w:r>
                </w:p>
              </w:tc>
              <w:tc>
                <w:tcPr>
                  <w:tcW w:w="1051" w:type="pct"/>
                  <w:tcBorders>
                    <w:top w:val="single" w:color="000000" w:sz="4" w:space="0"/>
                    <w:bottom w:val="single" w:color="000000" w:sz="4" w:space="0"/>
                    <w:tl2br w:val="nil"/>
                    <w:tr2bl w:val="nil"/>
                  </w:tcBorders>
                  <w:shd w:val="clear" w:color="000000" w:fill="FFFFFF"/>
                  <w:vAlign w:val="center"/>
                </w:tcPr>
                <w:p w14:paraId="36EE4DB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0.3</w:t>
                  </w:r>
                </w:p>
              </w:tc>
              <w:tc>
                <w:tcPr>
                  <w:tcW w:w="1052" w:type="pct"/>
                  <w:tcBorders>
                    <w:top w:val="single" w:color="000000" w:sz="4" w:space="0"/>
                    <w:bottom w:val="single" w:color="000000" w:sz="4" w:space="0"/>
                    <w:tl2br w:val="nil"/>
                    <w:tr2bl w:val="nil"/>
                  </w:tcBorders>
                  <w:shd w:val="clear" w:color="000000" w:fill="FFFFFF"/>
                  <w:vAlign w:val="center"/>
                </w:tcPr>
                <w:p w14:paraId="6F287B0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0.006</w:t>
                  </w:r>
                </w:p>
              </w:tc>
              <w:tc>
                <w:tcPr>
                  <w:tcW w:w="1279" w:type="pct"/>
                  <w:tcBorders>
                    <w:top w:val="single" w:color="000000" w:sz="4" w:space="0"/>
                    <w:bottom w:val="single" w:color="000000" w:sz="4" w:space="0"/>
                    <w:tl2br w:val="nil"/>
                    <w:tr2bl w:val="nil"/>
                  </w:tcBorders>
                  <w:shd w:val="clear" w:color="000000" w:fill="FFFFFF"/>
                  <w:vAlign w:val="center"/>
                </w:tcPr>
                <w:p w14:paraId="7F04F76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0.000324</w:t>
                  </w:r>
                </w:p>
              </w:tc>
            </w:tr>
            <w:tr w14:paraId="65F1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000" w:type="pct"/>
                  <w:gridSpan w:val="7"/>
                  <w:tcBorders>
                    <w:tl2br w:val="nil"/>
                    <w:tr2bl w:val="nil"/>
                  </w:tcBorders>
                  <w:shd w:val="clear" w:color="000000" w:fill="FFFFFF"/>
                  <w:vAlign w:val="center"/>
                </w:tcPr>
                <w:p w14:paraId="409D19C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主要排放口</w:t>
                  </w:r>
                </w:p>
              </w:tc>
            </w:tr>
            <w:tr w14:paraId="6123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8" w:type="pct"/>
                  <w:tcBorders>
                    <w:tl2br w:val="nil"/>
                    <w:tr2bl w:val="nil"/>
                  </w:tcBorders>
                  <w:shd w:val="clear" w:color="000000" w:fill="FFFFFF"/>
                  <w:vAlign w:val="center"/>
                </w:tcPr>
                <w:p w14:paraId="07CEB25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553" w:type="pct"/>
                  <w:gridSpan w:val="2"/>
                  <w:tcBorders>
                    <w:tl2br w:val="nil"/>
                    <w:tr2bl w:val="nil"/>
                  </w:tcBorders>
                  <w:shd w:val="clear" w:color="000000" w:fill="FFFFFF"/>
                  <w:vAlign w:val="center"/>
                </w:tcPr>
                <w:p w14:paraId="1F9BA3D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724" w:type="pct"/>
                  <w:tcBorders>
                    <w:tl2br w:val="nil"/>
                    <w:tr2bl w:val="nil"/>
                  </w:tcBorders>
                  <w:shd w:val="clear" w:color="000000" w:fill="FFFFFF"/>
                  <w:vAlign w:val="center"/>
                </w:tcPr>
                <w:p w14:paraId="30E8735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1051" w:type="pct"/>
                  <w:tcBorders>
                    <w:tl2br w:val="nil"/>
                    <w:tr2bl w:val="nil"/>
                  </w:tcBorders>
                  <w:shd w:val="clear" w:color="000000" w:fill="FFFFFF"/>
                  <w:vAlign w:val="center"/>
                </w:tcPr>
                <w:p w14:paraId="609D0E4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1052" w:type="pct"/>
                  <w:tcBorders>
                    <w:tl2br w:val="nil"/>
                    <w:tr2bl w:val="nil"/>
                  </w:tcBorders>
                  <w:shd w:val="clear" w:color="000000" w:fill="FFFFFF"/>
                  <w:vAlign w:val="center"/>
                </w:tcPr>
                <w:p w14:paraId="043A369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1279" w:type="pct"/>
                  <w:tcBorders>
                    <w:tl2br w:val="nil"/>
                    <w:tr2bl w:val="nil"/>
                  </w:tcBorders>
                  <w:shd w:val="clear" w:color="000000" w:fill="FFFFFF"/>
                  <w:vAlign w:val="center"/>
                </w:tcPr>
                <w:p w14:paraId="484D863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r>
            <w:tr w14:paraId="74667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891" w:type="pct"/>
                  <w:gridSpan w:val="3"/>
                  <w:vMerge w:val="restart"/>
                  <w:tcBorders>
                    <w:tl2br w:val="nil"/>
                    <w:tr2bl w:val="nil"/>
                  </w:tcBorders>
                  <w:shd w:val="clear" w:color="000000" w:fill="FFFFFF"/>
                  <w:vAlign w:val="center"/>
                </w:tcPr>
                <w:p w14:paraId="328716C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一般排放口</w:t>
                  </w:r>
                </w:p>
                <w:p w14:paraId="0381CF86">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szCs w:val="21"/>
                    </w:rPr>
                    <w:t>合计</w:t>
                  </w:r>
                </w:p>
              </w:tc>
              <w:tc>
                <w:tcPr>
                  <w:tcW w:w="2828" w:type="pct"/>
                  <w:gridSpan w:val="3"/>
                  <w:tcBorders>
                    <w:tl2br w:val="nil"/>
                    <w:tr2bl w:val="nil"/>
                  </w:tcBorders>
                  <w:shd w:val="clear" w:color="000000" w:fill="FFFFFF"/>
                  <w:vAlign w:val="center"/>
                </w:tcPr>
                <w:p w14:paraId="26030B7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279" w:type="pct"/>
                  <w:tcBorders>
                    <w:tl2br w:val="nil"/>
                    <w:tr2bl w:val="nil"/>
                  </w:tcBorders>
                  <w:shd w:val="clear" w:color="000000" w:fill="FFFFFF"/>
                  <w:vAlign w:val="center"/>
                </w:tcPr>
                <w:p w14:paraId="5DDCA30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0.44869</w:t>
                  </w:r>
                </w:p>
              </w:tc>
            </w:tr>
            <w:tr w14:paraId="562E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891" w:type="pct"/>
                  <w:gridSpan w:val="3"/>
                  <w:vMerge w:val="continue"/>
                  <w:tcBorders>
                    <w:tl2br w:val="nil"/>
                    <w:tr2bl w:val="nil"/>
                  </w:tcBorders>
                  <w:shd w:val="clear" w:color="000000" w:fill="FFFFFF"/>
                  <w:vAlign w:val="center"/>
                </w:tcPr>
                <w:p w14:paraId="1967AF96">
                  <w:pPr>
                    <w:adjustRightInd w:val="0"/>
                    <w:spacing w:line="240" w:lineRule="exact"/>
                    <w:jc w:val="center"/>
                    <w:textAlignment w:val="baseline"/>
                    <w:rPr>
                      <w:rFonts w:ascii="Times New Roman" w:hAnsi="Times New Roman" w:eastAsia="宋体" w:cs="Times New Roman"/>
                      <w:color w:val="FF0000"/>
                      <w:szCs w:val="21"/>
                    </w:rPr>
                  </w:pPr>
                </w:p>
              </w:tc>
              <w:tc>
                <w:tcPr>
                  <w:tcW w:w="2828" w:type="pct"/>
                  <w:gridSpan w:val="3"/>
                  <w:tcBorders>
                    <w:tl2br w:val="nil"/>
                    <w:tr2bl w:val="nil"/>
                  </w:tcBorders>
                  <w:shd w:val="clear" w:color="000000" w:fill="FFFFFF"/>
                  <w:vAlign w:val="center"/>
                </w:tcPr>
                <w:p w14:paraId="39C7D8F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SO</w:t>
                  </w:r>
                  <w:r>
                    <w:rPr>
                      <w:rFonts w:hint="eastAsia" w:ascii="Times New Roman" w:hAnsi="Times New Roman" w:eastAsia="宋体" w:cs="Times New Roman"/>
                      <w:szCs w:val="21"/>
                      <w:vertAlign w:val="subscript"/>
                    </w:rPr>
                    <w:t>2</w:t>
                  </w:r>
                </w:p>
              </w:tc>
              <w:tc>
                <w:tcPr>
                  <w:tcW w:w="1279" w:type="pct"/>
                  <w:tcBorders>
                    <w:tl2br w:val="nil"/>
                    <w:tr2bl w:val="nil"/>
                  </w:tcBorders>
                  <w:shd w:val="clear" w:color="000000" w:fill="FFFFFF"/>
                  <w:vAlign w:val="center"/>
                </w:tcPr>
                <w:p w14:paraId="42DA926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0.00347</w:t>
                  </w:r>
                </w:p>
              </w:tc>
            </w:tr>
            <w:tr w14:paraId="57E6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891" w:type="pct"/>
                  <w:gridSpan w:val="3"/>
                  <w:vMerge w:val="continue"/>
                  <w:tcBorders>
                    <w:tl2br w:val="nil"/>
                    <w:tr2bl w:val="nil"/>
                  </w:tcBorders>
                  <w:shd w:val="clear" w:color="000000" w:fill="FFFFFF"/>
                  <w:vAlign w:val="center"/>
                </w:tcPr>
                <w:p w14:paraId="51A20154">
                  <w:pPr>
                    <w:adjustRightInd w:val="0"/>
                    <w:spacing w:line="240" w:lineRule="exact"/>
                    <w:jc w:val="center"/>
                    <w:textAlignment w:val="baseline"/>
                    <w:rPr>
                      <w:rFonts w:ascii="Times New Roman" w:hAnsi="Times New Roman" w:eastAsia="宋体" w:cs="Times New Roman"/>
                      <w:color w:val="FF0000"/>
                      <w:szCs w:val="21"/>
                    </w:rPr>
                  </w:pPr>
                </w:p>
              </w:tc>
              <w:tc>
                <w:tcPr>
                  <w:tcW w:w="2828" w:type="pct"/>
                  <w:gridSpan w:val="3"/>
                  <w:tcBorders>
                    <w:bottom w:val="single" w:color="000000" w:sz="4" w:space="0"/>
                    <w:tl2br w:val="nil"/>
                    <w:tr2bl w:val="nil"/>
                  </w:tcBorders>
                  <w:shd w:val="clear" w:color="000000" w:fill="FFFFFF"/>
                  <w:vAlign w:val="center"/>
                </w:tcPr>
                <w:p w14:paraId="4F19D73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NO</w:t>
                  </w:r>
                  <w:r>
                    <w:rPr>
                      <w:rFonts w:hint="eastAsia" w:ascii="Times New Roman" w:hAnsi="Times New Roman" w:eastAsia="宋体" w:cs="Times New Roman"/>
                      <w:szCs w:val="21"/>
                      <w:vertAlign w:val="subscript"/>
                    </w:rPr>
                    <w:t>X</w:t>
                  </w:r>
                </w:p>
              </w:tc>
              <w:tc>
                <w:tcPr>
                  <w:tcW w:w="1279" w:type="pct"/>
                  <w:tcBorders>
                    <w:bottom w:val="single" w:color="000000" w:sz="4" w:space="0"/>
                    <w:tl2br w:val="nil"/>
                    <w:tr2bl w:val="nil"/>
                  </w:tcBorders>
                  <w:shd w:val="clear" w:color="000000" w:fill="FFFFFF"/>
                  <w:vAlign w:val="center"/>
                </w:tcPr>
                <w:p w14:paraId="2D635CA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FF0000"/>
                      <w:szCs w:val="21"/>
                    </w:rPr>
                    <w:t>0.4945</w:t>
                  </w:r>
                </w:p>
              </w:tc>
            </w:tr>
            <w:tr w14:paraId="072C1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891" w:type="pct"/>
                  <w:gridSpan w:val="3"/>
                  <w:vMerge w:val="continue"/>
                  <w:tcBorders>
                    <w:tl2br w:val="nil"/>
                    <w:tr2bl w:val="nil"/>
                  </w:tcBorders>
                  <w:shd w:val="clear" w:color="000000" w:fill="FFFFFF"/>
                  <w:vAlign w:val="center"/>
                </w:tcPr>
                <w:p w14:paraId="4377B125">
                  <w:pPr>
                    <w:adjustRightInd w:val="0"/>
                    <w:spacing w:line="240" w:lineRule="exact"/>
                    <w:jc w:val="center"/>
                    <w:textAlignment w:val="baseline"/>
                    <w:rPr>
                      <w:rFonts w:ascii="Times New Roman" w:hAnsi="Times New Roman" w:eastAsia="宋体" w:cs="Times New Roman"/>
                      <w:color w:val="FF0000"/>
                      <w:szCs w:val="21"/>
                    </w:rPr>
                  </w:pPr>
                </w:p>
              </w:tc>
              <w:tc>
                <w:tcPr>
                  <w:tcW w:w="4529" w:type="dxa"/>
                  <w:gridSpan w:val="3"/>
                  <w:tcBorders>
                    <w:top w:val="single" w:color="000000" w:sz="4" w:space="0"/>
                    <w:bottom w:val="single" w:color="000000" w:sz="4" w:space="0"/>
                    <w:tl2br w:val="nil"/>
                    <w:tr2bl w:val="nil"/>
                  </w:tcBorders>
                  <w:shd w:val="clear" w:color="000000" w:fill="FFFFFF"/>
                  <w:vAlign w:val="center"/>
                </w:tcPr>
                <w:p w14:paraId="61D39FB2">
                  <w:pPr>
                    <w:jc w:val="center"/>
                    <w:rPr>
                      <w:rFonts w:ascii="Times New Roman" w:hAnsi="Times New Roman" w:eastAsia="宋体" w:cs="Times New Roman"/>
                      <w:szCs w:val="21"/>
                    </w:rPr>
                  </w:pPr>
                  <w:r>
                    <w:rPr>
                      <w:rFonts w:hint="eastAsia" w:ascii="Times New Roman" w:hAnsi="Times New Roman" w:cs="Times New Roman"/>
                      <w:szCs w:val="21"/>
                    </w:rPr>
                    <w:t>沥青烟</w:t>
                  </w:r>
                </w:p>
              </w:tc>
              <w:tc>
                <w:tcPr>
                  <w:tcW w:w="1279" w:type="pct"/>
                  <w:tcBorders>
                    <w:top w:val="single" w:color="000000" w:sz="4" w:space="0"/>
                    <w:bottom w:val="single" w:color="000000" w:sz="4" w:space="0"/>
                    <w:tl2br w:val="nil"/>
                    <w:tr2bl w:val="nil"/>
                  </w:tcBorders>
                  <w:shd w:val="clear" w:color="000000" w:fill="FFFFFF"/>
                  <w:vAlign w:val="center"/>
                </w:tcPr>
                <w:p w14:paraId="0EA265E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0.00933</w:t>
                  </w:r>
                </w:p>
              </w:tc>
            </w:tr>
            <w:tr w14:paraId="7DA7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891" w:type="pct"/>
                  <w:gridSpan w:val="3"/>
                  <w:vMerge w:val="continue"/>
                  <w:tcBorders>
                    <w:tl2br w:val="nil"/>
                    <w:tr2bl w:val="nil"/>
                  </w:tcBorders>
                  <w:shd w:val="clear" w:color="000000" w:fill="FFFFFF"/>
                  <w:vAlign w:val="center"/>
                </w:tcPr>
                <w:p w14:paraId="420244B8">
                  <w:pPr>
                    <w:adjustRightInd w:val="0"/>
                    <w:spacing w:line="240" w:lineRule="exact"/>
                    <w:jc w:val="center"/>
                    <w:textAlignment w:val="baseline"/>
                    <w:rPr>
                      <w:rFonts w:ascii="Times New Roman" w:hAnsi="Times New Roman" w:eastAsia="宋体" w:cs="Times New Roman"/>
                      <w:color w:val="FF0000"/>
                      <w:szCs w:val="21"/>
                    </w:rPr>
                  </w:pPr>
                </w:p>
              </w:tc>
              <w:tc>
                <w:tcPr>
                  <w:tcW w:w="4529" w:type="dxa"/>
                  <w:gridSpan w:val="3"/>
                  <w:tcBorders>
                    <w:top w:val="single" w:color="000000" w:sz="4" w:space="0"/>
                    <w:bottom w:val="single" w:color="000000" w:sz="4" w:space="0"/>
                    <w:tl2br w:val="nil"/>
                    <w:tr2bl w:val="nil"/>
                  </w:tcBorders>
                  <w:shd w:val="clear" w:color="000000" w:fill="FFFFFF"/>
                  <w:vAlign w:val="center"/>
                </w:tcPr>
                <w:p w14:paraId="6C132FF7">
                  <w:pPr>
                    <w:jc w:val="center"/>
                    <w:rPr>
                      <w:rFonts w:ascii="Times New Roman" w:hAnsi="Times New Roman" w:eastAsia="宋体" w:cs="Times New Roman"/>
                      <w:szCs w:val="21"/>
                    </w:rPr>
                  </w:pPr>
                  <w:r>
                    <w:rPr>
                      <w:rFonts w:ascii="Times New Roman" w:hAnsi="Times New Roman" w:cs="Times New Roman"/>
                      <w:szCs w:val="21"/>
                    </w:rPr>
                    <w:t>苯并[a]芘</w:t>
                  </w:r>
                </w:p>
              </w:tc>
              <w:tc>
                <w:tcPr>
                  <w:tcW w:w="1279" w:type="pct"/>
                  <w:tcBorders>
                    <w:top w:val="single" w:color="000000" w:sz="4" w:space="0"/>
                    <w:bottom w:val="single" w:color="000000" w:sz="4" w:space="0"/>
                    <w:tl2br w:val="nil"/>
                    <w:tr2bl w:val="nil"/>
                  </w:tcBorders>
                  <w:shd w:val="clear" w:color="000000" w:fill="FFFFFF"/>
                  <w:vAlign w:val="center"/>
                </w:tcPr>
                <w:p w14:paraId="372410D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13.96</w:t>
                  </w:r>
                  <w:r>
                    <w:rPr>
                      <w:rFonts w:ascii="Times New Roman" w:hAnsi="Times New Roman" w:eastAsia="仿宋" w:cs="Times New Roman"/>
                      <w:szCs w:val="21"/>
                    </w:rPr>
                    <w:t>×10</w:t>
                  </w:r>
                  <w:r>
                    <w:rPr>
                      <w:rFonts w:ascii="Times New Roman" w:hAnsi="Times New Roman" w:eastAsia="仿宋" w:cs="Times New Roman"/>
                      <w:szCs w:val="21"/>
                      <w:vertAlign w:val="superscript"/>
                    </w:rPr>
                    <w:t>-</w:t>
                  </w:r>
                  <w:r>
                    <w:rPr>
                      <w:rFonts w:hint="eastAsia" w:ascii="Times New Roman" w:hAnsi="Times New Roman" w:eastAsia="仿宋" w:cs="Times New Roman"/>
                      <w:szCs w:val="21"/>
                      <w:vertAlign w:val="superscript"/>
                    </w:rPr>
                    <w:t>7</w:t>
                  </w:r>
                </w:p>
              </w:tc>
            </w:tr>
            <w:tr w14:paraId="31820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891" w:type="pct"/>
                  <w:gridSpan w:val="3"/>
                  <w:vMerge w:val="continue"/>
                  <w:tcBorders>
                    <w:tl2br w:val="nil"/>
                    <w:tr2bl w:val="nil"/>
                  </w:tcBorders>
                  <w:shd w:val="clear" w:color="000000" w:fill="FFFFFF"/>
                  <w:vAlign w:val="center"/>
                </w:tcPr>
                <w:p w14:paraId="29284020">
                  <w:pPr>
                    <w:adjustRightInd w:val="0"/>
                    <w:spacing w:line="240" w:lineRule="exact"/>
                    <w:jc w:val="center"/>
                    <w:textAlignment w:val="baseline"/>
                    <w:rPr>
                      <w:rFonts w:ascii="Times New Roman" w:hAnsi="Times New Roman" w:eastAsia="宋体" w:cs="Times New Roman"/>
                      <w:color w:val="FF0000"/>
                      <w:szCs w:val="21"/>
                    </w:rPr>
                  </w:pPr>
                </w:p>
              </w:tc>
              <w:tc>
                <w:tcPr>
                  <w:tcW w:w="4529" w:type="dxa"/>
                  <w:gridSpan w:val="3"/>
                  <w:tcBorders>
                    <w:top w:val="single" w:color="000000" w:sz="4" w:space="0"/>
                    <w:bottom w:val="single" w:color="000000" w:sz="4" w:space="0"/>
                    <w:tl2br w:val="nil"/>
                    <w:tr2bl w:val="nil"/>
                  </w:tcBorders>
                  <w:shd w:val="clear" w:color="000000" w:fill="FFFFFF"/>
                  <w:vAlign w:val="center"/>
                </w:tcPr>
                <w:p w14:paraId="0830D9C7">
                  <w:pPr>
                    <w:jc w:val="center"/>
                    <w:rPr>
                      <w:rFonts w:ascii="Times New Roman" w:hAnsi="Times New Roman" w:eastAsia="宋体" w:cs="Times New Roman"/>
                      <w:szCs w:val="21"/>
                    </w:rPr>
                  </w:pPr>
                  <w:r>
                    <w:rPr>
                      <w:rFonts w:hint="eastAsia" w:ascii="Times New Roman" w:hAnsi="Times New Roman" w:cs="Times New Roman"/>
                      <w:szCs w:val="21"/>
                    </w:rPr>
                    <w:t>非甲烷总烃</w:t>
                  </w:r>
                </w:p>
              </w:tc>
              <w:tc>
                <w:tcPr>
                  <w:tcW w:w="1279" w:type="pct"/>
                  <w:tcBorders>
                    <w:top w:val="single" w:color="000000" w:sz="4" w:space="0"/>
                    <w:bottom w:val="single" w:color="000000" w:sz="4" w:space="0"/>
                    <w:tl2br w:val="nil"/>
                    <w:tr2bl w:val="nil"/>
                  </w:tcBorders>
                  <w:shd w:val="clear" w:color="000000" w:fill="FFFFFF"/>
                  <w:vAlign w:val="center"/>
                </w:tcPr>
                <w:p w14:paraId="551F6C1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0.024</w:t>
                  </w:r>
                </w:p>
              </w:tc>
            </w:tr>
            <w:tr w14:paraId="3D38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891" w:type="pct"/>
                  <w:gridSpan w:val="3"/>
                  <w:vMerge w:val="continue"/>
                  <w:tcBorders>
                    <w:tl2br w:val="nil"/>
                    <w:tr2bl w:val="nil"/>
                  </w:tcBorders>
                  <w:shd w:val="clear" w:color="000000" w:fill="FFFFFF"/>
                  <w:vAlign w:val="center"/>
                </w:tcPr>
                <w:p w14:paraId="64FACF4A">
                  <w:pPr>
                    <w:adjustRightInd w:val="0"/>
                    <w:spacing w:line="240" w:lineRule="exact"/>
                    <w:jc w:val="center"/>
                    <w:textAlignment w:val="baseline"/>
                    <w:rPr>
                      <w:rFonts w:ascii="Times New Roman" w:hAnsi="Times New Roman" w:eastAsia="宋体" w:cs="Times New Roman"/>
                      <w:color w:val="FF0000"/>
                      <w:szCs w:val="21"/>
                    </w:rPr>
                  </w:pPr>
                </w:p>
              </w:tc>
              <w:tc>
                <w:tcPr>
                  <w:tcW w:w="2828" w:type="pct"/>
                  <w:gridSpan w:val="3"/>
                  <w:tcBorders>
                    <w:top w:val="single" w:color="000000" w:sz="4" w:space="0"/>
                    <w:tl2br w:val="nil"/>
                    <w:tr2bl w:val="nil"/>
                  </w:tcBorders>
                  <w:shd w:val="clear" w:color="000000" w:fill="FFFFFF"/>
                  <w:vAlign w:val="center"/>
                </w:tcPr>
                <w:p w14:paraId="04EF484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油烟</w:t>
                  </w:r>
                </w:p>
              </w:tc>
              <w:tc>
                <w:tcPr>
                  <w:tcW w:w="1279" w:type="pct"/>
                  <w:tcBorders>
                    <w:top w:val="single" w:color="000000" w:sz="4" w:space="0"/>
                    <w:tl2br w:val="nil"/>
                    <w:tr2bl w:val="nil"/>
                  </w:tcBorders>
                  <w:shd w:val="clear" w:color="000000" w:fill="FFFFFF"/>
                  <w:vAlign w:val="center"/>
                </w:tcPr>
                <w:p w14:paraId="6AB502C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0.00324</w:t>
                  </w:r>
                </w:p>
              </w:tc>
            </w:tr>
            <w:tr w14:paraId="50A9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20" w:type="pct"/>
                  <w:gridSpan w:val="6"/>
                  <w:tcBorders>
                    <w:tl2br w:val="nil"/>
                    <w:tr2bl w:val="nil"/>
                  </w:tcBorders>
                  <w:shd w:val="clear" w:color="000000" w:fill="FFFFFF"/>
                  <w:vAlign w:val="center"/>
                </w:tcPr>
                <w:p w14:paraId="29B5592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一般排放口合计</w:t>
                  </w:r>
                </w:p>
              </w:tc>
              <w:tc>
                <w:tcPr>
                  <w:tcW w:w="1279" w:type="pct"/>
                  <w:tcBorders>
                    <w:tl2br w:val="nil"/>
                    <w:tr2bl w:val="nil"/>
                  </w:tcBorders>
                  <w:shd w:val="clear" w:color="000000" w:fill="FFFFFF"/>
                  <w:vAlign w:val="center"/>
                </w:tcPr>
                <w:p w14:paraId="2D2A73C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r>
          </w:tbl>
          <w:p w14:paraId="0EDF20B1">
            <w:pPr>
              <w:spacing w:line="360" w:lineRule="auto"/>
              <w:ind w:firstLine="480" w:firstLineChars="200"/>
              <w:rPr>
                <w:sz w:val="24"/>
              </w:rPr>
            </w:pPr>
            <w:r>
              <w:rPr>
                <w:rFonts w:hint="eastAsia"/>
                <w:sz w:val="24"/>
              </w:rPr>
              <w:t>②全厂无</w:t>
            </w:r>
            <w:r>
              <w:rPr>
                <w:sz w:val="24"/>
              </w:rPr>
              <w:t>组织</w:t>
            </w:r>
            <w:r>
              <w:rPr>
                <w:rFonts w:hint="eastAsia"/>
                <w:sz w:val="24"/>
              </w:rPr>
              <w:t>大气污染物</w:t>
            </w:r>
            <w:r>
              <w:rPr>
                <w:sz w:val="24"/>
              </w:rPr>
              <w:t>排放量核算</w:t>
            </w:r>
          </w:p>
          <w:p w14:paraId="20F5D50F">
            <w:pPr>
              <w:spacing w:line="360" w:lineRule="auto"/>
              <w:jc w:val="center"/>
              <w:rPr>
                <w:rFonts w:ascii="Times New Roman" w:hAnsi="Times New Roman" w:eastAsia="宋体" w:cs="Times New Roman"/>
                <w:b/>
                <w:bCs/>
                <w:snapToGrid w:val="0"/>
                <w:kern w:val="0"/>
                <w:sz w:val="24"/>
                <w:lang w:val="zh-CN"/>
              </w:rPr>
            </w:pPr>
            <w:r>
              <w:rPr>
                <w:rFonts w:hint="eastAsia" w:ascii="Times New Roman" w:hAnsi="Times New Roman" w:eastAsia="宋体" w:cs="Times New Roman"/>
                <w:b/>
                <w:bCs/>
                <w:snapToGrid w:val="0"/>
                <w:kern w:val="0"/>
                <w:sz w:val="24"/>
                <w:lang w:val="zh-CN"/>
              </w:rPr>
              <w:t>表4-</w:t>
            </w:r>
            <w:r>
              <w:rPr>
                <w:rFonts w:hint="eastAsia" w:ascii="Times New Roman" w:hAnsi="Times New Roman" w:eastAsia="宋体" w:cs="Times New Roman"/>
                <w:b/>
                <w:bCs/>
                <w:snapToGrid w:val="0"/>
                <w:kern w:val="0"/>
                <w:sz w:val="24"/>
              </w:rPr>
              <w:t>21</w:t>
            </w:r>
            <w:r>
              <w:rPr>
                <w:rFonts w:hint="eastAsia" w:ascii="Times New Roman" w:hAnsi="Times New Roman" w:eastAsia="宋体" w:cs="Times New Roman"/>
                <w:b/>
                <w:bCs/>
                <w:snapToGrid w:val="0"/>
                <w:kern w:val="0"/>
                <w:sz w:val="24"/>
                <w:lang w:val="zh-CN"/>
              </w:rPr>
              <w:t xml:space="preserve"> </w:t>
            </w:r>
            <w:r>
              <w:rPr>
                <w:rFonts w:hint="eastAsia" w:ascii="Times New Roman" w:hAnsi="Times New Roman" w:eastAsia="宋体" w:cs="Times New Roman"/>
                <w:b/>
                <w:bCs/>
                <w:snapToGrid w:val="0"/>
                <w:kern w:val="0"/>
                <w:sz w:val="24"/>
              </w:rPr>
              <w:t>全厂</w:t>
            </w:r>
            <w:r>
              <w:rPr>
                <w:rFonts w:hint="eastAsia" w:ascii="Times New Roman" w:hAnsi="Times New Roman" w:eastAsia="宋体" w:cs="Times New Roman"/>
                <w:b/>
                <w:bCs/>
                <w:snapToGrid w:val="0"/>
                <w:kern w:val="0"/>
                <w:sz w:val="24"/>
                <w:lang w:val="zh-CN"/>
              </w:rPr>
              <w:t>无组织大气污染物排放量核算表</w:t>
            </w:r>
          </w:p>
          <w:tbl>
            <w:tblPr>
              <w:tblStyle w:val="28"/>
              <w:tblW w:w="8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06"/>
              <w:gridCol w:w="1212"/>
              <w:gridCol w:w="1191"/>
              <w:gridCol w:w="188"/>
              <w:gridCol w:w="2060"/>
              <w:gridCol w:w="1145"/>
              <w:gridCol w:w="333"/>
              <w:gridCol w:w="1081"/>
              <w:gridCol w:w="652"/>
            </w:tblGrid>
            <w:tr w14:paraId="3493C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187" w:type="pct"/>
                  <w:vMerge w:val="restart"/>
                  <w:tcBorders>
                    <w:tl2br w:val="nil"/>
                    <w:tr2bl w:val="nil"/>
                  </w:tcBorders>
                  <w:vAlign w:val="center"/>
                </w:tcPr>
                <w:p w14:paraId="11FB611E">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序号</w:t>
                  </w:r>
                </w:p>
              </w:tc>
              <w:tc>
                <w:tcPr>
                  <w:tcW w:w="742" w:type="pct"/>
                  <w:vMerge w:val="restart"/>
                  <w:tcBorders>
                    <w:tl2br w:val="nil"/>
                    <w:tr2bl w:val="nil"/>
                  </w:tcBorders>
                  <w:vAlign w:val="center"/>
                </w:tcPr>
                <w:p w14:paraId="73C96601">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产污环节</w:t>
                  </w:r>
                </w:p>
              </w:tc>
              <w:tc>
                <w:tcPr>
                  <w:tcW w:w="729" w:type="pct"/>
                  <w:vMerge w:val="restart"/>
                  <w:tcBorders>
                    <w:tl2br w:val="nil"/>
                    <w:tr2bl w:val="nil"/>
                  </w:tcBorders>
                  <w:vAlign w:val="center"/>
                </w:tcPr>
                <w:p w14:paraId="105B37B7">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污染物</w:t>
                  </w:r>
                </w:p>
              </w:tc>
              <w:tc>
                <w:tcPr>
                  <w:tcW w:w="1376" w:type="pct"/>
                  <w:gridSpan w:val="2"/>
                  <w:vMerge w:val="restart"/>
                  <w:tcBorders>
                    <w:tl2br w:val="nil"/>
                    <w:tr2bl w:val="nil"/>
                  </w:tcBorders>
                  <w:vAlign w:val="center"/>
                </w:tcPr>
                <w:p w14:paraId="16752AFE">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主要污染防治措施</w:t>
                  </w:r>
                </w:p>
              </w:tc>
              <w:tc>
                <w:tcPr>
                  <w:tcW w:w="1567" w:type="pct"/>
                  <w:gridSpan w:val="3"/>
                  <w:tcBorders>
                    <w:tl2br w:val="nil"/>
                    <w:tr2bl w:val="nil"/>
                  </w:tcBorders>
                  <w:vAlign w:val="center"/>
                </w:tcPr>
                <w:p w14:paraId="27FF1F00">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国家或地方污染物排放标准</w:t>
                  </w:r>
                </w:p>
              </w:tc>
              <w:tc>
                <w:tcPr>
                  <w:tcW w:w="396" w:type="pct"/>
                  <w:vMerge w:val="restart"/>
                  <w:tcBorders>
                    <w:tl2br w:val="nil"/>
                    <w:tr2bl w:val="nil"/>
                  </w:tcBorders>
                  <w:vAlign w:val="center"/>
                </w:tcPr>
                <w:p w14:paraId="01551CD8">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年排</w:t>
                  </w:r>
                </w:p>
                <w:p w14:paraId="394035C7">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放量</w:t>
                  </w:r>
                </w:p>
                <w:p w14:paraId="6F5BECAE">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（t/a）</w:t>
                  </w:r>
                </w:p>
              </w:tc>
            </w:tr>
            <w:tr w14:paraId="0127B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 w:hRule="atLeast"/>
                <w:jc w:val="center"/>
              </w:trPr>
              <w:tc>
                <w:tcPr>
                  <w:tcW w:w="187" w:type="pct"/>
                  <w:vMerge w:val="continue"/>
                  <w:tcBorders>
                    <w:tl2br w:val="nil"/>
                    <w:tr2bl w:val="nil"/>
                  </w:tcBorders>
                  <w:vAlign w:val="center"/>
                </w:tcPr>
                <w:p w14:paraId="25832784">
                  <w:pPr>
                    <w:adjustRightInd w:val="0"/>
                    <w:spacing w:line="240" w:lineRule="exact"/>
                    <w:jc w:val="center"/>
                    <w:textAlignment w:val="baseline"/>
                    <w:rPr>
                      <w:rFonts w:ascii="Times New Roman" w:hAnsi="Times New Roman" w:eastAsia="宋体" w:cs="Times New Roman"/>
                      <w:szCs w:val="21"/>
                    </w:rPr>
                  </w:pPr>
                </w:p>
              </w:tc>
              <w:tc>
                <w:tcPr>
                  <w:tcW w:w="742" w:type="pct"/>
                  <w:vMerge w:val="continue"/>
                  <w:tcBorders>
                    <w:tl2br w:val="nil"/>
                    <w:tr2bl w:val="nil"/>
                  </w:tcBorders>
                  <w:vAlign w:val="center"/>
                </w:tcPr>
                <w:p w14:paraId="338FB531">
                  <w:pPr>
                    <w:adjustRightInd w:val="0"/>
                    <w:spacing w:line="240" w:lineRule="exact"/>
                    <w:jc w:val="center"/>
                    <w:textAlignment w:val="baseline"/>
                    <w:rPr>
                      <w:rFonts w:ascii="Times New Roman" w:hAnsi="Times New Roman" w:eastAsia="宋体" w:cs="Times New Roman"/>
                      <w:szCs w:val="21"/>
                    </w:rPr>
                  </w:pPr>
                </w:p>
              </w:tc>
              <w:tc>
                <w:tcPr>
                  <w:tcW w:w="729" w:type="pct"/>
                  <w:vMerge w:val="continue"/>
                  <w:tcBorders>
                    <w:tl2br w:val="nil"/>
                    <w:tr2bl w:val="nil"/>
                  </w:tcBorders>
                  <w:vAlign w:val="center"/>
                </w:tcPr>
                <w:p w14:paraId="2B26E228">
                  <w:pPr>
                    <w:adjustRightInd w:val="0"/>
                    <w:spacing w:line="240" w:lineRule="exact"/>
                    <w:jc w:val="center"/>
                    <w:textAlignment w:val="baseline"/>
                    <w:rPr>
                      <w:rFonts w:ascii="Times New Roman" w:hAnsi="Times New Roman" w:eastAsia="宋体" w:cs="Times New Roman"/>
                      <w:szCs w:val="21"/>
                    </w:rPr>
                  </w:pPr>
                </w:p>
              </w:tc>
              <w:tc>
                <w:tcPr>
                  <w:tcW w:w="1376" w:type="pct"/>
                  <w:gridSpan w:val="2"/>
                  <w:vMerge w:val="continue"/>
                  <w:tcBorders>
                    <w:tl2br w:val="nil"/>
                    <w:tr2bl w:val="nil"/>
                  </w:tcBorders>
                  <w:vAlign w:val="center"/>
                </w:tcPr>
                <w:p w14:paraId="0DBEEBB4">
                  <w:pPr>
                    <w:adjustRightInd w:val="0"/>
                    <w:spacing w:line="240" w:lineRule="exact"/>
                    <w:jc w:val="center"/>
                    <w:textAlignment w:val="baseline"/>
                    <w:rPr>
                      <w:rFonts w:ascii="Times New Roman" w:hAnsi="Times New Roman" w:eastAsia="宋体" w:cs="Times New Roman"/>
                      <w:szCs w:val="21"/>
                    </w:rPr>
                  </w:pPr>
                </w:p>
              </w:tc>
              <w:tc>
                <w:tcPr>
                  <w:tcW w:w="905" w:type="pct"/>
                  <w:gridSpan w:val="2"/>
                  <w:tcBorders>
                    <w:tl2br w:val="nil"/>
                    <w:tr2bl w:val="nil"/>
                  </w:tcBorders>
                  <w:vAlign w:val="center"/>
                </w:tcPr>
                <w:p w14:paraId="706523B1">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标准名称</w:t>
                  </w:r>
                </w:p>
              </w:tc>
              <w:tc>
                <w:tcPr>
                  <w:tcW w:w="661" w:type="pct"/>
                  <w:tcBorders>
                    <w:tl2br w:val="nil"/>
                    <w:tr2bl w:val="nil"/>
                  </w:tcBorders>
                  <w:vAlign w:val="center"/>
                </w:tcPr>
                <w:p w14:paraId="73172C31">
                  <w:pPr>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浓度限值/</w:t>
                  </w:r>
                </w:p>
                <w:p w14:paraId="5B074D68">
                  <w:pPr>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w:t>
                  </w:r>
                  <w:r>
                    <w:rPr>
                      <w:rFonts w:hint="eastAsia" w:ascii="Times New Roman" w:hAnsi="Times New Roman" w:eastAsia="宋体" w:cs="Times New Roman"/>
                      <w:b/>
                      <w:bCs/>
                      <w:szCs w:val="21"/>
                    </w:rPr>
                    <w:t>m</w:t>
                  </w:r>
                  <w:r>
                    <w:rPr>
                      <w:rFonts w:ascii="Times New Roman" w:hAnsi="Times New Roman" w:eastAsia="宋体" w:cs="Times New Roman"/>
                      <w:b/>
                      <w:bCs/>
                      <w:szCs w:val="21"/>
                    </w:rPr>
                    <w:t>g/m</w:t>
                  </w:r>
                  <w:r>
                    <w:rPr>
                      <w:rFonts w:ascii="Times New Roman" w:hAnsi="Times New Roman" w:eastAsia="宋体" w:cs="Times New Roman"/>
                      <w:b/>
                      <w:bCs/>
                      <w:szCs w:val="21"/>
                      <w:vertAlign w:val="superscript"/>
                    </w:rPr>
                    <w:t>3</w:t>
                  </w:r>
                  <w:r>
                    <w:rPr>
                      <w:rFonts w:ascii="Times New Roman" w:hAnsi="Times New Roman" w:eastAsia="宋体" w:cs="Times New Roman"/>
                      <w:b/>
                      <w:bCs/>
                      <w:szCs w:val="21"/>
                    </w:rPr>
                    <w:t>）</w:t>
                  </w:r>
                </w:p>
              </w:tc>
              <w:tc>
                <w:tcPr>
                  <w:tcW w:w="396" w:type="pct"/>
                  <w:vMerge w:val="continue"/>
                  <w:tcBorders>
                    <w:tl2br w:val="nil"/>
                    <w:tr2bl w:val="nil"/>
                  </w:tcBorders>
                  <w:vAlign w:val="center"/>
                </w:tcPr>
                <w:p w14:paraId="4231877E">
                  <w:pPr>
                    <w:adjustRightInd w:val="0"/>
                    <w:spacing w:line="240" w:lineRule="exact"/>
                    <w:jc w:val="center"/>
                    <w:textAlignment w:val="baseline"/>
                    <w:rPr>
                      <w:rFonts w:ascii="Times New Roman" w:hAnsi="Times New Roman" w:eastAsia="宋体" w:cs="Times New Roman"/>
                      <w:szCs w:val="21"/>
                    </w:rPr>
                  </w:pPr>
                </w:p>
              </w:tc>
            </w:tr>
            <w:tr w14:paraId="35242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187" w:type="pct"/>
                  <w:tcBorders>
                    <w:tl2br w:val="nil"/>
                    <w:tr2bl w:val="nil"/>
                  </w:tcBorders>
                  <w:vAlign w:val="center"/>
                </w:tcPr>
                <w:p w14:paraId="6BD07FAA">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1</w:t>
                  </w:r>
                </w:p>
              </w:tc>
              <w:tc>
                <w:tcPr>
                  <w:tcW w:w="742" w:type="pct"/>
                  <w:tcBorders>
                    <w:tl2br w:val="nil"/>
                    <w:tr2bl w:val="nil"/>
                  </w:tcBorders>
                  <w:vAlign w:val="center"/>
                </w:tcPr>
                <w:p w14:paraId="38BE923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道路运输</w:t>
                  </w:r>
                </w:p>
              </w:tc>
              <w:tc>
                <w:tcPr>
                  <w:tcW w:w="729" w:type="pct"/>
                  <w:tcBorders>
                    <w:tl2br w:val="nil"/>
                    <w:tr2bl w:val="nil"/>
                  </w:tcBorders>
                  <w:vAlign w:val="center"/>
                </w:tcPr>
                <w:p w14:paraId="01FD591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376" w:type="pct"/>
                  <w:gridSpan w:val="2"/>
                  <w:tcBorders>
                    <w:tl2br w:val="nil"/>
                    <w:tr2bl w:val="nil"/>
                  </w:tcBorders>
                  <w:vAlign w:val="center"/>
                </w:tcPr>
                <w:p w14:paraId="6F4EEDB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cs="Times New Roman"/>
                      <w:szCs w:val="21"/>
                    </w:rPr>
                    <w:t>①所有运输车辆进、出厂均要求苫盖严密，减速限速、禁止超载；②厂内运输道路已硬化，采用洒水车对厂区及连接道路进行定期洒水，保持路面湿润，从源头抑制扬尘产生；③厂区进出口设置洗车平台，对进出运输车辆轮胎进行冲洗。</w:t>
                  </w:r>
                </w:p>
              </w:tc>
              <w:tc>
                <w:tcPr>
                  <w:tcW w:w="905" w:type="pct"/>
                  <w:gridSpan w:val="2"/>
                  <w:vMerge w:val="restart"/>
                  <w:tcBorders>
                    <w:tl2br w:val="nil"/>
                    <w:tr2bl w:val="nil"/>
                  </w:tcBorders>
                  <w:vAlign w:val="center"/>
                </w:tcPr>
                <w:p w14:paraId="42036293">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《大气污染物综合排放标准》(GB16297-1996)中表2新污染源大气污染物排放限值-无组织排放监控浓度限值</w:t>
                  </w:r>
                </w:p>
              </w:tc>
              <w:tc>
                <w:tcPr>
                  <w:tcW w:w="661" w:type="pct"/>
                  <w:vMerge w:val="restart"/>
                  <w:tcBorders>
                    <w:tl2br w:val="nil"/>
                    <w:tr2bl w:val="nil"/>
                  </w:tcBorders>
                  <w:vAlign w:val="center"/>
                </w:tcPr>
                <w:p w14:paraId="16E9760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w:t>
                  </w:r>
                </w:p>
              </w:tc>
              <w:tc>
                <w:tcPr>
                  <w:tcW w:w="396" w:type="pct"/>
                  <w:tcBorders>
                    <w:tl2br w:val="nil"/>
                    <w:tr2bl w:val="nil"/>
                  </w:tcBorders>
                  <w:vAlign w:val="center"/>
                </w:tcPr>
                <w:p w14:paraId="1560944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0.038</w:t>
                  </w:r>
                </w:p>
              </w:tc>
            </w:tr>
            <w:tr w14:paraId="29285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187" w:type="pct"/>
                  <w:tcBorders>
                    <w:tl2br w:val="nil"/>
                    <w:tr2bl w:val="nil"/>
                  </w:tcBorders>
                  <w:vAlign w:val="center"/>
                </w:tcPr>
                <w:p w14:paraId="4641259E">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2</w:t>
                  </w:r>
                </w:p>
              </w:tc>
              <w:tc>
                <w:tcPr>
                  <w:tcW w:w="742" w:type="pct"/>
                  <w:tcBorders>
                    <w:tl2br w:val="nil"/>
                    <w:tr2bl w:val="nil"/>
                  </w:tcBorders>
                  <w:vAlign w:val="center"/>
                </w:tcPr>
                <w:p w14:paraId="4C4CFA7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原料堆棚物料堆存</w:t>
                  </w:r>
                </w:p>
              </w:tc>
              <w:tc>
                <w:tcPr>
                  <w:tcW w:w="729" w:type="pct"/>
                  <w:tcBorders>
                    <w:tl2br w:val="nil"/>
                    <w:tr2bl w:val="nil"/>
                  </w:tcBorders>
                  <w:vAlign w:val="center"/>
                </w:tcPr>
                <w:p w14:paraId="403249F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376" w:type="pct"/>
                  <w:gridSpan w:val="2"/>
                  <w:tcBorders>
                    <w:tl2br w:val="nil"/>
                    <w:tr2bl w:val="nil"/>
                  </w:tcBorders>
                  <w:vAlign w:val="center"/>
                </w:tcPr>
                <w:p w14:paraId="644BE67D">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color w:val="000000"/>
                      <w:kern w:val="2"/>
                      <w:sz w:val="21"/>
                      <w:szCs w:val="21"/>
                      <w:lang w:val="en-US" w:eastAsia="zh-CN" w:bidi="ar-SA"/>
                    </w:rPr>
                    <w:t>①建设半封闭式原料堆棚（三面围挡，仅装卸一侧敞开）；</w:t>
                  </w:r>
                  <w:r>
                    <w:rPr>
                      <w:rFonts w:hint="eastAsia" w:ascii="Times New Roman" w:hAnsi="Times New Roman" w:eastAsia="宋体" w:cs="Times New Roman"/>
                      <w:color w:val="1331F5"/>
                      <w:kern w:val="2"/>
                      <w:sz w:val="21"/>
                      <w:szCs w:val="21"/>
                      <w:lang w:val="en-US" w:eastAsia="zh-CN" w:bidi="ar-SA"/>
                    </w:rPr>
                    <w:t>②对易起尘物料（细物料）采用篷布</w:t>
                  </w:r>
                  <w:r>
                    <w:rPr>
                      <w:rFonts w:hint="default" w:ascii="Times New Roman" w:hAnsi="Times New Roman" w:eastAsia="宋体" w:cs="Times New Roman"/>
                      <w:color w:val="1331F5"/>
                      <w:kern w:val="2"/>
                      <w:sz w:val="21"/>
                      <w:szCs w:val="21"/>
                      <w:lang w:val="en-US" w:eastAsia="zh-CN" w:bidi="ar-SA"/>
                    </w:rPr>
                    <w:t>/</w:t>
                  </w:r>
                  <w:r>
                    <w:rPr>
                      <w:rFonts w:hint="eastAsia" w:ascii="Times New Roman" w:hAnsi="Times New Roman" w:eastAsia="宋体" w:cs="Times New Roman"/>
                      <w:color w:val="1331F5"/>
                      <w:kern w:val="2"/>
                      <w:sz w:val="21"/>
                      <w:szCs w:val="21"/>
                      <w:lang w:val="en-US" w:eastAsia="zh-CN" w:bidi="ar-SA"/>
                    </w:rPr>
                    <w:t>编织苫盖；</w:t>
                  </w:r>
                  <w:r>
                    <w:rPr>
                      <w:rFonts w:hint="eastAsia" w:ascii="Times New Roman" w:hAnsi="Times New Roman" w:eastAsia="宋体" w:cs="Times New Roman"/>
                      <w:color w:val="000000"/>
                      <w:kern w:val="2"/>
                      <w:sz w:val="21"/>
                      <w:szCs w:val="21"/>
                      <w:lang w:val="en-US" w:eastAsia="zh-CN" w:bidi="ar-SA"/>
                    </w:rPr>
                    <w:t>原料堆棚配置移动式喷淋雾炮1套，辅以洒水车洒水降尘，保持堆棚表面湿润；③加强堆场日常管理，合理安排作业时序，大风天气增加洒水频次或暂停作业。</w:t>
                  </w:r>
                </w:p>
              </w:tc>
              <w:tc>
                <w:tcPr>
                  <w:tcW w:w="905" w:type="pct"/>
                  <w:gridSpan w:val="2"/>
                  <w:vMerge w:val="continue"/>
                  <w:tcBorders>
                    <w:tl2br w:val="nil"/>
                    <w:tr2bl w:val="nil"/>
                  </w:tcBorders>
                  <w:vAlign w:val="center"/>
                </w:tcPr>
                <w:p w14:paraId="4ED622E0">
                  <w:pPr>
                    <w:wordWrap w:val="0"/>
                    <w:topLinePunct/>
                    <w:adjustRightInd w:val="0"/>
                    <w:spacing w:line="240" w:lineRule="exact"/>
                    <w:jc w:val="center"/>
                    <w:textAlignment w:val="baseline"/>
                    <w:rPr>
                      <w:rFonts w:ascii="Times New Roman" w:hAnsi="Times New Roman" w:eastAsia="宋体" w:cs="Times New Roman"/>
                      <w:szCs w:val="21"/>
                    </w:rPr>
                  </w:pPr>
                </w:p>
              </w:tc>
              <w:tc>
                <w:tcPr>
                  <w:tcW w:w="661" w:type="pct"/>
                  <w:vMerge w:val="continue"/>
                  <w:tcBorders>
                    <w:tl2br w:val="nil"/>
                    <w:tr2bl w:val="nil"/>
                  </w:tcBorders>
                  <w:vAlign w:val="center"/>
                </w:tcPr>
                <w:p w14:paraId="0804C092">
                  <w:pPr>
                    <w:adjustRightInd w:val="0"/>
                    <w:spacing w:line="240" w:lineRule="exact"/>
                    <w:jc w:val="center"/>
                    <w:textAlignment w:val="baseline"/>
                    <w:rPr>
                      <w:rFonts w:ascii="Times New Roman" w:hAnsi="Times New Roman" w:eastAsia="宋体" w:cs="Times New Roman"/>
                      <w:szCs w:val="21"/>
                    </w:rPr>
                  </w:pPr>
                </w:p>
              </w:tc>
              <w:tc>
                <w:tcPr>
                  <w:tcW w:w="396" w:type="pct"/>
                  <w:tcBorders>
                    <w:tl2br w:val="nil"/>
                    <w:tr2bl w:val="nil"/>
                  </w:tcBorders>
                  <w:vAlign w:val="center"/>
                </w:tcPr>
                <w:p w14:paraId="395C68A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0.7</w:t>
                  </w:r>
                </w:p>
              </w:tc>
            </w:tr>
            <w:tr w14:paraId="1903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187" w:type="pct"/>
                  <w:tcBorders>
                    <w:tl2br w:val="nil"/>
                    <w:tr2bl w:val="nil"/>
                  </w:tcBorders>
                  <w:vAlign w:val="center"/>
                </w:tcPr>
                <w:p w14:paraId="0C31A11B">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3</w:t>
                  </w:r>
                </w:p>
              </w:tc>
              <w:tc>
                <w:tcPr>
                  <w:tcW w:w="742" w:type="pct"/>
                  <w:tcBorders>
                    <w:tl2br w:val="nil"/>
                    <w:tr2bl w:val="nil"/>
                  </w:tcBorders>
                  <w:vAlign w:val="center"/>
                </w:tcPr>
                <w:p w14:paraId="66FE48B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石料卸料</w:t>
                  </w:r>
                </w:p>
              </w:tc>
              <w:tc>
                <w:tcPr>
                  <w:tcW w:w="729" w:type="pct"/>
                  <w:tcBorders>
                    <w:tl2br w:val="nil"/>
                    <w:tr2bl w:val="nil"/>
                  </w:tcBorders>
                  <w:vAlign w:val="center"/>
                </w:tcPr>
                <w:p w14:paraId="4438B8B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376" w:type="pct"/>
                  <w:gridSpan w:val="2"/>
                  <w:tcBorders>
                    <w:tl2br w:val="nil"/>
                    <w:tr2bl w:val="nil"/>
                  </w:tcBorders>
                  <w:vAlign w:val="center"/>
                </w:tcPr>
                <w:p w14:paraId="4F13710A">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color w:val="000000"/>
                      <w:szCs w:val="21"/>
                    </w:rPr>
                    <w:t>采用移动式喷淋雾炮辅以洒水车针对作业面进行洒水降尘。</w:t>
                  </w:r>
                </w:p>
              </w:tc>
              <w:tc>
                <w:tcPr>
                  <w:tcW w:w="905" w:type="pct"/>
                  <w:gridSpan w:val="2"/>
                  <w:vMerge w:val="continue"/>
                  <w:tcBorders>
                    <w:tl2br w:val="nil"/>
                    <w:tr2bl w:val="nil"/>
                  </w:tcBorders>
                  <w:vAlign w:val="center"/>
                </w:tcPr>
                <w:p w14:paraId="37E472B0">
                  <w:pPr>
                    <w:wordWrap w:val="0"/>
                    <w:topLinePunct/>
                    <w:adjustRightInd w:val="0"/>
                    <w:spacing w:line="240" w:lineRule="exact"/>
                    <w:jc w:val="center"/>
                    <w:textAlignment w:val="baseline"/>
                    <w:rPr>
                      <w:rFonts w:ascii="Times New Roman" w:hAnsi="Times New Roman" w:eastAsia="宋体" w:cs="Times New Roman"/>
                      <w:szCs w:val="21"/>
                    </w:rPr>
                  </w:pPr>
                </w:p>
              </w:tc>
              <w:tc>
                <w:tcPr>
                  <w:tcW w:w="661" w:type="pct"/>
                  <w:vMerge w:val="continue"/>
                  <w:tcBorders>
                    <w:tl2br w:val="nil"/>
                    <w:tr2bl w:val="nil"/>
                  </w:tcBorders>
                  <w:vAlign w:val="center"/>
                </w:tcPr>
                <w:p w14:paraId="52108C8C">
                  <w:pPr>
                    <w:adjustRightInd w:val="0"/>
                    <w:spacing w:line="240" w:lineRule="exact"/>
                    <w:jc w:val="center"/>
                    <w:textAlignment w:val="baseline"/>
                    <w:rPr>
                      <w:rFonts w:ascii="Times New Roman" w:hAnsi="Times New Roman" w:eastAsia="宋体" w:cs="Times New Roman"/>
                      <w:szCs w:val="21"/>
                    </w:rPr>
                  </w:pPr>
                </w:p>
              </w:tc>
              <w:tc>
                <w:tcPr>
                  <w:tcW w:w="396" w:type="pct"/>
                  <w:tcBorders>
                    <w:tl2br w:val="nil"/>
                    <w:tr2bl w:val="nil"/>
                  </w:tcBorders>
                  <w:vAlign w:val="center"/>
                </w:tcPr>
                <w:p w14:paraId="5FECC30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1.21</w:t>
                  </w:r>
                </w:p>
              </w:tc>
            </w:tr>
            <w:tr w14:paraId="57E69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187" w:type="pct"/>
                  <w:tcBorders>
                    <w:tl2br w:val="nil"/>
                    <w:tr2bl w:val="nil"/>
                  </w:tcBorders>
                  <w:vAlign w:val="center"/>
                </w:tcPr>
                <w:p w14:paraId="430FC7A1">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4</w:t>
                  </w:r>
                </w:p>
              </w:tc>
              <w:tc>
                <w:tcPr>
                  <w:tcW w:w="742" w:type="pct"/>
                  <w:tcBorders>
                    <w:tl2br w:val="nil"/>
                    <w:tr2bl w:val="nil"/>
                  </w:tcBorders>
                  <w:vAlign w:val="center"/>
                </w:tcPr>
                <w:p w14:paraId="4F6A48C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冷料上料</w:t>
                  </w:r>
                </w:p>
              </w:tc>
              <w:tc>
                <w:tcPr>
                  <w:tcW w:w="729" w:type="pct"/>
                  <w:tcBorders>
                    <w:tl2br w:val="nil"/>
                    <w:tr2bl w:val="nil"/>
                  </w:tcBorders>
                  <w:vAlign w:val="center"/>
                </w:tcPr>
                <w:p w14:paraId="3B76B33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376" w:type="pct"/>
                  <w:gridSpan w:val="2"/>
                  <w:tcBorders>
                    <w:tl2br w:val="nil"/>
                    <w:tr2bl w:val="nil"/>
                  </w:tcBorders>
                  <w:vAlign w:val="center"/>
                </w:tcPr>
                <w:p w14:paraId="53C706C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冷料仓设置半封闭围挡；设置喷淋装置喷淋降尘</w:t>
                  </w:r>
                </w:p>
              </w:tc>
              <w:tc>
                <w:tcPr>
                  <w:tcW w:w="905" w:type="pct"/>
                  <w:gridSpan w:val="2"/>
                  <w:vMerge w:val="continue"/>
                  <w:tcBorders>
                    <w:tl2br w:val="nil"/>
                    <w:tr2bl w:val="nil"/>
                  </w:tcBorders>
                  <w:vAlign w:val="center"/>
                </w:tcPr>
                <w:p w14:paraId="155C9F92">
                  <w:pPr>
                    <w:adjustRightInd w:val="0"/>
                    <w:spacing w:line="240" w:lineRule="exact"/>
                    <w:jc w:val="center"/>
                    <w:textAlignment w:val="baseline"/>
                    <w:rPr>
                      <w:rFonts w:ascii="Times New Roman" w:hAnsi="Times New Roman" w:eastAsia="宋体" w:cs="Times New Roman"/>
                      <w:szCs w:val="21"/>
                    </w:rPr>
                  </w:pPr>
                </w:p>
              </w:tc>
              <w:tc>
                <w:tcPr>
                  <w:tcW w:w="661" w:type="pct"/>
                  <w:vMerge w:val="continue"/>
                  <w:tcBorders>
                    <w:tl2br w:val="nil"/>
                    <w:tr2bl w:val="nil"/>
                  </w:tcBorders>
                  <w:vAlign w:val="center"/>
                </w:tcPr>
                <w:p w14:paraId="1D626741">
                  <w:pPr>
                    <w:adjustRightInd w:val="0"/>
                    <w:spacing w:line="240" w:lineRule="exact"/>
                    <w:jc w:val="center"/>
                    <w:textAlignment w:val="baseline"/>
                    <w:rPr>
                      <w:rFonts w:ascii="Times New Roman" w:hAnsi="Times New Roman" w:eastAsia="宋体" w:cs="Times New Roman"/>
                      <w:szCs w:val="21"/>
                    </w:rPr>
                  </w:pPr>
                </w:p>
              </w:tc>
              <w:tc>
                <w:tcPr>
                  <w:tcW w:w="396" w:type="pct"/>
                  <w:tcBorders>
                    <w:tl2br w:val="nil"/>
                    <w:tr2bl w:val="nil"/>
                  </w:tcBorders>
                  <w:vAlign w:val="center"/>
                </w:tcPr>
                <w:p w14:paraId="631FD97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0.34</w:t>
                  </w:r>
                </w:p>
              </w:tc>
            </w:tr>
            <w:tr w14:paraId="3D8A7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187" w:type="pct"/>
                  <w:tcBorders>
                    <w:tl2br w:val="nil"/>
                    <w:tr2bl w:val="nil"/>
                  </w:tcBorders>
                  <w:vAlign w:val="center"/>
                </w:tcPr>
                <w:p w14:paraId="43DDDBC2">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5</w:t>
                  </w:r>
                </w:p>
              </w:tc>
              <w:tc>
                <w:tcPr>
                  <w:tcW w:w="742" w:type="pct"/>
                  <w:tcBorders>
                    <w:tl2br w:val="nil"/>
                    <w:tr2bl w:val="nil"/>
                  </w:tcBorders>
                  <w:vAlign w:val="center"/>
                </w:tcPr>
                <w:p w14:paraId="314488F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皮带运输</w:t>
                  </w:r>
                </w:p>
              </w:tc>
              <w:tc>
                <w:tcPr>
                  <w:tcW w:w="729" w:type="pct"/>
                  <w:tcBorders>
                    <w:tl2br w:val="nil"/>
                    <w:tr2bl w:val="nil"/>
                  </w:tcBorders>
                  <w:vAlign w:val="center"/>
                </w:tcPr>
                <w:p w14:paraId="2D46CC9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376" w:type="pct"/>
                  <w:gridSpan w:val="2"/>
                  <w:tcBorders>
                    <w:tl2br w:val="nil"/>
                    <w:tr2bl w:val="nil"/>
                  </w:tcBorders>
                  <w:vAlign w:val="center"/>
                </w:tcPr>
                <w:p w14:paraId="1022749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封闭皮带廊道</w:t>
                  </w:r>
                </w:p>
              </w:tc>
              <w:tc>
                <w:tcPr>
                  <w:tcW w:w="905" w:type="pct"/>
                  <w:gridSpan w:val="2"/>
                  <w:vMerge w:val="continue"/>
                  <w:tcBorders>
                    <w:tl2br w:val="nil"/>
                    <w:tr2bl w:val="nil"/>
                  </w:tcBorders>
                  <w:vAlign w:val="center"/>
                </w:tcPr>
                <w:p w14:paraId="14DEF117">
                  <w:pPr>
                    <w:adjustRightInd w:val="0"/>
                    <w:spacing w:line="240" w:lineRule="exact"/>
                    <w:jc w:val="center"/>
                    <w:textAlignment w:val="baseline"/>
                    <w:rPr>
                      <w:rFonts w:ascii="Times New Roman" w:hAnsi="Times New Roman" w:eastAsia="宋体" w:cs="Times New Roman"/>
                      <w:szCs w:val="21"/>
                    </w:rPr>
                  </w:pPr>
                </w:p>
              </w:tc>
              <w:tc>
                <w:tcPr>
                  <w:tcW w:w="661" w:type="pct"/>
                  <w:vMerge w:val="continue"/>
                  <w:tcBorders>
                    <w:tl2br w:val="nil"/>
                    <w:tr2bl w:val="nil"/>
                  </w:tcBorders>
                  <w:vAlign w:val="center"/>
                </w:tcPr>
                <w:p w14:paraId="47D3AFFC">
                  <w:pPr>
                    <w:adjustRightInd w:val="0"/>
                    <w:spacing w:line="240" w:lineRule="exact"/>
                    <w:jc w:val="center"/>
                    <w:textAlignment w:val="baseline"/>
                    <w:rPr>
                      <w:rFonts w:ascii="Times New Roman" w:hAnsi="Times New Roman" w:eastAsia="宋体" w:cs="Times New Roman"/>
                      <w:szCs w:val="21"/>
                    </w:rPr>
                  </w:pPr>
                </w:p>
              </w:tc>
              <w:tc>
                <w:tcPr>
                  <w:tcW w:w="396" w:type="pct"/>
                  <w:tcBorders>
                    <w:tl2br w:val="nil"/>
                    <w:tr2bl w:val="nil"/>
                  </w:tcBorders>
                  <w:vAlign w:val="center"/>
                </w:tcPr>
                <w:p w14:paraId="1F132BF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r>
            <w:tr w14:paraId="65137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187" w:type="pct"/>
                  <w:tcBorders>
                    <w:tl2br w:val="nil"/>
                    <w:tr2bl w:val="nil"/>
                  </w:tcBorders>
                  <w:vAlign w:val="center"/>
                </w:tcPr>
                <w:p w14:paraId="05413A0F">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6</w:t>
                  </w:r>
                </w:p>
              </w:tc>
              <w:tc>
                <w:tcPr>
                  <w:tcW w:w="742" w:type="pct"/>
                  <w:tcBorders>
                    <w:tl2br w:val="nil"/>
                    <w:tr2bl w:val="nil"/>
                  </w:tcBorders>
                  <w:vAlign w:val="center"/>
                </w:tcPr>
                <w:p w14:paraId="325D099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烘干筛分热骨料仓粉尘</w:t>
                  </w:r>
                </w:p>
              </w:tc>
              <w:tc>
                <w:tcPr>
                  <w:tcW w:w="729" w:type="pct"/>
                  <w:tcBorders>
                    <w:tl2br w:val="nil"/>
                    <w:tr2bl w:val="nil"/>
                  </w:tcBorders>
                  <w:vAlign w:val="center"/>
                </w:tcPr>
                <w:p w14:paraId="364501C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376" w:type="pct"/>
                  <w:gridSpan w:val="2"/>
                  <w:tcBorders>
                    <w:tl2br w:val="nil"/>
                    <w:tr2bl w:val="nil"/>
                  </w:tcBorders>
                  <w:vAlign w:val="center"/>
                </w:tcPr>
                <w:p w14:paraId="1061092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cs="Times New Roman"/>
                      <w:szCs w:val="21"/>
                    </w:rPr>
                    <w:t>未收集呈无组织排放的粉尘</w:t>
                  </w:r>
                </w:p>
              </w:tc>
              <w:tc>
                <w:tcPr>
                  <w:tcW w:w="905" w:type="pct"/>
                  <w:gridSpan w:val="2"/>
                  <w:vMerge w:val="continue"/>
                  <w:tcBorders>
                    <w:tl2br w:val="nil"/>
                    <w:tr2bl w:val="nil"/>
                  </w:tcBorders>
                  <w:vAlign w:val="center"/>
                </w:tcPr>
                <w:p w14:paraId="75A9E8CC">
                  <w:pPr>
                    <w:adjustRightInd w:val="0"/>
                    <w:spacing w:line="240" w:lineRule="exact"/>
                    <w:jc w:val="center"/>
                    <w:textAlignment w:val="baseline"/>
                    <w:rPr>
                      <w:rFonts w:ascii="Times New Roman" w:hAnsi="Times New Roman" w:eastAsia="宋体" w:cs="Times New Roman"/>
                      <w:szCs w:val="21"/>
                    </w:rPr>
                  </w:pPr>
                </w:p>
              </w:tc>
              <w:tc>
                <w:tcPr>
                  <w:tcW w:w="661" w:type="pct"/>
                  <w:vMerge w:val="continue"/>
                  <w:tcBorders>
                    <w:tl2br w:val="nil"/>
                    <w:tr2bl w:val="nil"/>
                  </w:tcBorders>
                  <w:vAlign w:val="center"/>
                </w:tcPr>
                <w:p w14:paraId="1254D811">
                  <w:pPr>
                    <w:adjustRightInd w:val="0"/>
                    <w:spacing w:line="240" w:lineRule="exact"/>
                    <w:jc w:val="center"/>
                    <w:textAlignment w:val="baseline"/>
                    <w:rPr>
                      <w:rFonts w:ascii="Times New Roman" w:hAnsi="Times New Roman" w:eastAsia="宋体" w:cs="Times New Roman"/>
                      <w:szCs w:val="21"/>
                    </w:rPr>
                  </w:pPr>
                </w:p>
              </w:tc>
              <w:tc>
                <w:tcPr>
                  <w:tcW w:w="396" w:type="pct"/>
                  <w:tcBorders>
                    <w:tl2br w:val="nil"/>
                    <w:tr2bl w:val="nil"/>
                  </w:tcBorders>
                  <w:vAlign w:val="center"/>
                </w:tcPr>
                <w:p w14:paraId="5BF1C4B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0.04</w:t>
                  </w:r>
                </w:p>
              </w:tc>
            </w:tr>
            <w:tr w14:paraId="1875F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7" w:hRule="atLeast"/>
                <w:jc w:val="center"/>
              </w:trPr>
              <w:tc>
                <w:tcPr>
                  <w:tcW w:w="187" w:type="pct"/>
                  <w:tcBorders>
                    <w:tl2br w:val="nil"/>
                    <w:tr2bl w:val="nil"/>
                  </w:tcBorders>
                  <w:vAlign w:val="center"/>
                </w:tcPr>
                <w:p w14:paraId="37A902F9">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7</w:t>
                  </w:r>
                </w:p>
              </w:tc>
              <w:tc>
                <w:tcPr>
                  <w:tcW w:w="742" w:type="pct"/>
                  <w:tcBorders>
                    <w:tl2br w:val="nil"/>
                    <w:tr2bl w:val="nil"/>
                  </w:tcBorders>
                  <w:vAlign w:val="center"/>
                </w:tcPr>
                <w:p w14:paraId="69E3CD2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矿粉立仓</w:t>
                  </w:r>
                </w:p>
                <w:p w14:paraId="6341D13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粉尘</w:t>
                  </w:r>
                </w:p>
              </w:tc>
              <w:tc>
                <w:tcPr>
                  <w:tcW w:w="729" w:type="pct"/>
                  <w:tcBorders>
                    <w:tl2br w:val="nil"/>
                    <w:tr2bl w:val="nil"/>
                  </w:tcBorders>
                  <w:vAlign w:val="center"/>
                </w:tcPr>
                <w:p w14:paraId="6F05185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376" w:type="pct"/>
                  <w:gridSpan w:val="2"/>
                  <w:tcBorders>
                    <w:tl2br w:val="nil"/>
                    <w:tr2bl w:val="nil"/>
                  </w:tcBorders>
                  <w:vAlign w:val="center"/>
                </w:tcPr>
                <w:p w14:paraId="3183426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1#两仓并联共用1套振动式仓顶收尘机，2#仓顶设置振动式仓顶收尘机。</w:t>
                  </w:r>
                </w:p>
              </w:tc>
              <w:tc>
                <w:tcPr>
                  <w:tcW w:w="905" w:type="pct"/>
                  <w:gridSpan w:val="2"/>
                  <w:tcBorders>
                    <w:tl2br w:val="nil"/>
                    <w:tr2bl w:val="nil"/>
                  </w:tcBorders>
                  <w:vAlign w:val="center"/>
                </w:tcPr>
                <w:p w14:paraId="13984FC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《大气污染物综合排放标准》(GB16297-1996)</w:t>
                  </w:r>
                </w:p>
              </w:tc>
              <w:tc>
                <w:tcPr>
                  <w:tcW w:w="661" w:type="pct"/>
                  <w:tcBorders>
                    <w:tl2br w:val="nil"/>
                    <w:tr2bl w:val="nil"/>
                  </w:tcBorders>
                  <w:vAlign w:val="center"/>
                </w:tcPr>
                <w:p w14:paraId="553A3D25">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color w:val="FF0000"/>
                      <w:szCs w:val="21"/>
                    </w:rPr>
                    <w:t>120</w:t>
                  </w:r>
                </w:p>
              </w:tc>
              <w:tc>
                <w:tcPr>
                  <w:tcW w:w="396" w:type="pct"/>
                  <w:tcBorders>
                    <w:tl2br w:val="nil"/>
                    <w:tr2bl w:val="nil"/>
                  </w:tcBorders>
                  <w:vAlign w:val="center"/>
                </w:tcPr>
                <w:p w14:paraId="36488DD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0.00545</w:t>
                  </w:r>
                </w:p>
              </w:tc>
            </w:tr>
            <w:tr w14:paraId="58C4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6" w:hRule="atLeast"/>
                <w:jc w:val="center"/>
              </w:trPr>
              <w:tc>
                <w:tcPr>
                  <w:tcW w:w="187" w:type="pct"/>
                  <w:vMerge w:val="restart"/>
                  <w:tcBorders>
                    <w:tl2br w:val="nil"/>
                    <w:tr2bl w:val="nil"/>
                  </w:tcBorders>
                  <w:vAlign w:val="center"/>
                </w:tcPr>
                <w:p w14:paraId="7FE8F00F">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8</w:t>
                  </w:r>
                </w:p>
              </w:tc>
              <w:tc>
                <w:tcPr>
                  <w:tcW w:w="742" w:type="pct"/>
                  <w:tcBorders>
                    <w:tl2br w:val="nil"/>
                    <w:tr2bl w:val="nil"/>
                  </w:tcBorders>
                  <w:vAlign w:val="center"/>
                </w:tcPr>
                <w:p w14:paraId="264E61C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柴油储罐大呼吸废气</w:t>
                  </w:r>
                </w:p>
              </w:tc>
              <w:tc>
                <w:tcPr>
                  <w:tcW w:w="729" w:type="pct"/>
                  <w:vMerge w:val="restart"/>
                  <w:tcBorders>
                    <w:tl2br w:val="nil"/>
                    <w:tr2bl w:val="nil"/>
                  </w:tcBorders>
                  <w:vAlign w:val="center"/>
                </w:tcPr>
                <w:p w14:paraId="280A636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非甲烷总烃</w:t>
                  </w:r>
                </w:p>
              </w:tc>
              <w:tc>
                <w:tcPr>
                  <w:tcW w:w="1376" w:type="pct"/>
                  <w:gridSpan w:val="2"/>
                  <w:tcBorders>
                    <w:tl2br w:val="nil"/>
                    <w:tr2bl w:val="nil"/>
                  </w:tcBorders>
                  <w:vAlign w:val="center"/>
                </w:tcPr>
                <w:p w14:paraId="3194BBF7">
                  <w:pPr>
                    <w:adjustRightInd w:val="0"/>
                    <w:spacing w:line="240" w:lineRule="exact"/>
                    <w:jc w:val="center"/>
                    <w:textAlignment w:val="baseline"/>
                    <w:rPr>
                      <w:rFonts w:ascii="Times New Roman" w:hAnsi="Times New Roman" w:eastAsia="宋体" w:cs="Times New Roman"/>
                      <w:szCs w:val="21"/>
                    </w:rPr>
                  </w:pPr>
                  <w:r>
                    <w:rPr>
                      <w:rFonts w:hint="eastAsia" w:ascii="Times New Roman Bold" w:hAnsi="Times New Roman Bold" w:eastAsia="宋体" w:cs="Times New Roman Bold"/>
                      <w:color w:val="000000"/>
                      <w:szCs w:val="21"/>
                    </w:rPr>
                    <w:t>槽车卸料口与储罐进料口之间设气相平衡管，卸料过程中储罐内被置换出的油气通过平衡管回流至槽车罐体</w:t>
                  </w:r>
                </w:p>
              </w:tc>
              <w:tc>
                <w:tcPr>
                  <w:tcW w:w="905" w:type="pct"/>
                  <w:gridSpan w:val="2"/>
                  <w:vMerge w:val="restart"/>
                  <w:tcBorders>
                    <w:tl2br w:val="nil"/>
                    <w:tr2bl w:val="nil"/>
                  </w:tcBorders>
                  <w:vAlign w:val="center"/>
                </w:tcPr>
                <w:p w14:paraId="31FBC022">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《大气污染物综合排放标准》(GB16297-1996)中表2新污染源大气污染物排放限值-无组织排放监控浓度限值</w:t>
                  </w:r>
                </w:p>
              </w:tc>
              <w:tc>
                <w:tcPr>
                  <w:tcW w:w="661" w:type="pct"/>
                  <w:vMerge w:val="restart"/>
                  <w:tcBorders>
                    <w:tl2br w:val="nil"/>
                    <w:tr2bl w:val="nil"/>
                  </w:tcBorders>
                  <w:vAlign w:val="center"/>
                </w:tcPr>
                <w:p w14:paraId="2206A42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4.0</w:t>
                  </w:r>
                </w:p>
              </w:tc>
              <w:tc>
                <w:tcPr>
                  <w:tcW w:w="396" w:type="pct"/>
                  <w:tcBorders>
                    <w:tl2br w:val="nil"/>
                    <w:tr2bl w:val="nil"/>
                  </w:tcBorders>
                  <w:vAlign w:val="center"/>
                </w:tcPr>
                <w:p w14:paraId="73D54BA7">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w:t>
                  </w:r>
                </w:p>
              </w:tc>
            </w:tr>
            <w:tr w14:paraId="0508B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3" w:hRule="atLeast"/>
                <w:jc w:val="center"/>
              </w:trPr>
              <w:tc>
                <w:tcPr>
                  <w:tcW w:w="187" w:type="pct"/>
                  <w:vMerge w:val="continue"/>
                  <w:tcBorders>
                    <w:tl2br w:val="nil"/>
                    <w:tr2bl w:val="nil"/>
                  </w:tcBorders>
                  <w:vAlign w:val="center"/>
                </w:tcPr>
                <w:p w14:paraId="7D2968C9">
                  <w:pPr>
                    <w:adjustRightInd w:val="0"/>
                    <w:spacing w:line="240" w:lineRule="exact"/>
                    <w:jc w:val="center"/>
                    <w:textAlignment w:val="baseline"/>
                    <w:rPr>
                      <w:rFonts w:ascii="Times New Roman Bold" w:hAnsi="Times New Roman Bold" w:eastAsia="宋体" w:cs="Times New Roman Bold"/>
                      <w:b/>
                      <w:bCs/>
                      <w:szCs w:val="21"/>
                    </w:rPr>
                  </w:pPr>
                </w:p>
              </w:tc>
              <w:tc>
                <w:tcPr>
                  <w:tcW w:w="742" w:type="pct"/>
                  <w:tcBorders>
                    <w:tl2br w:val="nil"/>
                    <w:tr2bl w:val="nil"/>
                  </w:tcBorders>
                  <w:vAlign w:val="center"/>
                </w:tcPr>
                <w:p w14:paraId="38A5ED7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柴油储罐小呼吸废气</w:t>
                  </w:r>
                </w:p>
              </w:tc>
              <w:tc>
                <w:tcPr>
                  <w:tcW w:w="729" w:type="pct"/>
                  <w:vMerge w:val="continue"/>
                  <w:tcBorders>
                    <w:tl2br w:val="nil"/>
                    <w:tr2bl w:val="nil"/>
                  </w:tcBorders>
                  <w:vAlign w:val="center"/>
                </w:tcPr>
                <w:p w14:paraId="5092DCCB">
                  <w:pPr>
                    <w:adjustRightInd w:val="0"/>
                    <w:spacing w:line="240" w:lineRule="exact"/>
                    <w:jc w:val="center"/>
                    <w:textAlignment w:val="baseline"/>
                    <w:rPr>
                      <w:rFonts w:ascii="Times New Roman" w:hAnsi="Times New Roman" w:eastAsia="宋体" w:cs="Times New Roman"/>
                      <w:szCs w:val="21"/>
                    </w:rPr>
                  </w:pPr>
                </w:p>
              </w:tc>
              <w:tc>
                <w:tcPr>
                  <w:tcW w:w="1376" w:type="pct"/>
                  <w:gridSpan w:val="2"/>
                  <w:tcBorders>
                    <w:tl2br w:val="nil"/>
                    <w:tr2bl w:val="nil"/>
                  </w:tcBorders>
                  <w:vAlign w:val="center"/>
                </w:tcPr>
                <w:p w14:paraId="2D2D424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905" w:type="pct"/>
                  <w:gridSpan w:val="2"/>
                  <w:vMerge w:val="continue"/>
                  <w:tcBorders>
                    <w:tl2br w:val="nil"/>
                    <w:tr2bl w:val="nil"/>
                  </w:tcBorders>
                  <w:vAlign w:val="center"/>
                </w:tcPr>
                <w:p w14:paraId="3C551C53">
                  <w:pPr>
                    <w:wordWrap w:val="0"/>
                    <w:topLinePunct/>
                    <w:adjustRightInd w:val="0"/>
                    <w:spacing w:line="240" w:lineRule="exact"/>
                    <w:jc w:val="center"/>
                    <w:textAlignment w:val="baseline"/>
                    <w:rPr>
                      <w:rFonts w:ascii="Times New Roman" w:hAnsi="Times New Roman" w:eastAsia="宋体" w:cs="Times New Roman"/>
                      <w:szCs w:val="21"/>
                    </w:rPr>
                  </w:pPr>
                </w:p>
              </w:tc>
              <w:tc>
                <w:tcPr>
                  <w:tcW w:w="661" w:type="pct"/>
                  <w:vMerge w:val="continue"/>
                  <w:tcBorders>
                    <w:tl2br w:val="nil"/>
                    <w:tr2bl w:val="nil"/>
                  </w:tcBorders>
                  <w:vAlign w:val="center"/>
                </w:tcPr>
                <w:p w14:paraId="282C7744">
                  <w:pPr>
                    <w:adjustRightInd w:val="0"/>
                    <w:spacing w:line="240" w:lineRule="exact"/>
                    <w:jc w:val="center"/>
                    <w:textAlignment w:val="baseline"/>
                    <w:rPr>
                      <w:rFonts w:ascii="Times New Roman" w:hAnsi="Times New Roman" w:eastAsia="宋体" w:cs="Times New Roman"/>
                      <w:szCs w:val="21"/>
                    </w:rPr>
                  </w:pPr>
                </w:p>
              </w:tc>
              <w:tc>
                <w:tcPr>
                  <w:tcW w:w="396" w:type="pct"/>
                  <w:tcBorders>
                    <w:tl2br w:val="nil"/>
                    <w:tr2bl w:val="nil"/>
                  </w:tcBorders>
                  <w:vAlign w:val="center"/>
                </w:tcPr>
                <w:p w14:paraId="4CE840BF">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0.0049</w:t>
                  </w:r>
                </w:p>
              </w:tc>
            </w:tr>
            <w:tr w14:paraId="4618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187" w:type="pct"/>
                  <w:vMerge w:val="continue"/>
                  <w:tcBorders>
                    <w:tl2br w:val="nil"/>
                    <w:tr2bl w:val="nil"/>
                  </w:tcBorders>
                  <w:vAlign w:val="center"/>
                </w:tcPr>
                <w:p w14:paraId="3BA54D02">
                  <w:pPr>
                    <w:adjustRightInd w:val="0"/>
                    <w:spacing w:line="240" w:lineRule="exact"/>
                    <w:jc w:val="center"/>
                    <w:textAlignment w:val="baseline"/>
                    <w:rPr>
                      <w:rFonts w:ascii="Times New Roman Bold" w:hAnsi="Times New Roman Bold" w:eastAsia="宋体" w:cs="Times New Roman Bold"/>
                      <w:b/>
                      <w:bCs/>
                      <w:szCs w:val="21"/>
                    </w:rPr>
                  </w:pPr>
                </w:p>
              </w:tc>
              <w:tc>
                <w:tcPr>
                  <w:tcW w:w="742" w:type="pct"/>
                  <w:tcBorders>
                    <w:tl2br w:val="nil"/>
                    <w:tr2bl w:val="nil"/>
                  </w:tcBorders>
                  <w:vAlign w:val="center"/>
                </w:tcPr>
                <w:p w14:paraId="4F88225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柴油储罐动静密封点废气</w:t>
                  </w:r>
                </w:p>
              </w:tc>
              <w:tc>
                <w:tcPr>
                  <w:tcW w:w="729" w:type="pct"/>
                  <w:vMerge w:val="continue"/>
                  <w:tcBorders>
                    <w:tl2br w:val="nil"/>
                    <w:tr2bl w:val="nil"/>
                  </w:tcBorders>
                  <w:vAlign w:val="center"/>
                </w:tcPr>
                <w:p w14:paraId="349A2A90">
                  <w:pPr>
                    <w:adjustRightInd w:val="0"/>
                    <w:spacing w:line="240" w:lineRule="exact"/>
                    <w:jc w:val="center"/>
                    <w:textAlignment w:val="baseline"/>
                    <w:rPr>
                      <w:rFonts w:ascii="Times New Roman" w:hAnsi="Times New Roman" w:eastAsia="宋体" w:cs="Times New Roman"/>
                      <w:szCs w:val="21"/>
                    </w:rPr>
                  </w:pPr>
                </w:p>
              </w:tc>
              <w:tc>
                <w:tcPr>
                  <w:tcW w:w="1376" w:type="pct"/>
                  <w:gridSpan w:val="2"/>
                  <w:tcBorders>
                    <w:tl2br w:val="nil"/>
                    <w:tr2bl w:val="nil"/>
                  </w:tcBorders>
                  <w:vAlign w:val="center"/>
                </w:tcPr>
                <w:p w14:paraId="195FB0A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000000"/>
                      <w:szCs w:val="21"/>
                    </w:rPr>
                    <w:t>加强柴油储罐密封点的维护与保养</w:t>
                  </w:r>
                </w:p>
              </w:tc>
              <w:tc>
                <w:tcPr>
                  <w:tcW w:w="905" w:type="pct"/>
                  <w:gridSpan w:val="2"/>
                  <w:vMerge w:val="continue"/>
                  <w:tcBorders>
                    <w:tl2br w:val="nil"/>
                    <w:tr2bl w:val="nil"/>
                  </w:tcBorders>
                  <w:vAlign w:val="center"/>
                </w:tcPr>
                <w:p w14:paraId="0709B8F0">
                  <w:pPr>
                    <w:wordWrap w:val="0"/>
                    <w:topLinePunct/>
                    <w:adjustRightInd w:val="0"/>
                    <w:spacing w:line="240" w:lineRule="exact"/>
                    <w:jc w:val="center"/>
                    <w:textAlignment w:val="baseline"/>
                    <w:rPr>
                      <w:rFonts w:ascii="Times New Roman" w:hAnsi="Times New Roman" w:eastAsia="宋体" w:cs="Times New Roman"/>
                      <w:szCs w:val="21"/>
                    </w:rPr>
                  </w:pPr>
                </w:p>
              </w:tc>
              <w:tc>
                <w:tcPr>
                  <w:tcW w:w="661" w:type="pct"/>
                  <w:vMerge w:val="continue"/>
                  <w:tcBorders>
                    <w:tl2br w:val="nil"/>
                    <w:tr2bl w:val="nil"/>
                  </w:tcBorders>
                  <w:vAlign w:val="center"/>
                </w:tcPr>
                <w:p w14:paraId="1B088BBB">
                  <w:pPr>
                    <w:adjustRightInd w:val="0"/>
                    <w:spacing w:line="240" w:lineRule="exact"/>
                    <w:jc w:val="center"/>
                    <w:textAlignment w:val="baseline"/>
                    <w:rPr>
                      <w:rFonts w:ascii="Times New Roman" w:hAnsi="Times New Roman" w:eastAsia="宋体" w:cs="Times New Roman"/>
                      <w:szCs w:val="21"/>
                    </w:rPr>
                  </w:pPr>
                </w:p>
              </w:tc>
              <w:tc>
                <w:tcPr>
                  <w:tcW w:w="396" w:type="pct"/>
                  <w:tcBorders>
                    <w:tl2br w:val="nil"/>
                    <w:tr2bl w:val="nil"/>
                  </w:tcBorders>
                  <w:vAlign w:val="center"/>
                </w:tcPr>
                <w:p w14:paraId="31E555C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0.0129</w:t>
                  </w:r>
                </w:p>
              </w:tc>
            </w:tr>
            <w:tr w14:paraId="295D5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7" w:type="pct"/>
                  <w:vMerge w:val="restart"/>
                  <w:tcBorders>
                    <w:tl2br w:val="nil"/>
                    <w:tr2bl w:val="nil"/>
                  </w:tcBorders>
                  <w:vAlign w:val="center"/>
                </w:tcPr>
                <w:p w14:paraId="3C9C8175">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9</w:t>
                  </w:r>
                </w:p>
              </w:tc>
              <w:tc>
                <w:tcPr>
                  <w:tcW w:w="742" w:type="pct"/>
                  <w:vMerge w:val="restart"/>
                  <w:tcBorders>
                    <w:tl2br w:val="nil"/>
                    <w:tr2bl w:val="nil"/>
                  </w:tcBorders>
                  <w:vAlign w:val="center"/>
                </w:tcPr>
                <w:p w14:paraId="5B1F2D2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混合搅拌、成品出料</w:t>
                  </w:r>
                </w:p>
              </w:tc>
              <w:tc>
                <w:tcPr>
                  <w:tcW w:w="729" w:type="pct"/>
                  <w:tcBorders>
                    <w:tl2br w:val="nil"/>
                    <w:tr2bl w:val="nil"/>
                  </w:tcBorders>
                  <w:vAlign w:val="center"/>
                </w:tcPr>
                <w:p w14:paraId="56136411">
                  <w:pPr>
                    <w:jc w:val="center"/>
                    <w:rPr>
                      <w:rFonts w:ascii="Times New Roman" w:hAnsi="Times New Roman" w:eastAsia="宋体" w:cs="Times New Roman"/>
                      <w:szCs w:val="21"/>
                    </w:rPr>
                  </w:pPr>
                  <w:r>
                    <w:rPr>
                      <w:rFonts w:hint="eastAsia" w:ascii="Times New Roman" w:hAnsi="Times New Roman" w:cs="Times New Roman"/>
                      <w:szCs w:val="21"/>
                    </w:rPr>
                    <w:t>沥青烟</w:t>
                  </w:r>
                </w:p>
              </w:tc>
              <w:tc>
                <w:tcPr>
                  <w:tcW w:w="1376" w:type="pct"/>
                  <w:gridSpan w:val="2"/>
                  <w:vMerge w:val="restart"/>
                  <w:tcBorders>
                    <w:tl2br w:val="nil"/>
                    <w:tr2bl w:val="nil"/>
                  </w:tcBorders>
                  <w:vAlign w:val="center"/>
                </w:tcPr>
                <w:p w14:paraId="40F2BD89">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cs="Times New Roman"/>
                      <w:szCs w:val="21"/>
                    </w:rPr>
                    <w:t>未收集呈无组织排放</w:t>
                  </w:r>
                </w:p>
              </w:tc>
              <w:tc>
                <w:tcPr>
                  <w:tcW w:w="905" w:type="pct"/>
                  <w:gridSpan w:val="2"/>
                  <w:vMerge w:val="continue"/>
                  <w:tcBorders>
                    <w:tl2br w:val="nil"/>
                    <w:tr2bl w:val="nil"/>
                  </w:tcBorders>
                  <w:vAlign w:val="center"/>
                </w:tcPr>
                <w:p w14:paraId="3B5E170C">
                  <w:pPr>
                    <w:wordWrap w:val="0"/>
                    <w:topLinePunct/>
                    <w:adjustRightInd w:val="0"/>
                    <w:spacing w:line="240" w:lineRule="exact"/>
                    <w:jc w:val="center"/>
                    <w:textAlignment w:val="baseline"/>
                    <w:rPr>
                      <w:rFonts w:ascii="Times New Roman" w:hAnsi="Times New Roman" w:eastAsia="宋体" w:cs="Times New Roman"/>
                      <w:szCs w:val="21"/>
                    </w:rPr>
                  </w:pPr>
                </w:p>
              </w:tc>
              <w:tc>
                <w:tcPr>
                  <w:tcW w:w="661" w:type="pct"/>
                  <w:tcBorders>
                    <w:tl2br w:val="nil"/>
                    <w:tr2bl w:val="nil"/>
                  </w:tcBorders>
                  <w:vAlign w:val="center"/>
                </w:tcPr>
                <w:p w14:paraId="23A6FEE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生产设备不得有明显的无组织排放存在</w:t>
                  </w:r>
                </w:p>
              </w:tc>
              <w:tc>
                <w:tcPr>
                  <w:tcW w:w="396" w:type="pct"/>
                  <w:tcBorders>
                    <w:tl2br w:val="nil"/>
                    <w:tr2bl w:val="nil"/>
                  </w:tcBorders>
                  <w:vAlign w:val="center"/>
                </w:tcPr>
                <w:p w14:paraId="588CB73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0.00422</w:t>
                  </w:r>
                </w:p>
              </w:tc>
            </w:tr>
            <w:tr w14:paraId="670D9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7" w:type="pct"/>
                  <w:vMerge w:val="continue"/>
                  <w:tcBorders>
                    <w:tl2br w:val="nil"/>
                    <w:tr2bl w:val="nil"/>
                  </w:tcBorders>
                  <w:vAlign w:val="center"/>
                </w:tcPr>
                <w:p w14:paraId="7C2B634F">
                  <w:pPr>
                    <w:adjustRightInd w:val="0"/>
                    <w:spacing w:line="240" w:lineRule="exact"/>
                    <w:jc w:val="center"/>
                    <w:textAlignment w:val="baseline"/>
                    <w:rPr>
                      <w:rFonts w:ascii="Times New Roman Bold" w:hAnsi="Times New Roman Bold" w:eastAsia="宋体" w:cs="Times New Roman Bold"/>
                      <w:b/>
                      <w:bCs/>
                      <w:szCs w:val="21"/>
                    </w:rPr>
                  </w:pPr>
                </w:p>
              </w:tc>
              <w:tc>
                <w:tcPr>
                  <w:tcW w:w="742" w:type="pct"/>
                  <w:vMerge w:val="continue"/>
                  <w:tcBorders>
                    <w:tl2br w:val="nil"/>
                    <w:tr2bl w:val="nil"/>
                  </w:tcBorders>
                  <w:vAlign w:val="center"/>
                </w:tcPr>
                <w:p w14:paraId="278DB9E6">
                  <w:pPr>
                    <w:adjustRightInd w:val="0"/>
                    <w:spacing w:line="240" w:lineRule="exact"/>
                    <w:jc w:val="center"/>
                    <w:textAlignment w:val="baseline"/>
                    <w:rPr>
                      <w:rFonts w:ascii="Times New Roman" w:hAnsi="Times New Roman" w:eastAsia="宋体" w:cs="Times New Roman"/>
                      <w:szCs w:val="21"/>
                    </w:rPr>
                  </w:pPr>
                </w:p>
              </w:tc>
              <w:tc>
                <w:tcPr>
                  <w:tcW w:w="729" w:type="pct"/>
                  <w:tcBorders>
                    <w:tl2br w:val="nil"/>
                    <w:tr2bl w:val="nil"/>
                  </w:tcBorders>
                  <w:vAlign w:val="center"/>
                </w:tcPr>
                <w:p w14:paraId="03216B20">
                  <w:pPr>
                    <w:jc w:val="center"/>
                    <w:rPr>
                      <w:rFonts w:ascii="Times New Roman" w:hAnsi="Times New Roman" w:eastAsia="宋体" w:cs="Times New Roman"/>
                      <w:szCs w:val="21"/>
                    </w:rPr>
                  </w:pPr>
                  <w:r>
                    <w:rPr>
                      <w:rFonts w:ascii="Times New Roman" w:hAnsi="Times New Roman" w:cs="Times New Roman"/>
                      <w:szCs w:val="21"/>
                    </w:rPr>
                    <w:t>苯并[a]芘</w:t>
                  </w:r>
                </w:p>
              </w:tc>
              <w:tc>
                <w:tcPr>
                  <w:tcW w:w="1376" w:type="pct"/>
                  <w:gridSpan w:val="2"/>
                  <w:vMerge w:val="continue"/>
                  <w:tcBorders>
                    <w:tl2br w:val="nil"/>
                    <w:tr2bl w:val="nil"/>
                  </w:tcBorders>
                  <w:vAlign w:val="center"/>
                </w:tcPr>
                <w:p w14:paraId="34175170">
                  <w:pPr>
                    <w:adjustRightInd w:val="0"/>
                    <w:spacing w:line="240" w:lineRule="exact"/>
                    <w:jc w:val="center"/>
                    <w:textAlignment w:val="baseline"/>
                    <w:rPr>
                      <w:rFonts w:ascii="Times New Roman" w:hAnsi="Times New Roman" w:eastAsia="宋体" w:cs="Times New Roman"/>
                      <w:color w:val="000000"/>
                      <w:szCs w:val="21"/>
                    </w:rPr>
                  </w:pPr>
                </w:p>
              </w:tc>
              <w:tc>
                <w:tcPr>
                  <w:tcW w:w="905" w:type="pct"/>
                  <w:gridSpan w:val="2"/>
                  <w:vMerge w:val="continue"/>
                  <w:tcBorders>
                    <w:tl2br w:val="nil"/>
                    <w:tr2bl w:val="nil"/>
                  </w:tcBorders>
                  <w:vAlign w:val="center"/>
                </w:tcPr>
                <w:p w14:paraId="7D9C12F9">
                  <w:pPr>
                    <w:wordWrap w:val="0"/>
                    <w:topLinePunct/>
                    <w:adjustRightInd w:val="0"/>
                    <w:spacing w:line="240" w:lineRule="exact"/>
                    <w:jc w:val="center"/>
                    <w:textAlignment w:val="baseline"/>
                    <w:rPr>
                      <w:rFonts w:ascii="Times New Roman" w:hAnsi="Times New Roman" w:eastAsia="宋体" w:cs="Times New Roman"/>
                      <w:szCs w:val="21"/>
                    </w:rPr>
                  </w:pPr>
                </w:p>
              </w:tc>
              <w:tc>
                <w:tcPr>
                  <w:tcW w:w="661" w:type="pct"/>
                  <w:tcBorders>
                    <w:tl2br w:val="nil"/>
                    <w:tr2bl w:val="nil"/>
                  </w:tcBorders>
                  <w:vAlign w:val="center"/>
                </w:tcPr>
                <w:p w14:paraId="6790D0C4">
                  <w:pPr>
                    <w:jc w:val="center"/>
                    <w:rPr>
                      <w:rFonts w:ascii="Times New Roman" w:hAnsi="Times New Roman" w:cs="Times New Roman"/>
                      <w:szCs w:val="21"/>
                    </w:rPr>
                  </w:pPr>
                  <w:r>
                    <w:rPr>
                      <w:rFonts w:ascii="Times New Roman" w:hAnsi="Times New Roman" w:cs="Times New Roman"/>
                      <w:szCs w:val="21"/>
                    </w:rPr>
                    <w:t xml:space="preserve">0.008 </w:t>
                  </w:r>
                </w:p>
                <w:p w14:paraId="39A5E837">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cs="Times New Roman"/>
                      <w:szCs w:val="21"/>
                    </w:rPr>
                    <w:t>（μg/m</w:t>
                  </w:r>
                  <w:r>
                    <w:rPr>
                      <w:rFonts w:ascii="Times New Roman" w:hAnsi="Times New Roman" w:cs="Times New Roman"/>
                      <w:szCs w:val="21"/>
                      <w:vertAlign w:val="superscript"/>
                    </w:rPr>
                    <w:t>3</w:t>
                  </w:r>
                  <w:r>
                    <w:rPr>
                      <w:rFonts w:ascii="Times New Roman" w:hAnsi="Times New Roman" w:cs="Times New Roman"/>
                      <w:szCs w:val="21"/>
                    </w:rPr>
                    <w:t>）</w:t>
                  </w:r>
                </w:p>
              </w:tc>
              <w:tc>
                <w:tcPr>
                  <w:tcW w:w="396" w:type="pct"/>
                  <w:tcBorders>
                    <w:tl2br w:val="nil"/>
                    <w:tr2bl w:val="nil"/>
                  </w:tcBorders>
                  <w:vAlign w:val="center"/>
                </w:tcPr>
                <w:p w14:paraId="2CCA46D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0.00000063</w:t>
                  </w:r>
                </w:p>
              </w:tc>
            </w:tr>
            <w:tr w14:paraId="4E73B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7" w:type="pct"/>
                  <w:vMerge w:val="continue"/>
                  <w:tcBorders>
                    <w:tl2br w:val="nil"/>
                    <w:tr2bl w:val="nil"/>
                  </w:tcBorders>
                  <w:vAlign w:val="center"/>
                </w:tcPr>
                <w:p w14:paraId="0F8E152B">
                  <w:pPr>
                    <w:adjustRightInd w:val="0"/>
                    <w:spacing w:line="240" w:lineRule="exact"/>
                    <w:jc w:val="center"/>
                    <w:textAlignment w:val="baseline"/>
                    <w:rPr>
                      <w:rFonts w:ascii="Times New Roman Bold" w:hAnsi="Times New Roman Bold" w:eastAsia="宋体" w:cs="Times New Roman Bold"/>
                      <w:b/>
                      <w:bCs/>
                      <w:szCs w:val="21"/>
                    </w:rPr>
                  </w:pPr>
                </w:p>
              </w:tc>
              <w:tc>
                <w:tcPr>
                  <w:tcW w:w="742" w:type="pct"/>
                  <w:vMerge w:val="continue"/>
                  <w:tcBorders>
                    <w:tl2br w:val="nil"/>
                    <w:tr2bl w:val="nil"/>
                  </w:tcBorders>
                  <w:vAlign w:val="center"/>
                </w:tcPr>
                <w:p w14:paraId="58CED72E">
                  <w:pPr>
                    <w:adjustRightInd w:val="0"/>
                    <w:spacing w:line="240" w:lineRule="exact"/>
                    <w:jc w:val="center"/>
                    <w:textAlignment w:val="baseline"/>
                    <w:rPr>
                      <w:rFonts w:ascii="Times New Roman" w:hAnsi="Times New Roman" w:eastAsia="宋体" w:cs="Times New Roman"/>
                      <w:szCs w:val="21"/>
                    </w:rPr>
                  </w:pPr>
                </w:p>
              </w:tc>
              <w:tc>
                <w:tcPr>
                  <w:tcW w:w="729" w:type="pct"/>
                  <w:tcBorders>
                    <w:tl2br w:val="nil"/>
                    <w:tr2bl w:val="nil"/>
                  </w:tcBorders>
                  <w:vAlign w:val="center"/>
                </w:tcPr>
                <w:p w14:paraId="1221E145">
                  <w:pPr>
                    <w:jc w:val="center"/>
                    <w:rPr>
                      <w:rFonts w:ascii="Times New Roman" w:hAnsi="Times New Roman" w:eastAsia="宋体" w:cs="Times New Roman"/>
                      <w:szCs w:val="21"/>
                    </w:rPr>
                  </w:pPr>
                  <w:r>
                    <w:rPr>
                      <w:rFonts w:hint="eastAsia" w:ascii="Times New Roman" w:hAnsi="Times New Roman" w:cs="Times New Roman"/>
                      <w:szCs w:val="21"/>
                    </w:rPr>
                    <w:t>非甲烷总烃</w:t>
                  </w:r>
                </w:p>
              </w:tc>
              <w:tc>
                <w:tcPr>
                  <w:tcW w:w="1376" w:type="pct"/>
                  <w:gridSpan w:val="2"/>
                  <w:vMerge w:val="continue"/>
                  <w:tcBorders>
                    <w:tl2br w:val="nil"/>
                    <w:tr2bl w:val="nil"/>
                  </w:tcBorders>
                  <w:vAlign w:val="center"/>
                </w:tcPr>
                <w:p w14:paraId="38CBDA93">
                  <w:pPr>
                    <w:adjustRightInd w:val="0"/>
                    <w:spacing w:line="240" w:lineRule="exact"/>
                    <w:jc w:val="center"/>
                    <w:textAlignment w:val="baseline"/>
                    <w:rPr>
                      <w:rFonts w:ascii="Times New Roman" w:hAnsi="Times New Roman" w:eastAsia="宋体" w:cs="Times New Roman"/>
                      <w:color w:val="000000"/>
                      <w:szCs w:val="21"/>
                    </w:rPr>
                  </w:pPr>
                </w:p>
              </w:tc>
              <w:tc>
                <w:tcPr>
                  <w:tcW w:w="905" w:type="pct"/>
                  <w:gridSpan w:val="2"/>
                  <w:vMerge w:val="continue"/>
                  <w:tcBorders>
                    <w:tl2br w:val="nil"/>
                    <w:tr2bl w:val="nil"/>
                  </w:tcBorders>
                  <w:vAlign w:val="center"/>
                </w:tcPr>
                <w:p w14:paraId="7F8D1051">
                  <w:pPr>
                    <w:wordWrap w:val="0"/>
                    <w:topLinePunct/>
                    <w:adjustRightInd w:val="0"/>
                    <w:spacing w:line="240" w:lineRule="exact"/>
                    <w:jc w:val="center"/>
                    <w:textAlignment w:val="baseline"/>
                    <w:rPr>
                      <w:rFonts w:ascii="Times New Roman" w:hAnsi="Times New Roman" w:eastAsia="宋体" w:cs="Times New Roman"/>
                      <w:szCs w:val="21"/>
                    </w:rPr>
                  </w:pPr>
                </w:p>
              </w:tc>
              <w:tc>
                <w:tcPr>
                  <w:tcW w:w="661" w:type="pct"/>
                  <w:tcBorders>
                    <w:tl2br w:val="nil"/>
                    <w:tr2bl w:val="nil"/>
                  </w:tcBorders>
                  <w:vAlign w:val="center"/>
                </w:tcPr>
                <w:p w14:paraId="61B7E83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4.0</w:t>
                  </w:r>
                </w:p>
              </w:tc>
              <w:tc>
                <w:tcPr>
                  <w:tcW w:w="396" w:type="pct"/>
                  <w:tcBorders>
                    <w:tl2br w:val="nil"/>
                    <w:tr2bl w:val="nil"/>
                  </w:tcBorders>
                  <w:vAlign w:val="center"/>
                </w:tcPr>
                <w:p w14:paraId="67554CE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0.021</w:t>
                  </w:r>
                </w:p>
              </w:tc>
            </w:tr>
            <w:tr w14:paraId="2FE7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187" w:type="pct"/>
                  <w:vMerge w:val="restart"/>
                  <w:tcBorders>
                    <w:tl2br w:val="nil"/>
                    <w:tr2bl w:val="nil"/>
                  </w:tcBorders>
                  <w:vAlign w:val="center"/>
                </w:tcPr>
                <w:p w14:paraId="47C490D1">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10</w:t>
                  </w:r>
                </w:p>
              </w:tc>
              <w:tc>
                <w:tcPr>
                  <w:tcW w:w="742" w:type="pct"/>
                  <w:vMerge w:val="restart"/>
                  <w:tcBorders>
                    <w:tl2br w:val="nil"/>
                    <w:tr2bl w:val="nil"/>
                  </w:tcBorders>
                  <w:vAlign w:val="center"/>
                </w:tcPr>
                <w:p w14:paraId="5AF46C4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沥青储罐大小呼吸废气</w:t>
                  </w:r>
                </w:p>
              </w:tc>
              <w:tc>
                <w:tcPr>
                  <w:tcW w:w="729" w:type="pct"/>
                  <w:tcBorders>
                    <w:tl2br w:val="nil"/>
                    <w:tr2bl w:val="nil"/>
                  </w:tcBorders>
                  <w:vAlign w:val="center"/>
                </w:tcPr>
                <w:p w14:paraId="6DE9DAA5">
                  <w:pPr>
                    <w:jc w:val="center"/>
                    <w:rPr>
                      <w:rFonts w:ascii="Times New Roman" w:hAnsi="Times New Roman" w:cs="Times New Roman"/>
                      <w:szCs w:val="21"/>
                    </w:rPr>
                  </w:pPr>
                  <w:r>
                    <w:rPr>
                      <w:rFonts w:hint="eastAsia" w:ascii="Times New Roman" w:hAnsi="Times New Roman" w:cs="Times New Roman"/>
                      <w:szCs w:val="21"/>
                    </w:rPr>
                    <w:t>沥青烟</w:t>
                  </w:r>
                </w:p>
              </w:tc>
              <w:tc>
                <w:tcPr>
                  <w:tcW w:w="1376" w:type="pct"/>
                  <w:gridSpan w:val="2"/>
                  <w:vMerge w:val="restart"/>
                  <w:tcBorders>
                    <w:tl2br w:val="nil"/>
                    <w:tr2bl w:val="nil"/>
                  </w:tcBorders>
                  <w:vAlign w:val="center"/>
                </w:tcPr>
                <w:p w14:paraId="3F75CE66">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cs="Times New Roman"/>
                      <w:szCs w:val="21"/>
                    </w:rPr>
                    <w:t>未收集呈无组织排放</w:t>
                  </w:r>
                </w:p>
              </w:tc>
              <w:tc>
                <w:tcPr>
                  <w:tcW w:w="905" w:type="pct"/>
                  <w:gridSpan w:val="2"/>
                  <w:vMerge w:val="continue"/>
                  <w:tcBorders>
                    <w:tl2br w:val="nil"/>
                    <w:tr2bl w:val="nil"/>
                  </w:tcBorders>
                  <w:vAlign w:val="center"/>
                </w:tcPr>
                <w:p w14:paraId="257BEC9B">
                  <w:pPr>
                    <w:wordWrap w:val="0"/>
                    <w:topLinePunct/>
                    <w:adjustRightInd w:val="0"/>
                    <w:spacing w:line="240" w:lineRule="exact"/>
                    <w:jc w:val="center"/>
                    <w:textAlignment w:val="baseline"/>
                    <w:rPr>
                      <w:rFonts w:ascii="Times New Roman" w:hAnsi="Times New Roman" w:eastAsia="宋体" w:cs="Times New Roman"/>
                      <w:szCs w:val="21"/>
                    </w:rPr>
                  </w:pPr>
                </w:p>
              </w:tc>
              <w:tc>
                <w:tcPr>
                  <w:tcW w:w="661" w:type="pct"/>
                  <w:tcBorders>
                    <w:tl2br w:val="nil"/>
                    <w:tr2bl w:val="nil"/>
                  </w:tcBorders>
                  <w:vAlign w:val="center"/>
                </w:tcPr>
                <w:p w14:paraId="1E30D01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生产设备不得有明显的无组织排放存在</w:t>
                  </w:r>
                </w:p>
              </w:tc>
              <w:tc>
                <w:tcPr>
                  <w:tcW w:w="396" w:type="pct"/>
                  <w:tcBorders>
                    <w:tl2br w:val="nil"/>
                    <w:tr2bl w:val="nil"/>
                  </w:tcBorders>
                  <w:vAlign w:val="center"/>
                </w:tcPr>
                <w:p w14:paraId="51AB339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0.0255</w:t>
                  </w:r>
                </w:p>
              </w:tc>
            </w:tr>
            <w:tr w14:paraId="69297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187" w:type="pct"/>
                  <w:vMerge w:val="continue"/>
                  <w:tcBorders>
                    <w:tl2br w:val="nil"/>
                    <w:tr2bl w:val="nil"/>
                  </w:tcBorders>
                  <w:vAlign w:val="center"/>
                </w:tcPr>
                <w:p w14:paraId="63C4AC23">
                  <w:pPr>
                    <w:adjustRightInd w:val="0"/>
                    <w:spacing w:line="240" w:lineRule="exact"/>
                    <w:jc w:val="center"/>
                    <w:textAlignment w:val="baseline"/>
                    <w:rPr>
                      <w:rFonts w:ascii="Times New Roman" w:hAnsi="Times New Roman" w:eastAsia="宋体" w:cs="Times New Roman"/>
                      <w:szCs w:val="21"/>
                    </w:rPr>
                  </w:pPr>
                </w:p>
              </w:tc>
              <w:tc>
                <w:tcPr>
                  <w:tcW w:w="742" w:type="pct"/>
                  <w:vMerge w:val="continue"/>
                  <w:tcBorders>
                    <w:tl2br w:val="nil"/>
                    <w:tr2bl w:val="nil"/>
                  </w:tcBorders>
                  <w:vAlign w:val="center"/>
                </w:tcPr>
                <w:p w14:paraId="0B0CB05B">
                  <w:pPr>
                    <w:adjustRightInd w:val="0"/>
                    <w:spacing w:line="240" w:lineRule="exact"/>
                    <w:jc w:val="center"/>
                    <w:textAlignment w:val="baseline"/>
                    <w:rPr>
                      <w:rFonts w:ascii="Times New Roman" w:hAnsi="Times New Roman" w:eastAsia="宋体" w:cs="Times New Roman"/>
                      <w:szCs w:val="21"/>
                    </w:rPr>
                  </w:pPr>
                </w:p>
              </w:tc>
              <w:tc>
                <w:tcPr>
                  <w:tcW w:w="729" w:type="pct"/>
                  <w:tcBorders>
                    <w:tl2br w:val="nil"/>
                    <w:tr2bl w:val="nil"/>
                  </w:tcBorders>
                  <w:vAlign w:val="center"/>
                </w:tcPr>
                <w:p w14:paraId="00D64D48">
                  <w:pPr>
                    <w:jc w:val="center"/>
                    <w:rPr>
                      <w:rFonts w:ascii="Times New Roman" w:hAnsi="Times New Roman" w:cs="Times New Roman"/>
                      <w:szCs w:val="21"/>
                    </w:rPr>
                  </w:pPr>
                  <w:r>
                    <w:rPr>
                      <w:rFonts w:ascii="Times New Roman" w:hAnsi="Times New Roman" w:cs="Times New Roman"/>
                      <w:szCs w:val="21"/>
                    </w:rPr>
                    <w:t>苯并[a]芘</w:t>
                  </w:r>
                </w:p>
              </w:tc>
              <w:tc>
                <w:tcPr>
                  <w:tcW w:w="1376" w:type="pct"/>
                  <w:gridSpan w:val="2"/>
                  <w:vMerge w:val="continue"/>
                  <w:tcBorders>
                    <w:tl2br w:val="nil"/>
                    <w:tr2bl w:val="nil"/>
                  </w:tcBorders>
                  <w:vAlign w:val="center"/>
                </w:tcPr>
                <w:p w14:paraId="385F7BCE">
                  <w:pPr>
                    <w:adjustRightInd w:val="0"/>
                    <w:spacing w:line="240" w:lineRule="exact"/>
                    <w:jc w:val="center"/>
                    <w:textAlignment w:val="baseline"/>
                    <w:rPr>
                      <w:rFonts w:ascii="Times New Roman" w:hAnsi="Times New Roman" w:eastAsia="宋体" w:cs="Times New Roman"/>
                      <w:color w:val="000000"/>
                      <w:szCs w:val="21"/>
                    </w:rPr>
                  </w:pPr>
                </w:p>
              </w:tc>
              <w:tc>
                <w:tcPr>
                  <w:tcW w:w="905" w:type="pct"/>
                  <w:gridSpan w:val="2"/>
                  <w:vMerge w:val="continue"/>
                  <w:tcBorders>
                    <w:tl2br w:val="nil"/>
                    <w:tr2bl w:val="nil"/>
                  </w:tcBorders>
                  <w:vAlign w:val="center"/>
                </w:tcPr>
                <w:p w14:paraId="421D4D9A">
                  <w:pPr>
                    <w:wordWrap w:val="0"/>
                    <w:topLinePunct/>
                    <w:adjustRightInd w:val="0"/>
                    <w:spacing w:line="240" w:lineRule="exact"/>
                    <w:jc w:val="center"/>
                    <w:textAlignment w:val="baseline"/>
                    <w:rPr>
                      <w:rFonts w:ascii="Times New Roman" w:hAnsi="Times New Roman" w:eastAsia="宋体" w:cs="Times New Roman"/>
                      <w:szCs w:val="21"/>
                    </w:rPr>
                  </w:pPr>
                </w:p>
              </w:tc>
              <w:tc>
                <w:tcPr>
                  <w:tcW w:w="661" w:type="pct"/>
                  <w:tcBorders>
                    <w:tl2br w:val="nil"/>
                    <w:tr2bl w:val="nil"/>
                  </w:tcBorders>
                  <w:vAlign w:val="center"/>
                </w:tcPr>
                <w:p w14:paraId="7936E1FC">
                  <w:pPr>
                    <w:jc w:val="center"/>
                    <w:rPr>
                      <w:rFonts w:ascii="Times New Roman" w:hAnsi="Times New Roman" w:cs="Times New Roman"/>
                      <w:szCs w:val="21"/>
                    </w:rPr>
                  </w:pPr>
                  <w:r>
                    <w:rPr>
                      <w:rFonts w:ascii="Times New Roman" w:hAnsi="Times New Roman" w:cs="Times New Roman"/>
                      <w:szCs w:val="21"/>
                    </w:rPr>
                    <w:t xml:space="preserve">0.008 </w:t>
                  </w:r>
                </w:p>
                <w:p w14:paraId="498886F8">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cs="Times New Roman"/>
                      <w:szCs w:val="21"/>
                    </w:rPr>
                    <w:t>（μg/m</w:t>
                  </w:r>
                  <w:r>
                    <w:rPr>
                      <w:rFonts w:ascii="Times New Roman" w:hAnsi="Times New Roman" w:cs="Times New Roman"/>
                      <w:szCs w:val="21"/>
                      <w:vertAlign w:val="superscript"/>
                    </w:rPr>
                    <w:t>3</w:t>
                  </w:r>
                  <w:r>
                    <w:rPr>
                      <w:rFonts w:ascii="Times New Roman" w:hAnsi="Times New Roman" w:cs="Times New Roman"/>
                      <w:szCs w:val="21"/>
                    </w:rPr>
                    <w:t>）</w:t>
                  </w:r>
                </w:p>
              </w:tc>
              <w:tc>
                <w:tcPr>
                  <w:tcW w:w="396" w:type="pct"/>
                  <w:tcBorders>
                    <w:tl2br w:val="nil"/>
                    <w:tr2bl w:val="nil"/>
                  </w:tcBorders>
                  <w:vAlign w:val="center"/>
                </w:tcPr>
                <w:p w14:paraId="15AEACD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0.0000038</w:t>
                  </w:r>
                </w:p>
              </w:tc>
            </w:tr>
            <w:tr w14:paraId="4DD22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8" w:hRule="atLeast"/>
                <w:jc w:val="center"/>
              </w:trPr>
              <w:tc>
                <w:tcPr>
                  <w:tcW w:w="187" w:type="pct"/>
                  <w:vMerge w:val="continue"/>
                  <w:tcBorders>
                    <w:tl2br w:val="nil"/>
                    <w:tr2bl w:val="nil"/>
                  </w:tcBorders>
                  <w:vAlign w:val="center"/>
                </w:tcPr>
                <w:p w14:paraId="76F893F5">
                  <w:pPr>
                    <w:adjustRightInd w:val="0"/>
                    <w:spacing w:line="240" w:lineRule="exact"/>
                    <w:jc w:val="center"/>
                    <w:textAlignment w:val="baseline"/>
                    <w:rPr>
                      <w:rFonts w:ascii="Times New Roman" w:hAnsi="Times New Roman" w:eastAsia="宋体" w:cs="Times New Roman"/>
                      <w:szCs w:val="21"/>
                    </w:rPr>
                  </w:pPr>
                </w:p>
              </w:tc>
              <w:tc>
                <w:tcPr>
                  <w:tcW w:w="742" w:type="pct"/>
                  <w:vMerge w:val="continue"/>
                  <w:tcBorders>
                    <w:tl2br w:val="nil"/>
                    <w:tr2bl w:val="nil"/>
                  </w:tcBorders>
                  <w:vAlign w:val="center"/>
                </w:tcPr>
                <w:p w14:paraId="39511F7B">
                  <w:pPr>
                    <w:adjustRightInd w:val="0"/>
                    <w:spacing w:line="240" w:lineRule="exact"/>
                    <w:jc w:val="center"/>
                    <w:textAlignment w:val="baseline"/>
                    <w:rPr>
                      <w:rFonts w:ascii="Times New Roman" w:hAnsi="Times New Roman" w:eastAsia="宋体" w:cs="Times New Roman"/>
                      <w:szCs w:val="21"/>
                    </w:rPr>
                  </w:pPr>
                </w:p>
              </w:tc>
              <w:tc>
                <w:tcPr>
                  <w:tcW w:w="729" w:type="pct"/>
                  <w:tcBorders>
                    <w:tl2br w:val="nil"/>
                    <w:tr2bl w:val="nil"/>
                  </w:tcBorders>
                  <w:vAlign w:val="center"/>
                </w:tcPr>
                <w:p w14:paraId="783186B9">
                  <w:pPr>
                    <w:jc w:val="center"/>
                    <w:rPr>
                      <w:rFonts w:ascii="Times New Roman" w:hAnsi="Times New Roman" w:cs="Times New Roman"/>
                      <w:szCs w:val="21"/>
                    </w:rPr>
                  </w:pPr>
                  <w:r>
                    <w:rPr>
                      <w:rFonts w:hint="eastAsia" w:ascii="Times New Roman" w:hAnsi="Times New Roman" w:cs="Times New Roman"/>
                      <w:szCs w:val="21"/>
                    </w:rPr>
                    <w:t>非甲烷总烃</w:t>
                  </w:r>
                </w:p>
              </w:tc>
              <w:tc>
                <w:tcPr>
                  <w:tcW w:w="1376" w:type="pct"/>
                  <w:gridSpan w:val="2"/>
                  <w:vMerge w:val="continue"/>
                  <w:tcBorders>
                    <w:tl2br w:val="nil"/>
                    <w:tr2bl w:val="nil"/>
                  </w:tcBorders>
                  <w:vAlign w:val="center"/>
                </w:tcPr>
                <w:p w14:paraId="1F0A6DA1">
                  <w:pPr>
                    <w:adjustRightInd w:val="0"/>
                    <w:spacing w:line="240" w:lineRule="exact"/>
                    <w:jc w:val="center"/>
                    <w:textAlignment w:val="baseline"/>
                    <w:rPr>
                      <w:rFonts w:ascii="Times New Roman" w:hAnsi="Times New Roman" w:eastAsia="宋体" w:cs="Times New Roman"/>
                      <w:color w:val="000000"/>
                      <w:szCs w:val="21"/>
                    </w:rPr>
                  </w:pPr>
                </w:p>
              </w:tc>
              <w:tc>
                <w:tcPr>
                  <w:tcW w:w="905" w:type="pct"/>
                  <w:gridSpan w:val="2"/>
                  <w:vMerge w:val="continue"/>
                  <w:tcBorders>
                    <w:tl2br w:val="nil"/>
                    <w:tr2bl w:val="nil"/>
                  </w:tcBorders>
                  <w:vAlign w:val="center"/>
                </w:tcPr>
                <w:p w14:paraId="6E1C8E3B">
                  <w:pPr>
                    <w:wordWrap w:val="0"/>
                    <w:topLinePunct/>
                    <w:adjustRightInd w:val="0"/>
                    <w:spacing w:line="240" w:lineRule="exact"/>
                    <w:jc w:val="center"/>
                    <w:textAlignment w:val="baseline"/>
                    <w:rPr>
                      <w:rFonts w:ascii="Times New Roman" w:hAnsi="Times New Roman" w:eastAsia="宋体" w:cs="Times New Roman"/>
                      <w:szCs w:val="21"/>
                    </w:rPr>
                  </w:pPr>
                </w:p>
              </w:tc>
              <w:tc>
                <w:tcPr>
                  <w:tcW w:w="661" w:type="pct"/>
                  <w:tcBorders>
                    <w:tl2br w:val="nil"/>
                    <w:tr2bl w:val="nil"/>
                  </w:tcBorders>
                  <w:vAlign w:val="center"/>
                </w:tcPr>
                <w:p w14:paraId="588957F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4.0</w:t>
                  </w:r>
                </w:p>
              </w:tc>
              <w:tc>
                <w:tcPr>
                  <w:tcW w:w="396" w:type="pct"/>
                  <w:tcBorders>
                    <w:tl2br w:val="nil"/>
                    <w:tr2bl w:val="nil"/>
                  </w:tcBorders>
                  <w:vAlign w:val="center"/>
                </w:tcPr>
                <w:p w14:paraId="28011D6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0.018</w:t>
                  </w:r>
                </w:p>
              </w:tc>
            </w:tr>
            <w:tr w14:paraId="0C88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5000" w:type="pct"/>
                  <w:gridSpan w:val="9"/>
                  <w:tcBorders>
                    <w:tl2br w:val="nil"/>
                    <w:tr2bl w:val="nil"/>
                  </w:tcBorders>
                  <w:vAlign w:val="center"/>
                </w:tcPr>
                <w:p w14:paraId="134300F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 xml:space="preserve">  </w:t>
                  </w:r>
                  <w:r>
                    <w:rPr>
                      <w:rFonts w:ascii="Times New Roman" w:hAnsi="Times New Roman" w:eastAsia="宋体" w:cs="Times New Roman"/>
                      <w:szCs w:val="21"/>
                    </w:rPr>
                    <w:t>无组织排放总计</w:t>
                  </w:r>
                </w:p>
              </w:tc>
            </w:tr>
            <w:tr w14:paraId="00EA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1773" w:type="pct"/>
                  <w:gridSpan w:val="4"/>
                  <w:vMerge w:val="restart"/>
                  <w:tcBorders>
                    <w:tl2br w:val="nil"/>
                    <w:tr2bl w:val="nil"/>
                  </w:tcBorders>
                  <w:vAlign w:val="center"/>
                </w:tcPr>
                <w:p w14:paraId="7AB44FAE">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无组织排放总计</w:t>
                  </w:r>
                </w:p>
              </w:tc>
              <w:tc>
                <w:tcPr>
                  <w:tcW w:w="1962" w:type="pct"/>
                  <w:gridSpan w:val="2"/>
                  <w:tcBorders>
                    <w:tl2br w:val="nil"/>
                    <w:tr2bl w:val="nil"/>
                  </w:tcBorders>
                  <w:vAlign w:val="center"/>
                </w:tcPr>
                <w:p w14:paraId="7261C65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263" w:type="pct"/>
                  <w:gridSpan w:val="3"/>
                  <w:tcBorders>
                    <w:tl2br w:val="nil"/>
                    <w:tr2bl w:val="nil"/>
                  </w:tcBorders>
                  <w:vAlign w:val="center"/>
                </w:tcPr>
                <w:p w14:paraId="2C02C27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2.33</w:t>
                  </w:r>
                </w:p>
              </w:tc>
            </w:tr>
            <w:tr w14:paraId="73B7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1773" w:type="pct"/>
                  <w:gridSpan w:val="4"/>
                  <w:vMerge w:val="continue"/>
                  <w:tcBorders>
                    <w:tl2br w:val="nil"/>
                    <w:tr2bl w:val="nil"/>
                  </w:tcBorders>
                  <w:vAlign w:val="center"/>
                </w:tcPr>
                <w:p w14:paraId="4FBA4F1E">
                  <w:pPr>
                    <w:adjustRightInd w:val="0"/>
                    <w:spacing w:line="240" w:lineRule="exact"/>
                    <w:jc w:val="center"/>
                    <w:textAlignment w:val="baseline"/>
                    <w:rPr>
                      <w:rFonts w:ascii="Times New Roman" w:hAnsi="Times New Roman" w:eastAsia="宋体" w:cs="Times New Roman"/>
                      <w:szCs w:val="21"/>
                    </w:rPr>
                  </w:pPr>
                </w:p>
              </w:tc>
              <w:tc>
                <w:tcPr>
                  <w:tcW w:w="1962" w:type="pct"/>
                  <w:gridSpan w:val="2"/>
                  <w:tcBorders>
                    <w:tl2br w:val="nil"/>
                    <w:tr2bl w:val="nil"/>
                  </w:tcBorders>
                  <w:vAlign w:val="center"/>
                </w:tcPr>
                <w:p w14:paraId="397A242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cs="Times New Roman"/>
                      <w:szCs w:val="21"/>
                    </w:rPr>
                    <w:t>沥青烟</w:t>
                  </w:r>
                </w:p>
              </w:tc>
              <w:tc>
                <w:tcPr>
                  <w:tcW w:w="1263" w:type="pct"/>
                  <w:gridSpan w:val="3"/>
                  <w:tcBorders>
                    <w:tl2br w:val="nil"/>
                    <w:tr2bl w:val="nil"/>
                  </w:tcBorders>
                  <w:vAlign w:val="center"/>
                </w:tcPr>
                <w:p w14:paraId="1DCA44A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0.02972</w:t>
                  </w:r>
                </w:p>
              </w:tc>
            </w:tr>
            <w:tr w14:paraId="174C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1773" w:type="pct"/>
                  <w:gridSpan w:val="4"/>
                  <w:vMerge w:val="continue"/>
                  <w:tcBorders>
                    <w:tl2br w:val="nil"/>
                    <w:tr2bl w:val="nil"/>
                  </w:tcBorders>
                  <w:vAlign w:val="center"/>
                </w:tcPr>
                <w:p w14:paraId="72C589A9">
                  <w:pPr>
                    <w:adjustRightInd w:val="0"/>
                    <w:spacing w:line="240" w:lineRule="exact"/>
                    <w:jc w:val="center"/>
                    <w:textAlignment w:val="baseline"/>
                    <w:rPr>
                      <w:rFonts w:ascii="Times New Roman" w:hAnsi="Times New Roman" w:eastAsia="宋体" w:cs="Times New Roman"/>
                      <w:szCs w:val="21"/>
                    </w:rPr>
                  </w:pPr>
                </w:p>
              </w:tc>
              <w:tc>
                <w:tcPr>
                  <w:tcW w:w="1962" w:type="pct"/>
                  <w:gridSpan w:val="2"/>
                  <w:tcBorders>
                    <w:tl2br w:val="nil"/>
                    <w:tr2bl w:val="nil"/>
                  </w:tcBorders>
                  <w:vAlign w:val="center"/>
                </w:tcPr>
                <w:p w14:paraId="1F3F2064">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cs="Times New Roman"/>
                      <w:szCs w:val="21"/>
                    </w:rPr>
                    <w:t>苯并[a]芘</w:t>
                  </w:r>
                </w:p>
              </w:tc>
              <w:tc>
                <w:tcPr>
                  <w:tcW w:w="1263" w:type="pct"/>
                  <w:gridSpan w:val="3"/>
                  <w:tcBorders>
                    <w:tl2br w:val="nil"/>
                    <w:tr2bl w:val="nil"/>
                  </w:tcBorders>
                  <w:vAlign w:val="center"/>
                </w:tcPr>
                <w:p w14:paraId="53CA69E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0.00000443</w:t>
                  </w:r>
                </w:p>
              </w:tc>
            </w:tr>
            <w:tr w14:paraId="794A1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1773" w:type="pct"/>
                  <w:gridSpan w:val="4"/>
                  <w:vMerge w:val="continue"/>
                  <w:tcBorders>
                    <w:tl2br w:val="nil"/>
                    <w:tr2bl w:val="nil"/>
                  </w:tcBorders>
                  <w:vAlign w:val="center"/>
                </w:tcPr>
                <w:p w14:paraId="75023D90">
                  <w:pPr>
                    <w:adjustRightInd w:val="0"/>
                    <w:spacing w:line="240" w:lineRule="exact"/>
                    <w:jc w:val="center"/>
                    <w:textAlignment w:val="baseline"/>
                    <w:rPr>
                      <w:rFonts w:ascii="Times New Roman" w:hAnsi="Times New Roman" w:eastAsia="宋体" w:cs="Times New Roman"/>
                      <w:szCs w:val="21"/>
                    </w:rPr>
                  </w:pPr>
                </w:p>
              </w:tc>
              <w:tc>
                <w:tcPr>
                  <w:tcW w:w="1962" w:type="pct"/>
                  <w:gridSpan w:val="2"/>
                  <w:tcBorders>
                    <w:tl2br w:val="nil"/>
                    <w:tr2bl w:val="nil"/>
                  </w:tcBorders>
                  <w:vAlign w:val="center"/>
                </w:tcPr>
                <w:p w14:paraId="7200C12F">
                  <w:pPr>
                    <w:jc w:val="center"/>
                    <w:rPr>
                      <w:rFonts w:ascii="Times New Roman" w:hAnsi="Times New Roman" w:eastAsia="宋体" w:cs="Times New Roman"/>
                      <w:szCs w:val="21"/>
                    </w:rPr>
                  </w:pPr>
                  <w:r>
                    <w:rPr>
                      <w:rFonts w:hint="eastAsia" w:ascii="Times New Roman" w:hAnsi="Times New Roman" w:cs="Times New Roman"/>
                      <w:szCs w:val="21"/>
                    </w:rPr>
                    <w:t>非甲烷总烃</w:t>
                  </w:r>
                </w:p>
              </w:tc>
              <w:tc>
                <w:tcPr>
                  <w:tcW w:w="1263" w:type="pct"/>
                  <w:gridSpan w:val="3"/>
                  <w:tcBorders>
                    <w:tl2br w:val="nil"/>
                    <w:tr2bl w:val="nil"/>
                  </w:tcBorders>
                  <w:vAlign w:val="center"/>
                </w:tcPr>
                <w:p w14:paraId="22001C4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0.0568</w:t>
                  </w:r>
                </w:p>
              </w:tc>
            </w:tr>
          </w:tbl>
          <w:p w14:paraId="29AA48FC">
            <w:pPr>
              <w:spacing w:line="360" w:lineRule="auto"/>
              <w:ind w:firstLine="480" w:firstLineChars="200"/>
              <w:rPr>
                <w:sz w:val="24"/>
              </w:rPr>
            </w:pPr>
            <w:r>
              <w:rPr>
                <w:rFonts w:hint="eastAsia"/>
                <w:sz w:val="24"/>
              </w:rPr>
              <w:t>③大气污染物年排放量核算结果</w:t>
            </w:r>
          </w:p>
          <w:p w14:paraId="04BEC697">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本项目大气污染物</w:t>
            </w:r>
            <w:r>
              <w:rPr>
                <w:rFonts w:hint="eastAsia"/>
                <w:sz w:val="24"/>
              </w:rPr>
              <w:t>年</w:t>
            </w:r>
            <w:r>
              <w:rPr>
                <w:rFonts w:hint="eastAsia" w:ascii="Times New Roman" w:hAnsi="Times New Roman" w:eastAsia="宋体" w:cs="Times New Roman"/>
                <w:sz w:val="24"/>
              </w:rPr>
              <w:t>排放量核算结果见表4-22。</w:t>
            </w:r>
          </w:p>
          <w:p w14:paraId="25D53692">
            <w:pPr>
              <w:spacing w:line="360" w:lineRule="auto"/>
              <w:jc w:val="center"/>
              <w:rPr>
                <w:rFonts w:ascii="Times New Roman" w:hAnsi="Times New Roman" w:eastAsia="宋体" w:cs="Times New Roman"/>
                <w:b/>
                <w:bCs/>
                <w:snapToGrid w:val="0"/>
                <w:kern w:val="0"/>
                <w:sz w:val="24"/>
              </w:rPr>
            </w:pPr>
            <w:r>
              <w:rPr>
                <w:rFonts w:hint="eastAsia" w:ascii="Times New Roman" w:hAnsi="Times New Roman" w:eastAsia="宋体" w:cs="Times New Roman"/>
                <w:b/>
                <w:bCs/>
                <w:snapToGrid w:val="0"/>
                <w:kern w:val="0"/>
                <w:sz w:val="24"/>
              </w:rPr>
              <w:t xml:space="preserve"> </w:t>
            </w:r>
            <w:r>
              <w:rPr>
                <w:rFonts w:hint="eastAsia" w:ascii="Times New Roman" w:hAnsi="Times New Roman" w:eastAsia="宋体" w:cs="Times New Roman"/>
                <w:b/>
                <w:bCs/>
                <w:snapToGrid w:val="0"/>
                <w:kern w:val="0"/>
                <w:sz w:val="24"/>
                <w:lang w:val="zh-CN"/>
              </w:rPr>
              <w:t>表</w:t>
            </w:r>
            <w:r>
              <w:rPr>
                <w:rFonts w:hint="eastAsia" w:ascii="Times New Roman" w:hAnsi="Times New Roman" w:eastAsia="宋体" w:cs="Times New Roman"/>
                <w:b/>
                <w:bCs/>
                <w:snapToGrid w:val="0"/>
                <w:kern w:val="0"/>
                <w:sz w:val="24"/>
              </w:rPr>
              <w:t xml:space="preserve">4-22 </w:t>
            </w:r>
            <w:r>
              <w:rPr>
                <w:rFonts w:hint="eastAsia" w:ascii="Times New Roman" w:hAnsi="Times New Roman" w:eastAsia="宋体" w:cs="Times New Roman"/>
                <w:b/>
                <w:bCs/>
                <w:snapToGrid w:val="0"/>
                <w:kern w:val="0"/>
                <w:sz w:val="24"/>
                <w:lang w:val="zh-CN"/>
              </w:rPr>
              <w:t>大气污染物年排放量核算表</w:t>
            </w:r>
          </w:p>
          <w:tbl>
            <w:tblPr>
              <w:tblStyle w:val="28"/>
              <w:tblW w:w="4995" w:type="pct"/>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2903"/>
              <w:gridCol w:w="3726"/>
            </w:tblGrid>
            <w:tr w14:paraId="2D9B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83" w:type="pct"/>
                  <w:tcBorders>
                    <w:tl2br w:val="nil"/>
                    <w:tr2bl w:val="nil"/>
                  </w:tcBorders>
                  <w:noWrap/>
                  <w:vAlign w:val="center"/>
                </w:tcPr>
                <w:p w14:paraId="7F9B3CDA">
                  <w:pPr>
                    <w:widowControl/>
                    <w:jc w:val="center"/>
                    <w:rPr>
                      <w:b/>
                      <w:szCs w:val="21"/>
                    </w:rPr>
                  </w:pPr>
                  <w:r>
                    <w:rPr>
                      <w:b/>
                      <w:szCs w:val="21"/>
                    </w:rPr>
                    <w:t>序号</w:t>
                  </w:r>
                </w:p>
              </w:tc>
              <w:tc>
                <w:tcPr>
                  <w:tcW w:w="1802" w:type="pct"/>
                  <w:tcBorders>
                    <w:tl2br w:val="nil"/>
                    <w:tr2bl w:val="nil"/>
                  </w:tcBorders>
                  <w:noWrap/>
                  <w:vAlign w:val="center"/>
                </w:tcPr>
                <w:p w14:paraId="017A71C8">
                  <w:pPr>
                    <w:widowControl/>
                    <w:jc w:val="center"/>
                    <w:rPr>
                      <w:b/>
                      <w:szCs w:val="21"/>
                    </w:rPr>
                  </w:pPr>
                  <w:r>
                    <w:rPr>
                      <w:b/>
                      <w:szCs w:val="21"/>
                    </w:rPr>
                    <w:t>污染物</w:t>
                  </w:r>
                </w:p>
              </w:tc>
              <w:tc>
                <w:tcPr>
                  <w:tcW w:w="2313" w:type="pct"/>
                  <w:tcBorders>
                    <w:tl2br w:val="nil"/>
                    <w:tr2bl w:val="nil"/>
                  </w:tcBorders>
                  <w:noWrap/>
                  <w:vAlign w:val="center"/>
                </w:tcPr>
                <w:p w14:paraId="516BBF6D">
                  <w:pPr>
                    <w:adjustRightInd w:val="0"/>
                    <w:spacing w:line="240" w:lineRule="exact"/>
                    <w:jc w:val="center"/>
                    <w:textAlignment w:val="baseline"/>
                    <w:rPr>
                      <w:b/>
                      <w:szCs w:val="21"/>
                    </w:rPr>
                  </w:pPr>
                  <w:r>
                    <w:rPr>
                      <w:rFonts w:hint="eastAsia" w:ascii="Times New Roman" w:hAnsi="Times New Roman" w:eastAsia="宋体" w:cs="Times New Roman"/>
                      <w:b/>
                      <w:bCs/>
                      <w:szCs w:val="21"/>
                    </w:rPr>
                    <w:t>年排放量/(t/a）</w:t>
                  </w:r>
                </w:p>
              </w:tc>
            </w:tr>
            <w:tr w14:paraId="0B513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83" w:type="pct"/>
                  <w:tcBorders>
                    <w:tl2br w:val="nil"/>
                    <w:tr2bl w:val="nil"/>
                  </w:tcBorders>
                  <w:noWrap/>
                  <w:vAlign w:val="center"/>
                </w:tcPr>
                <w:p w14:paraId="448FCCD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w:t>
                  </w:r>
                </w:p>
              </w:tc>
              <w:tc>
                <w:tcPr>
                  <w:tcW w:w="1802" w:type="pct"/>
                  <w:tcBorders>
                    <w:tl2br w:val="nil"/>
                    <w:tr2bl w:val="nil"/>
                  </w:tcBorders>
                  <w:noWrap/>
                  <w:vAlign w:val="center"/>
                </w:tcPr>
                <w:p w14:paraId="5BB2868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2313" w:type="pct"/>
                  <w:tcBorders>
                    <w:tl2br w:val="nil"/>
                    <w:tr2bl w:val="nil"/>
                  </w:tcBorders>
                  <w:shd w:val="clear" w:color="000000" w:fill="FFFFFF"/>
                  <w:noWrap/>
                  <w:vAlign w:val="center"/>
                </w:tcPr>
                <w:p w14:paraId="6ADF15B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2.77869</w:t>
                  </w:r>
                </w:p>
              </w:tc>
            </w:tr>
            <w:tr w14:paraId="6963A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83" w:type="pct"/>
                  <w:tcBorders>
                    <w:tl2br w:val="nil"/>
                    <w:tr2bl w:val="nil"/>
                  </w:tcBorders>
                  <w:noWrap/>
                  <w:vAlign w:val="center"/>
                </w:tcPr>
                <w:p w14:paraId="455D811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w:t>
                  </w:r>
                </w:p>
              </w:tc>
              <w:tc>
                <w:tcPr>
                  <w:tcW w:w="1802" w:type="pct"/>
                  <w:tcBorders>
                    <w:tl2br w:val="nil"/>
                    <w:tr2bl w:val="nil"/>
                  </w:tcBorders>
                  <w:noWrap/>
                  <w:vAlign w:val="center"/>
                </w:tcPr>
                <w:p w14:paraId="2F2D754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SO</w:t>
                  </w:r>
                  <w:r>
                    <w:rPr>
                      <w:rFonts w:hint="eastAsia" w:ascii="Times New Roman" w:hAnsi="Times New Roman" w:eastAsia="宋体" w:cs="Times New Roman"/>
                      <w:szCs w:val="21"/>
                      <w:vertAlign w:val="subscript"/>
                    </w:rPr>
                    <w:t>2</w:t>
                  </w:r>
                </w:p>
              </w:tc>
              <w:tc>
                <w:tcPr>
                  <w:tcW w:w="2313" w:type="pct"/>
                  <w:tcBorders>
                    <w:tl2br w:val="nil"/>
                    <w:tr2bl w:val="nil"/>
                  </w:tcBorders>
                  <w:shd w:val="clear" w:color="000000" w:fill="FFFFFF"/>
                  <w:noWrap/>
                  <w:vAlign w:val="center"/>
                </w:tcPr>
                <w:p w14:paraId="7DF98B5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0.00347</w:t>
                  </w:r>
                </w:p>
              </w:tc>
            </w:tr>
            <w:tr w14:paraId="2A297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83" w:type="pct"/>
                  <w:tcBorders>
                    <w:tl2br w:val="nil"/>
                    <w:tr2bl w:val="nil"/>
                  </w:tcBorders>
                  <w:noWrap/>
                  <w:vAlign w:val="center"/>
                </w:tcPr>
                <w:p w14:paraId="2FBCE2B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w:t>
                  </w:r>
                </w:p>
              </w:tc>
              <w:tc>
                <w:tcPr>
                  <w:tcW w:w="1802" w:type="pct"/>
                  <w:tcBorders>
                    <w:tl2br w:val="nil"/>
                    <w:tr2bl w:val="nil"/>
                  </w:tcBorders>
                  <w:noWrap/>
                  <w:vAlign w:val="center"/>
                </w:tcPr>
                <w:p w14:paraId="7C53218E">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NO</w:t>
                  </w:r>
                  <w:r>
                    <w:rPr>
                      <w:rFonts w:hint="eastAsia" w:ascii="Times New Roman" w:hAnsi="Times New Roman" w:eastAsia="宋体" w:cs="Times New Roman"/>
                      <w:color w:val="FF0000"/>
                      <w:szCs w:val="21"/>
                      <w:vertAlign w:val="subscript"/>
                    </w:rPr>
                    <w:t>X</w:t>
                  </w:r>
                </w:p>
              </w:tc>
              <w:tc>
                <w:tcPr>
                  <w:tcW w:w="2313" w:type="pct"/>
                  <w:tcBorders>
                    <w:tl2br w:val="nil"/>
                    <w:tr2bl w:val="nil"/>
                  </w:tcBorders>
                  <w:shd w:val="clear" w:color="000000" w:fill="FFFFFF"/>
                  <w:noWrap/>
                  <w:vAlign w:val="center"/>
                </w:tcPr>
                <w:p w14:paraId="1C3B4DEF">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0.4945</w:t>
                  </w:r>
                </w:p>
              </w:tc>
            </w:tr>
            <w:tr w14:paraId="1967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83" w:type="pct"/>
                  <w:tcBorders>
                    <w:tl2br w:val="nil"/>
                    <w:tr2bl w:val="nil"/>
                  </w:tcBorders>
                  <w:noWrap/>
                  <w:vAlign w:val="center"/>
                </w:tcPr>
                <w:p w14:paraId="146E080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w:t>
                  </w:r>
                </w:p>
              </w:tc>
              <w:tc>
                <w:tcPr>
                  <w:tcW w:w="1802" w:type="pct"/>
                  <w:tcBorders>
                    <w:tl2br w:val="nil"/>
                    <w:tr2bl w:val="nil"/>
                  </w:tcBorders>
                  <w:noWrap/>
                  <w:vAlign w:val="center"/>
                </w:tcPr>
                <w:p w14:paraId="5C36062C">
                  <w:pPr>
                    <w:jc w:val="center"/>
                    <w:rPr>
                      <w:rFonts w:ascii="Times New Roman" w:hAnsi="Times New Roman" w:eastAsia="宋体" w:cs="Times New Roman"/>
                      <w:szCs w:val="21"/>
                    </w:rPr>
                  </w:pPr>
                  <w:r>
                    <w:rPr>
                      <w:rFonts w:hint="eastAsia" w:ascii="Times New Roman" w:hAnsi="Times New Roman" w:cs="Times New Roman"/>
                      <w:szCs w:val="21"/>
                    </w:rPr>
                    <w:t>沥青烟</w:t>
                  </w:r>
                </w:p>
              </w:tc>
              <w:tc>
                <w:tcPr>
                  <w:tcW w:w="2313" w:type="pct"/>
                  <w:tcBorders>
                    <w:tl2br w:val="nil"/>
                    <w:tr2bl w:val="nil"/>
                  </w:tcBorders>
                  <w:shd w:val="clear" w:color="000000" w:fill="FFFFFF"/>
                  <w:noWrap/>
                  <w:vAlign w:val="center"/>
                </w:tcPr>
                <w:p w14:paraId="1F97B0D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0.03905</w:t>
                  </w:r>
                </w:p>
              </w:tc>
            </w:tr>
            <w:tr w14:paraId="5D31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83" w:type="pct"/>
                  <w:tcBorders>
                    <w:tl2br w:val="nil"/>
                    <w:tr2bl w:val="nil"/>
                  </w:tcBorders>
                  <w:noWrap/>
                  <w:vAlign w:val="center"/>
                </w:tcPr>
                <w:p w14:paraId="3ABCB5B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w:t>
                  </w:r>
                </w:p>
              </w:tc>
              <w:tc>
                <w:tcPr>
                  <w:tcW w:w="1802" w:type="pct"/>
                  <w:tcBorders>
                    <w:tl2br w:val="nil"/>
                    <w:tr2bl w:val="nil"/>
                  </w:tcBorders>
                  <w:noWrap/>
                  <w:vAlign w:val="center"/>
                </w:tcPr>
                <w:p w14:paraId="749450BF">
                  <w:pPr>
                    <w:jc w:val="center"/>
                    <w:rPr>
                      <w:rFonts w:ascii="Times New Roman" w:hAnsi="Times New Roman" w:eastAsia="宋体" w:cs="Times New Roman"/>
                      <w:szCs w:val="21"/>
                    </w:rPr>
                  </w:pPr>
                  <w:r>
                    <w:rPr>
                      <w:rFonts w:ascii="Times New Roman" w:hAnsi="Times New Roman" w:cs="Times New Roman"/>
                      <w:szCs w:val="21"/>
                    </w:rPr>
                    <w:t>苯并[a]芘</w:t>
                  </w:r>
                </w:p>
              </w:tc>
              <w:tc>
                <w:tcPr>
                  <w:tcW w:w="2313" w:type="pct"/>
                  <w:tcBorders>
                    <w:tl2br w:val="nil"/>
                    <w:tr2bl w:val="nil"/>
                  </w:tcBorders>
                  <w:shd w:val="clear" w:color="000000" w:fill="FFFFFF"/>
                  <w:noWrap/>
                  <w:vAlign w:val="center"/>
                </w:tcPr>
                <w:p w14:paraId="78EAA7B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0.000005799</w:t>
                  </w:r>
                </w:p>
              </w:tc>
            </w:tr>
            <w:tr w14:paraId="35D1F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83" w:type="pct"/>
                  <w:tcBorders>
                    <w:tl2br w:val="nil"/>
                    <w:tr2bl w:val="nil"/>
                  </w:tcBorders>
                  <w:noWrap/>
                  <w:vAlign w:val="center"/>
                </w:tcPr>
                <w:p w14:paraId="438836B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w:t>
                  </w:r>
                </w:p>
              </w:tc>
              <w:tc>
                <w:tcPr>
                  <w:tcW w:w="1802" w:type="pct"/>
                  <w:tcBorders>
                    <w:tl2br w:val="nil"/>
                    <w:tr2bl w:val="nil"/>
                  </w:tcBorders>
                  <w:noWrap/>
                  <w:vAlign w:val="center"/>
                </w:tcPr>
                <w:p w14:paraId="5BA86FE9">
                  <w:pPr>
                    <w:jc w:val="center"/>
                    <w:rPr>
                      <w:rFonts w:ascii="Times New Roman" w:hAnsi="Times New Roman" w:eastAsia="宋体" w:cs="Times New Roman"/>
                      <w:szCs w:val="21"/>
                    </w:rPr>
                  </w:pPr>
                  <w:r>
                    <w:rPr>
                      <w:rFonts w:hint="eastAsia" w:ascii="Times New Roman" w:hAnsi="Times New Roman" w:cs="Times New Roman"/>
                      <w:szCs w:val="21"/>
                    </w:rPr>
                    <w:t>非甲烷总烃</w:t>
                  </w:r>
                </w:p>
              </w:tc>
              <w:tc>
                <w:tcPr>
                  <w:tcW w:w="2313" w:type="pct"/>
                  <w:tcBorders>
                    <w:tl2br w:val="nil"/>
                    <w:tr2bl w:val="nil"/>
                  </w:tcBorders>
                  <w:shd w:val="clear" w:color="000000" w:fill="FFFFFF"/>
                  <w:noWrap/>
                  <w:vAlign w:val="center"/>
                </w:tcPr>
                <w:p w14:paraId="67DA1E8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0.08</w:t>
                  </w:r>
                </w:p>
              </w:tc>
            </w:tr>
            <w:tr w14:paraId="33575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83" w:type="pct"/>
                  <w:tcBorders>
                    <w:tl2br w:val="nil"/>
                    <w:tr2bl w:val="nil"/>
                  </w:tcBorders>
                  <w:noWrap/>
                  <w:vAlign w:val="center"/>
                </w:tcPr>
                <w:p w14:paraId="52C66AF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7</w:t>
                  </w:r>
                </w:p>
              </w:tc>
              <w:tc>
                <w:tcPr>
                  <w:tcW w:w="1802" w:type="pct"/>
                  <w:tcBorders>
                    <w:tl2br w:val="nil"/>
                    <w:tr2bl w:val="nil"/>
                  </w:tcBorders>
                  <w:noWrap/>
                  <w:vAlign w:val="center"/>
                </w:tcPr>
                <w:p w14:paraId="2102041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油烟</w:t>
                  </w:r>
                </w:p>
              </w:tc>
              <w:tc>
                <w:tcPr>
                  <w:tcW w:w="2313" w:type="pct"/>
                  <w:tcBorders>
                    <w:tl2br w:val="nil"/>
                    <w:tr2bl w:val="nil"/>
                  </w:tcBorders>
                  <w:shd w:val="clear" w:color="000000" w:fill="FFFFFF"/>
                  <w:noWrap/>
                  <w:vAlign w:val="center"/>
                </w:tcPr>
                <w:p w14:paraId="6563739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0.00324</w:t>
                  </w:r>
                </w:p>
              </w:tc>
            </w:tr>
            <w:bookmarkEnd w:id="19"/>
          </w:tbl>
          <w:p w14:paraId="383EA1E0">
            <w:pPr>
              <w:wordWrap w:val="0"/>
              <w:topLinePunct/>
              <w:spacing w:line="360" w:lineRule="auto"/>
              <w:ind w:firstLine="482" w:firstLineChars="200"/>
              <w:rPr>
                <w:rFonts w:hint="eastAsia" w:ascii="Times New Roman" w:hAnsi="宋体" w:eastAsia="宋体" w:cs="Times New Roman"/>
                <w:b/>
                <w:sz w:val="24"/>
              </w:rPr>
            </w:pPr>
            <w:r>
              <w:rPr>
                <w:rFonts w:hint="eastAsia" w:ascii="Times New Roman" w:hAnsi="宋体" w:eastAsia="宋体" w:cs="Times New Roman"/>
                <w:b/>
                <w:sz w:val="24"/>
              </w:rPr>
              <w:t>2.3.2废气排放口基本信息</w:t>
            </w:r>
          </w:p>
          <w:p w14:paraId="55D4DD59">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本项目废气排放口基本信息见表4-23。</w:t>
            </w:r>
          </w:p>
          <w:p w14:paraId="623C8A67">
            <w:pPr>
              <w:spacing w:line="360" w:lineRule="auto"/>
              <w:jc w:val="center"/>
              <w:rPr>
                <w:rFonts w:ascii="Times New Roman" w:hAnsi="Times New Roman" w:eastAsia="宋体" w:cs="Times New Roman"/>
                <w:b/>
                <w:bCs/>
                <w:snapToGrid w:val="0"/>
                <w:color w:val="FF0000"/>
                <w:kern w:val="0"/>
                <w:sz w:val="24"/>
              </w:rPr>
            </w:pPr>
            <w:r>
              <w:rPr>
                <w:rFonts w:hint="eastAsia" w:ascii="Times New Roman" w:hAnsi="Times New Roman" w:eastAsia="宋体" w:cs="Times New Roman"/>
                <w:b/>
                <w:bCs/>
                <w:snapToGrid w:val="0"/>
                <w:color w:val="000000" w:themeColor="text1"/>
                <w:kern w:val="0"/>
                <w:sz w:val="24"/>
                <w:lang w:val="zh-CN"/>
                <w14:textFill>
                  <w14:solidFill>
                    <w14:schemeClr w14:val="tx1"/>
                  </w14:solidFill>
                </w14:textFill>
              </w:rPr>
              <w:t>表4-</w:t>
            </w:r>
            <w:r>
              <w:rPr>
                <w:rFonts w:hint="eastAsia" w:ascii="Times New Roman" w:hAnsi="Times New Roman" w:eastAsia="宋体" w:cs="Times New Roman"/>
                <w:b/>
                <w:bCs/>
                <w:snapToGrid w:val="0"/>
                <w:color w:val="000000" w:themeColor="text1"/>
                <w:kern w:val="0"/>
                <w:sz w:val="24"/>
                <w14:textFill>
                  <w14:solidFill>
                    <w14:schemeClr w14:val="tx1"/>
                  </w14:solidFill>
                </w14:textFill>
              </w:rPr>
              <w:t>23 废气排放口基本信息表</w:t>
            </w:r>
          </w:p>
          <w:tbl>
            <w:tblPr>
              <w:tblStyle w:val="29"/>
              <w:tblW w:w="81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
              <w:gridCol w:w="1343"/>
              <w:gridCol w:w="814"/>
              <w:gridCol w:w="1072"/>
              <w:gridCol w:w="1014"/>
              <w:gridCol w:w="743"/>
              <w:gridCol w:w="771"/>
              <w:gridCol w:w="700"/>
              <w:gridCol w:w="400"/>
              <w:gridCol w:w="986"/>
            </w:tblGrid>
            <w:tr w14:paraId="3022E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336" w:type="dxa"/>
                  <w:vMerge w:val="restart"/>
                  <w:tcBorders>
                    <w:tl2br w:val="nil"/>
                    <w:tr2bl w:val="nil"/>
                  </w:tcBorders>
                  <w:vAlign w:val="center"/>
                </w:tcPr>
                <w:p w14:paraId="479680E9">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排放口编号</w:t>
                  </w:r>
                </w:p>
              </w:tc>
              <w:tc>
                <w:tcPr>
                  <w:tcW w:w="1343" w:type="dxa"/>
                  <w:vMerge w:val="restart"/>
                  <w:tcBorders>
                    <w:tl2br w:val="nil"/>
                    <w:tr2bl w:val="nil"/>
                  </w:tcBorders>
                  <w:vAlign w:val="center"/>
                </w:tcPr>
                <w:p w14:paraId="73DC4F45">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排放口名称</w:t>
                  </w:r>
                </w:p>
              </w:tc>
              <w:tc>
                <w:tcPr>
                  <w:tcW w:w="814" w:type="dxa"/>
                  <w:vMerge w:val="restart"/>
                  <w:tcBorders>
                    <w:tl2br w:val="nil"/>
                    <w:tr2bl w:val="nil"/>
                  </w:tcBorders>
                  <w:vAlign w:val="center"/>
                </w:tcPr>
                <w:p w14:paraId="65DA0818">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污染物种类</w:t>
                  </w:r>
                </w:p>
              </w:tc>
              <w:tc>
                <w:tcPr>
                  <w:tcW w:w="2086" w:type="dxa"/>
                  <w:gridSpan w:val="2"/>
                  <w:tcBorders>
                    <w:tl2br w:val="nil"/>
                    <w:tr2bl w:val="nil"/>
                  </w:tcBorders>
                  <w:vAlign w:val="center"/>
                </w:tcPr>
                <w:p w14:paraId="78756EA3">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排放口地理坐标</w:t>
                  </w:r>
                </w:p>
              </w:tc>
              <w:tc>
                <w:tcPr>
                  <w:tcW w:w="743" w:type="dxa"/>
                  <w:vMerge w:val="restart"/>
                  <w:tcBorders>
                    <w:tl2br w:val="nil"/>
                    <w:tr2bl w:val="nil"/>
                  </w:tcBorders>
                  <w:vAlign w:val="center"/>
                </w:tcPr>
                <w:p w14:paraId="4C224EF6">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排气筒高度（m）</w:t>
                  </w:r>
                </w:p>
              </w:tc>
              <w:tc>
                <w:tcPr>
                  <w:tcW w:w="771" w:type="dxa"/>
                  <w:vMerge w:val="restart"/>
                  <w:tcBorders>
                    <w:tl2br w:val="nil"/>
                    <w:tr2bl w:val="nil"/>
                  </w:tcBorders>
                  <w:vAlign w:val="center"/>
                </w:tcPr>
                <w:p w14:paraId="5B3C14FF">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排气筒内径（m）</w:t>
                  </w:r>
                </w:p>
              </w:tc>
              <w:tc>
                <w:tcPr>
                  <w:tcW w:w="700" w:type="dxa"/>
                  <w:vMerge w:val="restart"/>
                  <w:tcBorders>
                    <w:tl2br w:val="nil"/>
                    <w:tr2bl w:val="nil"/>
                  </w:tcBorders>
                  <w:vAlign w:val="center"/>
                </w:tcPr>
                <w:p w14:paraId="2AFE6E7A">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排放温度(℃)</w:t>
                  </w:r>
                </w:p>
              </w:tc>
              <w:tc>
                <w:tcPr>
                  <w:tcW w:w="400" w:type="dxa"/>
                  <w:vMerge w:val="restart"/>
                  <w:tcBorders>
                    <w:tl2br w:val="nil"/>
                    <w:tr2bl w:val="nil"/>
                  </w:tcBorders>
                  <w:vAlign w:val="center"/>
                </w:tcPr>
                <w:p w14:paraId="7DE1111D">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排放口类型</w:t>
                  </w:r>
                </w:p>
              </w:tc>
              <w:tc>
                <w:tcPr>
                  <w:tcW w:w="986" w:type="dxa"/>
                  <w:vMerge w:val="restart"/>
                  <w:tcBorders>
                    <w:tl2br w:val="nil"/>
                    <w:tr2bl w:val="nil"/>
                  </w:tcBorders>
                  <w:vAlign w:val="center"/>
                </w:tcPr>
                <w:p w14:paraId="3E5A7AB9">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污染治理设施</w:t>
                  </w:r>
                </w:p>
              </w:tc>
            </w:tr>
            <w:tr w14:paraId="5C031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336" w:type="dxa"/>
                  <w:vMerge w:val="continue"/>
                  <w:tcBorders>
                    <w:tl2br w:val="nil"/>
                    <w:tr2bl w:val="nil"/>
                  </w:tcBorders>
                  <w:vAlign w:val="center"/>
                </w:tcPr>
                <w:p w14:paraId="46384957">
                  <w:pPr>
                    <w:widowControl/>
                    <w:jc w:val="center"/>
                    <w:rPr>
                      <w:color w:val="FF0000"/>
                      <w:kern w:val="0"/>
                      <w:szCs w:val="21"/>
                    </w:rPr>
                  </w:pPr>
                </w:p>
              </w:tc>
              <w:tc>
                <w:tcPr>
                  <w:tcW w:w="1343" w:type="dxa"/>
                  <w:vMerge w:val="continue"/>
                  <w:tcBorders>
                    <w:tl2br w:val="nil"/>
                    <w:tr2bl w:val="nil"/>
                  </w:tcBorders>
                  <w:vAlign w:val="center"/>
                </w:tcPr>
                <w:p w14:paraId="7862727B">
                  <w:pPr>
                    <w:widowControl/>
                    <w:jc w:val="center"/>
                    <w:rPr>
                      <w:color w:val="FF0000"/>
                      <w:kern w:val="0"/>
                      <w:szCs w:val="21"/>
                    </w:rPr>
                  </w:pPr>
                </w:p>
              </w:tc>
              <w:tc>
                <w:tcPr>
                  <w:tcW w:w="814" w:type="dxa"/>
                  <w:vMerge w:val="continue"/>
                  <w:tcBorders>
                    <w:tl2br w:val="nil"/>
                    <w:tr2bl w:val="nil"/>
                  </w:tcBorders>
                  <w:vAlign w:val="center"/>
                </w:tcPr>
                <w:p w14:paraId="73CEDDC1">
                  <w:pPr>
                    <w:widowControl/>
                    <w:jc w:val="center"/>
                    <w:rPr>
                      <w:b/>
                      <w:bCs/>
                      <w:color w:val="000000" w:themeColor="text1"/>
                      <w:kern w:val="0"/>
                      <w:szCs w:val="21"/>
                      <w14:textFill>
                        <w14:solidFill>
                          <w14:schemeClr w14:val="tx1"/>
                        </w14:solidFill>
                      </w14:textFill>
                    </w:rPr>
                  </w:pPr>
                </w:p>
              </w:tc>
              <w:tc>
                <w:tcPr>
                  <w:tcW w:w="1072" w:type="dxa"/>
                  <w:tcBorders>
                    <w:tl2br w:val="nil"/>
                    <w:tr2bl w:val="nil"/>
                  </w:tcBorders>
                  <w:vAlign w:val="center"/>
                </w:tcPr>
                <w:p w14:paraId="621E25BB">
                  <w:pPr>
                    <w:widowControl/>
                    <w:jc w:val="center"/>
                    <w:rPr>
                      <w:b/>
                      <w:bCs/>
                      <w:color w:val="FF0000"/>
                      <w:kern w:val="0"/>
                      <w:szCs w:val="21"/>
                    </w:rPr>
                  </w:pPr>
                  <w:r>
                    <w:rPr>
                      <w:rFonts w:hint="eastAsia"/>
                      <w:b/>
                      <w:bCs/>
                      <w:color w:val="000000" w:themeColor="text1"/>
                      <w:kern w:val="0"/>
                      <w:szCs w:val="21"/>
                      <w14:textFill>
                        <w14:solidFill>
                          <w14:schemeClr w14:val="tx1"/>
                        </w14:solidFill>
                      </w14:textFill>
                    </w:rPr>
                    <w:t>经度</w:t>
                  </w:r>
                </w:p>
              </w:tc>
              <w:tc>
                <w:tcPr>
                  <w:tcW w:w="1014" w:type="dxa"/>
                  <w:tcBorders>
                    <w:tl2br w:val="nil"/>
                    <w:tr2bl w:val="nil"/>
                  </w:tcBorders>
                  <w:vAlign w:val="center"/>
                </w:tcPr>
                <w:p w14:paraId="399A5113">
                  <w:pPr>
                    <w:widowControl/>
                    <w:jc w:val="center"/>
                    <w:rPr>
                      <w:b/>
                      <w:bCs/>
                      <w:color w:val="FF0000"/>
                      <w:kern w:val="0"/>
                      <w:szCs w:val="21"/>
                    </w:rPr>
                  </w:pPr>
                  <w:r>
                    <w:rPr>
                      <w:rFonts w:hint="eastAsia"/>
                      <w:b/>
                      <w:bCs/>
                      <w:color w:val="000000" w:themeColor="text1"/>
                      <w:kern w:val="0"/>
                      <w:szCs w:val="21"/>
                      <w14:textFill>
                        <w14:solidFill>
                          <w14:schemeClr w14:val="tx1"/>
                        </w14:solidFill>
                      </w14:textFill>
                    </w:rPr>
                    <w:t>纬度</w:t>
                  </w:r>
                </w:p>
              </w:tc>
              <w:tc>
                <w:tcPr>
                  <w:tcW w:w="743" w:type="dxa"/>
                  <w:vMerge w:val="continue"/>
                  <w:tcBorders>
                    <w:tl2br w:val="nil"/>
                    <w:tr2bl w:val="nil"/>
                  </w:tcBorders>
                  <w:vAlign w:val="center"/>
                </w:tcPr>
                <w:p w14:paraId="70250D15">
                  <w:pPr>
                    <w:widowControl/>
                    <w:jc w:val="center"/>
                    <w:rPr>
                      <w:color w:val="FF0000"/>
                      <w:kern w:val="0"/>
                      <w:szCs w:val="21"/>
                    </w:rPr>
                  </w:pPr>
                </w:p>
              </w:tc>
              <w:tc>
                <w:tcPr>
                  <w:tcW w:w="771" w:type="dxa"/>
                  <w:vMerge w:val="continue"/>
                  <w:tcBorders>
                    <w:tl2br w:val="nil"/>
                    <w:tr2bl w:val="nil"/>
                  </w:tcBorders>
                  <w:vAlign w:val="center"/>
                </w:tcPr>
                <w:p w14:paraId="5873CDE5">
                  <w:pPr>
                    <w:widowControl/>
                    <w:jc w:val="center"/>
                    <w:rPr>
                      <w:color w:val="FF0000"/>
                      <w:kern w:val="0"/>
                      <w:szCs w:val="21"/>
                    </w:rPr>
                  </w:pPr>
                </w:p>
              </w:tc>
              <w:tc>
                <w:tcPr>
                  <w:tcW w:w="700" w:type="dxa"/>
                  <w:vMerge w:val="continue"/>
                  <w:tcBorders>
                    <w:tl2br w:val="nil"/>
                    <w:tr2bl w:val="nil"/>
                  </w:tcBorders>
                  <w:vAlign w:val="center"/>
                </w:tcPr>
                <w:p w14:paraId="6DAEC05A">
                  <w:pPr>
                    <w:widowControl/>
                    <w:jc w:val="center"/>
                    <w:rPr>
                      <w:color w:val="FF0000"/>
                      <w:kern w:val="0"/>
                      <w:szCs w:val="21"/>
                    </w:rPr>
                  </w:pPr>
                </w:p>
              </w:tc>
              <w:tc>
                <w:tcPr>
                  <w:tcW w:w="400" w:type="dxa"/>
                  <w:vMerge w:val="continue"/>
                  <w:tcBorders>
                    <w:tl2br w:val="nil"/>
                    <w:tr2bl w:val="nil"/>
                  </w:tcBorders>
                  <w:vAlign w:val="center"/>
                </w:tcPr>
                <w:p w14:paraId="641627B1">
                  <w:pPr>
                    <w:widowControl/>
                    <w:jc w:val="center"/>
                    <w:rPr>
                      <w:color w:val="FF0000"/>
                      <w:kern w:val="0"/>
                      <w:szCs w:val="21"/>
                    </w:rPr>
                  </w:pPr>
                </w:p>
              </w:tc>
              <w:tc>
                <w:tcPr>
                  <w:tcW w:w="986" w:type="dxa"/>
                  <w:vMerge w:val="continue"/>
                  <w:tcBorders>
                    <w:tl2br w:val="nil"/>
                    <w:tr2bl w:val="nil"/>
                  </w:tcBorders>
                  <w:vAlign w:val="center"/>
                </w:tcPr>
                <w:p w14:paraId="40FD99D3">
                  <w:pPr>
                    <w:widowControl/>
                    <w:jc w:val="center"/>
                    <w:rPr>
                      <w:color w:val="FF0000"/>
                      <w:kern w:val="0"/>
                      <w:szCs w:val="21"/>
                    </w:rPr>
                  </w:pPr>
                </w:p>
              </w:tc>
            </w:tr>
            <w:tr w14:paraId="7EC2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336" w:type="dxa"/>
                  <w:tcBorders>
                    <w:tl2br w:val="nil"/>
                    <w:tr2bl w:val="nil"/>
                  </w:tcBorders>
                  <w:vAlign w:val="center"/>
                </w:tcPr>
                <w:p w14:paraId="7E6572B5">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D</w:t>
                  </w:r>
                </w:p>
                <w:p w14:paraId="14EE7B0C">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A</w:t>
                  </w:r>
                </w:p>
                <w:p w14:paraId="1BF3476A">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p>
                <w:p w14:paraId="5F076EFE">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w:t>
                  </w:r>
                </w:p>
                <w:p w14:paraId="3B39FD09">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1</w:t>
                  </w:r>
                </w:p>
              </w:tc>
              <w:tc>
                <w:tcPr>
                  <w:tcW w:w="1343" w:type="dxa"/>
                  <w:tcBorders>
                    <w:tl2br w:val="nil"/>
                    <w:tr2bl w:val="nil"/>
                  </w:tcBorders>
                  <w:vAlign w:val="center"/>
                </w:tcPr>
                <w:p w14:paraId="3AAD184A">
                  <w:pPr>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宋体" w:cs="Times New Roman"/>
                      <w:szCs w:val="21"/>
                    </w:rPr>
                    <w:t>烘干滚筒燃烧器燃油废气与烘干、筛分、热骨料仓粉尘混合废气</w:t>
                  </w:r>
                  <w:r>
                    <w:rPr>
                      <w:rFonts w:hint="eastAsia" w:ascii="Times New Roman" w:hAnsi="Times New Roman" w:eastAsia="宋体" w:cs="Times New Roman"/>
                      <w:szCs w:val="21"/>
                    </w:rPr>
                    <w:t>排放口</w:t>
                  </w:r>
                </w:p>
              </w:tc>
              <w:tc>
                <w:tcPr>
                  <w:tcW w:w="814" w:type="dxa"/>
                  <w:tcBorders>
                    <w:tl2br w:val="nil"/>
                    <w:tr2bl w:val="nil"/>
                  </w:tcBorders>
                  <w:vAlign w:val="center"/>
                </w:tcPr>
                <w:p w14:paraId="1D899671">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szCs w:val="21"/>
                    </w:rPr>
                    <w:t>颗粒物、SO</w:t>
                  </w:r>
                  <w:r>
                    <w:rPr>
                      <w:rFonts w:hint="eastAsia" w:ascii="Times New Roman" w:hAnsi="Times New Roman" w:eastAsia="宋体" w:cs="Times New Roman"/>
                      <w:szCs w:val="21"/>
                      <w:vertAlign w:val="subscript"/>
                    </w:rPr>
                    <w:t>2</w:t>
                  </w:r>
                  <w:r>
                    <w:rPr>
                      <w:rFonts w:hint="eastAsia" w:ascii="Times New Roman" w:hAnsi="Times New Roman" w:eastAsia="宋体" w:cs="Times New Roman"/>
                      <w:szCs w:val="21"/>
                    </w:rPr>
                    <w:t>、NO</w:t>
                  </w:r>
                  <w:r>
                    <w:rPr>
                      <w:rFonts w:hint="eastAsia" w:ascii="Times New Roman" w:hAnsi="Times New Roman" w:eastAsia="宋体" w:cs="Times New Roman"/>
                      <w:szCs w:val="21"/>
                      <w:vertAlign w:val="subscript"/>
                    </w:rPr>
                    <w:t>X</w:t>
                  </w:r>
                </w:p>
              </w:tc>
              <w:tc>
                <w:tcPr>
                  <w:tcW w:w="1072" w:type="dxa"/>
                  <w:tcBorders>
                    <w:tl2br w:val="nil"/>
                    <w:tr2bl w:val="nil"/>
                  </w:tcBorders>
                  <w:vAlign w:val="center"/>
                </w:tcPr>
                <w:p w14:paraId="425D326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100.3067</w:t>
                  </w:r>
                </w:p>
              </w:tc>
              <w:tc>
                <w:tcPr>
                  <w:tcW w:w="1014" w:type="dxa"/>
                  <w:tcBorders>
                    <w:tl2br w:val="nil"/>
                    <w:tr2bl w:val="nil"/>
                  </w:tcBorders>
                  <w:vAlign w:val="center"/>
                </w:tcPr>
                <w:p w14:paraId="0C64ADC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39.2673</w:t>
                  </w:r>
                </w:p>
              </w:tc>
              <w:tc>
                <w:tcPr>
                  <w:tcW w:w="743" w:type="dxa"/>
                  <w:tcBorders>
                    <w:tl2br w:val="nil"/>
                    <w:tr2bl w:val="nil"/>
                  </w:tcBorders>
                  <w:vAlign w:val="center"/>
                </w:tcPr>
                <w:p w14:paraId="0D6C9DBE">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22m</w:t>
                  </w:r>
                </w:p>
              </w:tc>
              <w:tc>
                <w:tcPr>
                  <w:tcW w:w="771" w:type="dxa"/>
                  <w:tcBorders>
                    <w:tl2br w:val="nil"/>
                    <w:tr2bl w:val="nil"/>
                  </w:tcBorders>
                  <w:vAlign w:val="center"/>
                </w:tcPr>
                <w:p w14:paraId="1AEC36B3">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0.3m</w:t>
                  </w:r>
                </w:p>
              </w:tc>
              <w:tc>
                <w:tcPr>
                  <w:tcW w:w="700" w:type="dxa"/>
                  <w:tcBorders>
                    <w:tl2br w:val="nil"/>
                    <w:tr2bl w:val="nil"/>
                  </w:tcBorders>
                  <w:vAlign w:val="center"/>
                </w:tcPr>
                <w:p w14:paraId="72FB3F1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120</w:t>
                  </w:r>
                </w:p>
              </w:tc>
              <w:tc>
                <w:tcPr>
                  <w:tcW w:w="400" w:type="dxa"/>
                  <w:tcBorders>
                    <w:tl2br w:val="nil"/>
                    <w:tr2bl w:val="nil"/>
                  </w:tcBorders>
                  <w:vAlign w:val="center"/>
                </w:tcPr>
                <w:p w14:paraId="2BB0ACA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一般排放口</w:t>
                  </w:r>
                </w:p>
              </w:tc>
              <w:tc>
                <w:tcPr>
                  <w:tcW w:w="986" w:type="dxa"/>
                  <w:tcBorders>
                    <w:tl2br w:val="nil"/>
                    <w:tr2bl w:val="nil"/>
                  </w:tcBorders>
                  <w:vAlign w:val="center"/>
                </w:tcPr>
                <w:p w14:paraId="33DB4A6C">
                  <w:pPr>
                    <w:wordWrap w:val="0"/>
                    <w:topLinePunct/>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宋体" w:cs="Times New Roman"/>
                      <w:szCs w:val="21"/>
                    </w:rPr>
                    <w:t>蜗壳除尘+布袋除尘</w:t>
                  </w:r>
                  <w:r>
                    <w:rPr>
                      <w:rFonts w:hint="eastAsia" w:ascii="Times New Roman" w:hAnsi="Times New Roman" w:eastAsia="宋体" w:cs="Times New Roman"/>
                      <w:szCs w:val="21"/>
                    </w:rPr>
                    <w:t>器</w:t>
                  </w:r>
                </w:p>
              </w:tc>
            </w:tr>
            <w:tr w14:paraId="6F4A1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trPr>
              <w:tc>
                <w:tcPr>
                  <w:tcW w:w="336" w:type="dxa"/>
                  <w:tcBorders>
                    <w:tl2br w:val="nil"/>
                    <w:tr2bl w:val="nil"/>
                  </w:tcBorders>
                  <w:vAlign w:val="center"/>
                </w:tcPr>
                <w:p w14:paraId="12FE14E7">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DA002</w:t>
                  </w:r>
                </w:p>
              </w:tc>
              <w:tc>
                <w:tcPr>
                  <w:tcW w:w="1343" w:type="dxa"/>
                  <w:tcBorders>
                    <w:tl2br w:val="nil"/>
                    <w:tr2bl w:val="nil"/>
                  </w:tcBorders>
                  <w:vAlign w:val="center"/>
                </w:tcPr>
                <w:p w14:paraId="3874947F">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搅拌粉尘，混合搅拌、成品出料，沥青储罐呼吸废气混合废气排放口</w:t>
                  </w:r>
                </w:p>
              </w:tc>
              <w:tc>
                <w:tcPr>
                  <w:tcW w:w="814" w:type="dxa"/>
                  <w:tcBorders>
                    <w:tl2br w:val="nil"/>
                    <w:tr2bl w:val="nil"/>
                  </w:tcBorders>
                  <w:vAlign w:val="center"/>
                </w:tcPr>
                <w:p w14:paraId="6B7196EA">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r>
                    <w:rPr>
                      <w:rFonts w:hint="eastAsia" w:ascii="Times New Roman" w:hAnsi="Times New Roman" w:cs="Times New Roman"/>
                      <w:szCs w:val="21"/>
                    </w:rPr>
                    <w:t>沥青烟、</w:t>
                  </w:r>
                  <w:r>
                    <w:rPr>
                      <w:rFonts w:ascii="Times New Roman" w:hAnsi="Times New Roman" w:cs="Times New Roman"/>
                      <w:szCs w:val="21"/>
                    </w:rPr>
                    <w:t>苯并[a]芘</w:t>
                  </w:r>
                  <w:r>
                    <w:rPr>
                      <w:rFonts w:hint="eastAsia" w:ascii="Times New Roman" w:hAnsi="Times New Roman" w:cs="Times New Roman"/>
                      <w:szCs w:val="21"/>
                    </w:rPr>
                    <w:t>、非甲烷总烃</w:t>
                  </w:r>
                </w:p>
              </w:tc>
              <w:tc>
                <w:tcPr>
                  <w:tcW w:w="1072" w:type="dxa"/>
                  <w:tcBorders>
                    <w:tl2br w:val="nil"/>
                    <w:tr2bl w:val="nil"/>
                  </w:tcBorders>
                  <w:vAlign w:val="center"/>
                </w:tcPr>
                <w:p w14:paraId="7FB7737C">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100.3068</w:t>
                  </w:r>
                </w:p>
              </w:tc>
              <w:tc>
                <w:tcPr>
                  <w:tcW w:w="1014" w:type="dxa"/>
                  <w:tcBorders>
                    <w:tl2br w:val="nil"/>
                    <w:tr2bl w:val="nil"/>
                  </w:tcBorders>
                  <w:vAlign w:val="center"/>
                </w:tcPr>
                <w:p w14:paraId="3BD64C37">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39.2672</w:t>
                  </w:r>
                </w:p>
              </w:tc>
              <w:tc>
                <w:tcPr>
                  <w:tcW w:w="743" w:type="dxa"/>
                  <w:tcBorders>
                    <w:tl2br w:val="nil"/>
                    <w:tr2bl w:val="nil"/>
                  </w:tcBorders>
                  <w:vAlign w:val="center"/>
                </w:tcPr>
                <w:p w14:paraId="2736B0AD">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25m</w:t>
                  </w:r>
                </w:p>
              </w:tc>
              <w:tc>
                <w:tcPr>
                  <w:tcW w:w="771" w:type="dxa"/>
                  <w:tcBorders>
                    <w:tl2br w:val="nil"/>
                    <w:tr2bl w:val="nil"/>
                  </w:tcBorders>
                  <w:vAlign w:val="center"/>
                </w:tcPr>
                <w:p w14:paraId="78249664">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0.8m</w:t>
                  </w:r>
                </w:p>
              </w:tc>
              <w:tc>
                <w:tcPr>
                  <w:tcW w:w="700" w:type="dxa"/>
                  <w:tcBorders>
                    <w:tl2br w:val="nil"/>
                    <w:tr2bl w:val="nil"/>
                  </w:tcBorders>
                  <w:vAlign w:val="center"/>
                </w:tcPr>
                <w:p w14:paraId="2EAA675A">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120</w:t>
                  </w:r>
                </w:p>
              </w:tc>
              <w:tc>
                <w:tcPr>
                  <w:tcW w:w="400" w:type="dxa"/>
                  <w:tcBorders>
                    <w:tl2br w:val="nil"/>
                    <w:tr2bl w:val="nil"/>
                  </w:tcBorders>
                  <w:vAlign w:val="center"/>
                </w:tcPr>
                <w:p w14:paraId="5A4BA642">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一般排放口</w:t>
                  </w:r>
                </w:p>
              </w:tc>
              <w:tc>
                <w:tcPr>
                  <w:tcW w:w="986" w:type="dxa"/>
                  <w:tcBorders>
                    <w:tl2br w:val="nil"/>
                    <w:tr2bl w:val="nil"/>
                  </w:tcBorders>
                  <w:vAlign w:val="center"/>
                </w:tcPr>
                <w:p w14:paraId="23362585">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洗涤塔+电捕焦油器+等离子光解净化除尘器+活性炭吸附</w:t>
                  </w:r>
                </w:p>
              </w:tc>
            </w:tr>
            <w:tr w14:paraId="1175A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36" w:type="dxa"/>
                  <w:tcBorders>
                    <w:tl2br w:val="nil"/>
                    <w:tr2bl w:val="nil"/>
                  </w:tcBorders>
                  <w:vAlign w:val="center"/>
                </w:tcPr>
                <w:p w14:paraId="08440179">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DA003</w:t>
                  </w:r>
                </w:p>
              </w:tc>
              <w:tc>
                <w:tcPr>
                  <w:tcW w:w="1343" w:type="dxa"/>
                  <w:tcBorders>
                    <w:tl2br w:val="nil"/>
                    <w:tr2bl w:val="nil"/>
                  </w:tcBorders>
                  <w:vAlign w:val="center"/>
                </w:tcPr>
                <w:p w14:paraId="33F9343B">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乳化沥青出料、</w:t>
                  </w:r>
                  <w:r>
                    <w:rPr>
                      <w:rFonts w:hint="eastAsia" w:ascii="Times New Roman" w:hAnsi="Times New Roman" w:eastAsia="宋体" w:cs="Times New Roman"/>
                      <w:color w:val="000000"/>
                      <w:szCs w:val="21"/>
                    </w:rPr>
                    <w:t>胶磨废气排放口</w:t>
                  </w:r>
                  <w:r>
                    <w:rPr>
                      <w:rFonts w:ascii="Times New Roman" w:hAnsi="Times New Roman" w:eastAsia="宋体" w:cs="Times New Roman"/>
                      <w:color w:val="000000" w:themeColor="text1"/>
                      <w:szCs w:val="21"/>
                      <w14:textFill>
                        <w14:solidFill>
                          <w14:schemeClr w14:val="tx1"/>
                        </w14:solidFill>
                      </w14:textFill>
                    </w:rPr>
                    <w:t xml:space="preserve"> </w:t>
                  </w:r>
                </w:p>
              </w:tc>
              <w:tc>
                <w:tcPr>
                  <w:tcW w:w="814" w:type="dxa"/>
                  <w:tcBorders>
                    <w:tl2br w:val="nil"/>
                    <w:tr2bl w:val="nil"/>
                  </w:tcBorders>
                  <w:vAlign w:val="center"/>
                </w:tcPr>
                <w:p w14:paraId="7A559AE4">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cs="Times New Roman"/>
                      <w:szCs w:val="21"/>
                    </w:rPr>
                    <w:t>沥青烟、</w:t>
                  </w:r>
                  <w:r>
                    <w:rPr>
                      <w:rFonts w:ascii="Times New Roman" w:hAnsi="Times New Roman" w:cs="Times New Roman"/>
                      <w:szCs w:val="21"/>
                    </w:rPr>
                    <w:t>苯并[a]芘</w:t>
                  </w:r>
                  <w:r>
                    <w:rPr>
                      <w:rFonts w:hint="eastAsia" w:ascii="Times New Roman" w:hAnsi="Times New Roman" w:cs="Times New Roman"/>
                      <w:szCs w:val="21"/>
                    </w:rPr>
                    <w:t>、非甲烷总烃</w:t>
                  </w:r>
                </w:p>
              </w:tc>
              <w:tc>
                <w:tcPr>
                  <w:tcW w:w="1072" w:type="dxa"/>
                  <w:tcBorders>
                    <w:tl2br w:val="nil"/>
                    <w:tr2bl w:val="nil"/>
                  </w:tcBorders>
                  <w:vAlign w:val="center"/>
                </w:tcPr>
                <w:p w14:paraId="41240667">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100.3065</w:t>
                  </w:r>
                </w:p>
              </w:tc>
              <w:tc>
                <w:tcPr>
                  <w:tcW w:w="1014" w:type="dxa"/>
                  <w:tcBorders>
                    <w:tl2br w:val="nil"/>
                    <w:tr2bl w:val="nil"/>
                  </w:tcBorders>
                  <w:vAlign w:val="center"/>
                </w:tcPr>
                <w:p w14:paraId="1E1674B6">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39.2669</w:t>
                  </w:r>
                </w:p>
              </w:tc>
              <w:tc>
                <w:tcPr>
                  <w:tcW w:w="743" w:type="dxa"/>
                  <w:tcBorders>
                    <w:tl2br w:val="nil"/>
                    <w:tr2bl w:val="nil"/>
                  </w:tcBorders>
                  <w:vAlign w:val="center"/>
                </w:tcPr>
                <w:p w14:paraId="5E88350B">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15m</w:t>
                  </w:r>
                </w:p>
              </w:tc>
              <w:tc>
                <w:tcPr>
                  <w:tcW w:w="771" w:type="dxa"/>
                  <w:tcBorders>
                    <w:tl2br w:val="nil"/>
                    <w:tr2bl w:val="nil"/>
                  </w:tcBorders>
                  <w:vAlign w:val="center"/>
                </w:tcPr>
                <w:p w14:paraId="2A67D96A">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0.3m</w:t>
                  </w:r>
                </w:p>
              </w:tc>
              <w:tc>
                <w:tcPr>
                  <w:tcW w:w="700" w:type="dxa"/>
                  <w:tcBorders>
                    <w:tl2br w:val="nil"/>
                    <w:tr2bl w:val="nil"/>
                  </w:tcBorders>
                  <w:vAlign w:val="center"/>
                </w:tcPr>
                <w:p w14:paraId="6D0C78FE">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常温</w:t>
                  </w:r>
                </w:p>
              </w:tc>
              <w:tc>
                <w:tcPr>
                  <w:tcW w:w="400" w:type="dxa"/>
                  <w:tcBorders>
                    <w:tl2br w:val="nil"/>
                    <w:tr2bl w:val="nil"/>
                  </w:tcBorders>
                  <w:vAlign w:val="center"/>
                </w:tcPr>
                <w:p w14:paraId="128A9F0A">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一般排放口</w:t>
                  </w:r>
                </w:p>
              </w:tc>
              <w:tc>
                <w:tcPr>
                  <w:tcW w:w="986" w:type="dxa"/>
                  <w:tcBorders>
                    <w:tl2br w:val="nil"/>
                    <w:tr2bl w:val="nil"/>
                  </w:tcBorders>
                  <w:vAlign w:val="center"/>
                </w:tcPr>
                <w:p w14:paraId="6B03F25C">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高效二级活性炭吸附装置</w:t>
                  </w:r>
                </w:p>
              </w:tc>
            </w:tr>
            <w:tr w14:paraId="5269A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6" w:type="dxa"/>
                  <w:tcBorders>
                    <w:tl2br w:val="nil"/>
                    <w:tr2bl w:val="nil"/>
                  </w:tcBorders>
                  <w:vAlign w:val="center"/>
                </w:tcPr>
                <w:p w14:paraId="69C6C653">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DA004</w:t>
                  </w:r>
                </w:p>
              </w:tc>
              <w:tc>
                <w:tcPr>
                  <w:tcW w:w="1343" w:type="dxa"/>
                  <w:tcBorders>
                    <w:tl2br w:val="nil"/>
                    <w:tr2bl w:val="nil"/>
                  </w:tcBorders>
                  <w:vAlign w:val="center"/>
                </w:tcPr>
                <w:p w14:paraId="09B34003">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有机热载体炉废气排放口</w:t>
                  </w:r>
                </w:p>
              </w:tc>
              <w:tc>
                <w:tcPr>
                  <w:tcW w:w="814" w:type="dxa"/>
                  <w:tcBorders>
                    <w:tl2br w:val="nil"/>
                    <w:tr2bl w:val="nil"/>
                  </w:tcBorders>
                  <w:vAlign w:val="center"/>
                </w:tcPr>
                <w:p w14:paraId="3CAB6F1C">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szCs w:val="21"/>
                    </w:rPr>
                    <w:t>颗粒物、SO</w:t>
                  </w:r>
                  <w:r>
                    <w:rPr>
                      <w:rFonts w:hint="eastAsia" w:ascii="Times New Roman" w:hAnsi="Times New Roman" w:eastAsia="宋体" w:cs="Times New Roman"/>
                      <w:szCs w:val="21"/>
                      <w:vertAlign w:val="subscript"/>
                    </w:rPr>
                    <w:t>2</w:t>
                  </w:r>
                  <w:r>
                    <w:rPr>
                      <w:rFonts w:hint="eastAsia" w:ascii="Times New Roman" w:hAnsi="Times New Roman" w:eastAsia="宋体" w:cs="Times New Roman"/>
                      <w:szCs w:val="21"/>
                    </w:rPr>
                    <w:t>、NO</w:t>
                  </w:r>
                  <w:r>
                    <w:rPr>
                      <w:rFonts w:hint="eastAsia" w:ascii="Times New Roman" w:hAnsi="Times New Roman" w:eastAsia="宋体" w:cs="Times New Roman"/>
                      <w:szCs w:val="21"/>
                      <w:vertAlign w:val="subscript"/>
                    </w:rPr>
                    <w:t>X</w:t>
                  </w:r>
                </w:p>
              </w:tc>
              <w:tc>
                <w:tcPr>
                  <w:tcW w:w="1072" w:type="dxa"/>
                  <w:tcBorders>
                    <w:tl2br w:val="nil"/>
                    <w:tr2bl w:val="nil"/>
                  </w:tcBorders>
                  <w:vAlign w:val="center"/>
                </w:tcPr>
                <w:p w14:paraId="17D24B9B">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100.3068</w:t>
                  </w:r>
                </w:p>
              </w:tc>
              <w:tc>
                <w:tcPr>
                  <w:tcW w:w="1014" w:type="dxa"/>
                  <w:tcBorders>
                    <w:tl2br w:val="nil"/>
                    <w:tr2bl w:val="nil"/>
                  </w:tcBorders>
                  <w:vAlign w:val="center"/>
                </w:tcPr>
                <w:p w14:paraId="79AB4941">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39.2670</w:t>
                  </w:r>
                </w:p>
              </w:tc>
              <w:tc>
                <w:tcPr>
                  <w:tcW w:w="743" w:type="dxa"/>
                  <w:tcBorders>
                    <w:tl2br w:val="nil"/>
                    <w:tr2bl w:val="nil"/>
                  </w:tcBorders>
                  <w:vAlign w:val="center"/>
                </w:tcPr>
                <w:p w14:paraId="3B263B8C">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highlight w:val="yellow"/>
                    </w:rPr>
                    <w:t>15m</w:t>
                  </w:r>
                </w:p>
              </w:tc>
              <w:tc>
                <w:tcPr>
                  <w:tcW w:w="771" w:type="dxa"/>
                  <w:tcBorders>
                    <w:tl2br w:val="nil"/>
                    <w:tr2bl w:val="nil"/>
                  </w:tcBorders>
                  <w:vAlign w:val="center"/>
                </w:tcPr>
                <w:p w14:paraId="44C74A4B">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0.3m</w:t>
                  </w:r>
                </w:p>
              </w:tc>
              <w:tc>
                <w:tcPr>
                  <w:tcW w:w="700" w:type="dxa"/>
                  <w:tcBorders>
                    <w:tl2br w:val="nil"/>
                    <w:tr2bl w:val="nil"/>
                  </w:tcBorders>
                  <w:vAlign w:val="center"/>
                </w:tcPr>
                <w:p w14:paraId="2C79F052">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120</w:t>
                  </w:r>
                </w:p>
              </w:tc>
              <w:tc>
                <w:tcPr>
                  <w:tcW w:w="400" w:type="dxa"/>
                  <w:tcBorders>
                    <w:tl2br w:val="nil"/>
                    <w:tr2bl w:val="nil"/>
                  </w:tcBorders>
                  <w:vAlign w:val="center"/>
                </w:tcPr>
                <w:p w14:paraId="5D0541CB">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一般排放口</w:t>
                  </w:r>
                </w:p>
              </w:tc>
              <w:tc>
                <w:tcPr>
                  <w:tcW w:w="986" w:type="dxa"/>
                  <w:tcBorders>
                    <w:tl2br w:val="nil"/>
                    <w:tr2bl w:val="nil"/>
                  </w:tcBorders>
                  <w:vAlign w:val="center"/>
                </w:tcPr>
                <w:p w14:paraId="2DB9F7F1">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低氮燃烧器</w:t>
                  </w:r>
                </w:p>
              </w:tc>
            </w:tr>
            <w:tr w14:paraId="58AC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336" w:type="dxa"/>
                  <w:tcBorders>
                    <w:tl2br w:val="nil"/>
                    <w:tr2bl w:val="nil"/>
                  </w:tcBorders>
                  <w:vAlign w:val="center"/>
                </w:tcPr>
                <w:p w14:paraId="395E157D">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DA005</w:t>
                  </w:r>
                </w:p>
              </w:tc>
              <w:tc>
                <w:tcPr>
                  <w:tcW w:w="1343" w:type="dxa"/>
                  <w:tcBorders>
                    <w:tl2br w:val="nil"/>
                    <w:tr2bl w:val="nil"/>
                  </w:tcBorders>
                  <w:vAlign w:val="center"/>
                </w:tcPr>
                <w:p w14:paraId="696B2251">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食堂油烟废气排放口</w:t>
                  </w:r>
                </w:p>
              </w:tc>
              <w:tc>
                <w:tcPr>
                  <w:tcW w:w="814" w:type="dxa"/>
                  <w:tcBorders>
                    <w:tl2br w:val="nil"/>
                    <w:tr2bl w:val="nil"/>
                  </w:tcBorders>
                  <w:vAlign w:val="center"/>
                </w:tcPr>
                <w:p w14:paraId="4E106952">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油烟</w:t>
                  </w:r>
                </w:p>
              </w:tc>
              <w:tc>
                <w:tcPr>
                  <w:tcW w:w="1072" w:type="dxa"/>
                  <w:tcBorders>
                    <w:tl2br w:val="nil"/>
                    <w:tr2bl w:val="nil"/>
                  </w:tcBorders>
                  <w:vAlign w:val="center"/>
                </w:tcPr>
                <w:p w14:paraId="66A55E35">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100.3063</w:t>
                  </w:r>
                </w:p>
              </w:tc>
              <w:tc>
                <w:tcPr>
                  <w:tcW w:w="1014" w:type="dxa"/>
                  <w:tcBorders>
                    <w:tl2br w:val="nil"/>
                    <w:tr2bl w:val="nil"/>
                  </w:tcBorders>
                  <w:vAlign w:val="center"/>
                </w:tcPr>
                <w:p w14:paraId="711BF4E9">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39.2674</w:t>
                  </w:r>
                </w:p>
              </w:tc>
              <w:tc>
                <w:tcPr>
                  <w:tcW w:w="743" w:type="dxa"/>
                  <w:tcBorders>
                    <w:tl2br w:val="nil"/>
                    <w:tr2bl w:val="nil"/>
                  </w:tcBorders>
                  <w:vAlign w:val="center"/>
                </w:tcPr>
                <w:p w14:paraId="588F90CB">
                  <w:pPr>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宋体" w:cs="Times New Roman"/>
                      <w:color w:val="FF0000"/>
                      <w:szCs w:val="21"/>
                    </w:rPr>
                    <w:t>/</w:t>
                  </w:r>
                </w:p>
              </w:tc>
              <w:tc>
                <w:tcPr>
                  <w:tcW w:w="771" w:type="dxa"/>
                  <w:tcBorders>
                    <w:tl2br w:val="nil"/>
                    <w:tr2bl w:val="nil"/>
                  </w:tcBorders>
                  <w:vAlign w:val="center"/>
                </w:tcPr>
                <w:p w14:paraId="16B2A938">
                  <w:pPr>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宋体" w:cs="Times New Roman"/>
                      <w:color w:val="FF0000"/>
                      <w:szCs w:val="21"/>
                    </w:rPr>
                    <w:t>/</w:t>
                  </w:r>
                </w:p>
              </w:tc>
              <w:tc>
                <w:tcPr>
                  <w:tcW w:w="700" w:type="dxa"/>
                  <w:tcBorders>
                    <w:tl2br w:val="nil"/>
                    <w:tr2bl w:val="nil"/>
                  </w:tcBorders>
                  <w:vAlign w:val="center"/>
                </w:tcPr>
                <w:p w14:paraId="5F128B47">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400" w:type="dxa"/>
                  <w:tcBorders>
                    <w:tl2br w:val="nil"/>
                    <w:tr2bl w:val="nil"/>
                  </w:tcBorders>
                  <w:vAlign w:val="center"/>
                </w:tcPr>
                <w:p w14:paraId="65761D00">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一般排放口</w:t>
                  </w:r>
                </w:p>
              </w:tc>
              <w:tc>
                <w:tcPr>
                  <w:tcW w:w="986" w:type="dxa"/>
                  <w:tcBorders>
                    <w:tl2br w:val="nil"/>
                    <w:tr2bl w:val="nil"/>
                  </w:tcBorders>
                  <w:vAlign w:val="center"/>
                </w:tcPr>
                <w:p w14:paraId="7F436CA7">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油烟净化器</w:t>
                  </w:r>
                </w:p>
              </w:tc>
            </w:tr>
          </w:tbl>
          <w:p w14:paraId="6127126F">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2.3.3废气</w:t>
            </w:r>
            <w:r>
              <w:rPr>
                <w:rFonts w:hint="eastAsia" w:ascii="Times New Roman" w:hAnsi="Times New Roman" w:eastAsia="宋体" w:cs="Times New Roman"/>
                <w:b/>
                <w:bCs/>
                <w:sz w:val="24"/>
                <w:lang w:val="zh-CN"/>
              </w:rPr>
              <w:t>污染治理设施可行性分析</w:t>
            </w:r>
            <w:r>
              <w:rPr>
                <w:rFonts w:hint="eastAsia" w:ascii="Times New Roman" w:hAnsi="Times New Roman" w:eastAsia="宋体" w:cs="Times New Roman"/>
                <w:b/>
                <w:bCs/>
                <w:sz w:val="24"/>
              </w:rPr>
              <w:t>及达标排放分析</w:t>
            </w:r>
          </w:p>
          <w:p w14:paraId="32FB0C3C">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参照“《排污许可证申请与核发技术规范 石墨及其他非金属矿物制品制造》（HJ1119-2020）、《张掖市大气污染防治条例》、《排放源统计调查产排污核算方法和系数手册》（公告2021年第24号）-附表2 固体物料堆存颗粒物产排污核算系数手册-附录4及《排污许可证申请与核发技术规范 锅炉》（HJ953-2018）”，本项目废气治理设施可行性情况及污染物达标情况见下表。</w:t>
            </w:r>
          </w:p>
          <w:p w14:paraId="64112074">
            <w:pPr>
              <w:wordWrap w:val="0"/>
              <w:topLinePunct/>
              <w:spacing w:line="360" w:lineRule="auto"/>
              <w:jc w:val="center"/>
              <w:rPr>
                <w:rFonts w:eastAsia="宋体"/>
                <w:b/>
                <w:bCs/>
                <w:color w:val="000000"/>
                <w:szCs w:val="21"/>
              </w:rPr>
            </w:pPr>
            <w:r>
              <w:rPr>
                <w:rFonts w:hint="eastAsia"/>
                <w:b/>
                <w:bCs/>
                <w:sz w:val="24"/>
                <w:szCs w:val="20"/>
              </w:rPr>
              <w:t xml:space="preserve">   </w:t>
            </w:r>
            <w:r>
              <w:rPr>
                <w:rFonts w:ascii="Times New Roman" w:hAnsi="Times New Roman" w:eastAsia="宋体" w:cs="Times New Roman"/>
                <w:b/>
                <w:bCs/>
                <w:snapToGrid w:val="0"/>
                <w:color w:val="000000" w:themeColor="text1"/>
                <w:kern w:val="0"/>
                <w:sz w:val="24"/>
                <w14:textFill>
                  <w14:solidFill>
                    <w14:schemeClr w14:val="tx1"/>
                  </w14:solidFill>
                </w14:textFill>
              </w:rPr>
              <w:t>表</w:t>
            </w:r>
            <w:r>
              <w:rPr>
                <w:rFonts w:hint="eastAsia" w:ascii="Times New Roman" w:hAnsi="Times New Roman" w:eastAsia="宋体" w:cs="Times New Roman"/>
                <w:b/>
                <w:bCs/>
                <w:snapToGrid w:val="0"/>
                <w:color w:val="000000" w:themeColor="text1"/>
                <w:kern w:val="0"/>
                <w:sz w:val="24"/>
                <w14:textFill>
                  <w14:solidFill>
                    <w14:schemeClr w14:val="tx1"/>
                  </w14:solidFill>
                </w14:textFill>
              </w:rPr>
              <w:t>4-24  废气处理</w:t>
            </w:r>
            <w:r>
              <w:rPr>
                <w:rFonts w:ascii="Times New Roman" w:hAnsi="Times New Roman" w:eastAsia="宋体" w:cs="Times New Roman"/>
                <w:b/>
                <w:bCs/>
                <w:snapToGrid w:val="0"/>
                <w:color w:val="000000" w:themeColor="text1"/>
                <w:kern w:val="0"/>
                <w:sz w:val="24"/>
                <w14:textFill>
                  <w14:solidFill>
                    <w14:schemeClr w14:val="tx1"/>
                  </w14:solidFill>
                </w14:textFill>
              </w:rPr>
              <w:t>污染</w:t>
            </w:r>
            <w:r>
              <w:rPr>
                <w:rFonts w:hint="eastAsia" w:ascii="Times New Roman" w:hAnsi="Times New Roman" w:eastAsia="宋体" w:cs="Times New Roman"/>
                <w:b/>
                <w:bCs/>
                <w:snapToGrid w:val="0"/>
                <w:color w:val="000000" w:themeColor="text1"/>
                <w:kern w:val="0"/>
                <w:sz w:val="24"/>
                <w14:textFill>
                  <w14:solidFill>
                    <w14:schemeClr w14:val="tx1"/>
                  </w14:solidFill>
                </w14:textFill>
              </w:rPr>
              <w:t>防治可行技术对照一览表</w:t>
            </w:r>
          </w:p>
          <w:tbl>
            <w:tblPr>
              <w:tblStyle w:val="28"/>
              <w:tblW w:w="8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4"/>
              <w:gridCol w:w="387"/>
              <w:gridCol w:w="514"/>
              <w:gridCol w:w="1514"/>
              <w:gridCol w:w="872"/>
              <w:gridCol w:w="1228"/>
              <w:gridCol w:w="1414"/>
              <w:gridCol w:w="443"/>
              <w:gridCol w:w="1000"/>
              <w:gridCol w:w="418"/>
            </w:tblGrid>
            <w:tr w14:paraId="2BC6C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384" w:type="dxa"/>
                  <w:vMerge w:val="restart"/>
                  <w:vAlign w:val="center"/>
                </w:tcPr>
                <w:p w14:paraId="0016E700">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序号</w:t>
                  </w:r>
                </w:p>
              </w:tc>
              <w:tc>
                <w:tcPr>
                  <w:tcW w:w="387" w:type="dxa"/>
                  <w:vMerge w:val="restart"/>
                  <w:vAlign w:val="center"/>
                </w:tcPr>
                <w:p w14:paraId="09A88AD9">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产污环节</w:t>
                  </w:r>
                </w:p>
              </w:tc>
              <w:tc>
                <w:tcPr>
                  <w:tcW w:w="514" w:type="dxa"/>
                  <w:vMerge w:val="restart"/>
                  <w:vAlign w:val="center"/>
                </w:tcPr>
                <w:p w14:paraId="21E361E1">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污染物</w:t>
                  </w:r>
                  <w:r>
                    <w:rPr>
                      <w:rFonts w:hint="eastAsia" w:ascii="Times New Roman" w:hAnsi="Times New Roman" w:eastAsia="宋体" w:cs="Times New Roman"/>
                      <w:b/>
                      <w:bCs/>
                      <w:color w:val="000000" w:themeColor="text1"/>
                      <w:szCs w:val="21"/>
                      <w14:textFill>
                        <w14:solidFill>
                          <w14:schemeClr w14:val="tx1"/>
                        </w14:solidFill>
                      </w14:textFill>
                    </w:rPr>
                    <w:t>种类</w:t>
                  </w:r>
                </w:p>
              </w:tc>
              <w:tc>
                <w:tcPr>
                  <w:tcW w:w="3614" w:type="dxa"/>
                  <w:gridSpan w:val="3"/>
                  <w:tcBorders>
                    <w:bottom w:val="single" w:color="000000" w:sz="4" w:space="0"/>
                  </w:tcBorders>
                  <w:vAlign w:val="center"/>
                </w:tcPr>
                <w:p w14:paraId="2B2EBAF7">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大气污染防治可行技术对照依据</w:t>
                  </w:r>
                </w:p>
              </w:tc>
              <w:tc>
                <w:tcPr>
                  <w:tcW w:w="1414" w:type="dxa"/>
                  <w:vMerge w:val="restart"/>
                  <w:vAlign w:val="center"/>
                </w:tcPr>
                <w:p w14:paraId="3AC76F45">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本项目处理措施</w:t>
                  </w:r>
                </w:p>
              </w:tc>
              <w:tc>
                <w:tcPr>
                  <w:tcW w:w="443" w:type="dxa"/>
                  <w:vMerge w:val="restart"/>
                  <w:vAlign w:val="center"/>
                </w:tcPr>
                <w:p w14:paraId="1004863B">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是否可行</w:t>
                  </w:r>
                </w:p>
              </w:tc>
              <w:tc>
                <w:tcPr>
                  <w:tcW w:w="1000" w:type="dxa"/>
                  <w:vMerge w:val="restart"/>
                  <w:vAlign w:val="center"/>
                </w:tcPr>
                <w:p w14:paraId="189E48F2">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排放执行标准及限值</w:t>
                  </w:r>
                </w:p>
              </w:tc>
              <w:tc>
                <w:tcPr>
                  <w:tcW w:w="418" w:type="dxa"/>
                  <w:vMerge w:val="restart"/>
                  <w:vAlign w:val="center"/>
                </w:tcPr>
                <w:p w14:paraId="0B6138A5">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是否达标</w:t>
                  </w:r>
                </w:p>
              </w:tc>
            </w:tr>
            <w:tr w14:paraId="22EEA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atLeast"/>
                <w:jc w:val="center"/>
              </w:trPr>
              <w:tc>
                <w:tcPr>
                  <w:tcW w:w="384" w:type="dxa"/>
                  <w:vMerge w:val="continue"/>
                  <w:vAlign w:val="center"/>
                </w:tcPr>
                <w:p w14:paraId="03906B8C">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387" w:type="dxa"/>
                  <w:vMerge w:val="continue"/>
                  <w:vAlign w:val="center"/>
                </w:tcPr>
                <w:p w14:paraId="567A8CE2">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514" w:type="dxa"/>
                  <w:vMerge w:val="continue"/>
                  <w:vAlign w:val="center"/>
                </w:tcPr>
                <w:p w14:paraId="367BAEB1">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1514" w:type="dxa"/>
                  <w:tcBorders>
                    <w:top w:val="single" w:color="000000" w:sz="4" w:space="0"/>
                    <w:right w:val="single" w:color="000000" w:sz="4" w:space="0"/>
                  </w:tcBorders>
                  <w:vAlign w:val="center"/>
                </w:tcPr>
                <w:p w14:paraId="41E9880E">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《张掖市大气污染防治条例》</w:t>
                  </w:r>
                </w:p>
              </w:tc>
              <w:tc>
                <w:tcPr>
                  <w:tcW w:w="872" w:type="dxa"/>
                  <w:tcBorders>
                    <w:top w:val="single" w:color="000000" w:sz="4" w:space="0"/>
                    <w:left w:val="single" w:color="000000" w:sz="4" w:space="0"/>
                    <w:right w:val="single" w:color="000000" w:sz="4" w:space="0"/>
                  </w:tcBorders>
                  <w:vAlign w:val="center"/>
                </w:tcPr>
                <w:p w14:paraId="37154D10">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《排放源统计调查产排污核算方法和系数手册》</w:t>
                  </w:r>
                </w:p>
              </w:tc>
              <w:tc>
                <w:tcPr>
                  <w:tcW w:w="1228" w:type="dxa"/>
                  <w:tcBorders>
                    <w:top w:val="single" w:color="000000" w:sz="4" w:space="0"/>
                    <w:left w:val="single" w:color="000000" w:sz="4" w:space="0"/>
                  </w:tcBorders>
                  <w:vAlign w:val="center"/>
                </w:tcPr>
                <w:p w14:paraId="473A3FB2">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《排污许可证申请与核发技术规范》</w:t>
                  </w:r>
                </w:p>
                <w:p w14:paraId="20AA642F">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（HJ1119-2020）</w:t>
                  </w:r>
                </w:p>
              </w:tc>
              <w:tc>
                <w:tcPr>
                  <w:tcW w:w="1414" w:type="dxa"/>
                  <w:vMerge w:val="continue"/>
                  <w:vAlign w:val="center"/>
                </w:tcPr>
                <w:p w14:paraId="43D234B8">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p>
              </w:tc>
              <w:tc>
                <w:tcPr>
                  <w:tcW w:w="443" w:type="dxa"/>
                  <w:vMerge w:val="continue"/>
                  <w:vAlign w:val="center"/>
                </w:tcPr>
                <w:p w14:paraId="723D41EB">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p>
              </w:tc>
              <w:tc>
                <w:tcPr>
                  <w:tcW w:w="1000" w:type="dxa"/>
                  <w:vMerge w:val="continue"/>
                  <w:vAlign w:val="center"/>
                </w:tcPr>
                <w:p w14:paraId="3316D4B9">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p>
              </w:tc>
              <w:tc>
                <w:tcPr>
                  <w:tcW w:w="418" w:type="dxa"/>
                  <w:vMerge w:val="continue"/>
                  <w:vAlign w:val="center"/>
                </w:tcPr>
                <w:p w14:paraId="0DEB9CE5">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p>
              </w:tc>
            </w:tr>
            <w:tr w14:paraId="0164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1" w:hRule="atLeast"/>
                <w:jc w:val="center"/>
              </w:trPr>
              <w:tc>
                <w:tcPr>
                  <w:tcW w:w="384" w:type="dxa"/>
                  <w:vAlign w:val="center"/>
                </w:tcPr>
                <w:p w14:paraId="39BA44C5">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p>
              </w:tc>
              <w:tc>
                <w:tcPr>
                  <w:tcW w:w="387" w:type="dxa"/>
                  <w:vAlign w:val="center"/>
                </w:tcPr>
                <w:p w14:paraId="39ECFEA7">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道路运输</w:t>
                  </w:r>
                </w:p>
              </w:tc>
              <w:tc>
                <w:tcPr>
                  <w:tcW w:w="514" w:type="dxa"/>
                  <w:vAlign w:val="center"/>
                </w:tcPr>
                <w:p w14:paraId="53F21247">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w:t>
                  </w:r>
                </w:p>
                <w:p w14:paraId="08B3FDD2">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粒</w:t>
                  </w:r>
                </w:p>
                <w:p w14:paraId="7C1D1476">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物</w:t>
                  </w:r>
                </w:p>
              </w:tc>
              <w:tc>
                <w:tcPr>
                  <w:tcW w:w="1514" w:type="dxa"/>
                  <w:vMerge w:val="restart"/>
                  <w:tcBorders>
                    <w:right w:val="single" w:color="000000" w:sz="4" w:space="0"/>
                  </w:tcBorders>
                  <w:vAlign w:val="center"/>
                </w:tcPr>
                <w:p w14:paraId="02A6F565">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第二十五</w:t>
                  </w:r>
                  <w:r>
                    <w:rPr>
                      <w:rFonts w:ascii="Times New Roman" w:hAnsi="Times New Roman" w:eastAsia="宋体" w:cs="Times New Roman"/>
                      <w:color w:val="000000" w:themeColor="text1"/>
                      <w:szCs w:val="21"/>
                      <w14:textFill>
                        <w14:solidFill>
                          <w14:schemeClr w14:val="tx1"/>
                        </w14:solidFill>
                      </w14:textFill>
                    </w:rPr>
                    <w:t xml:space="preserve"> 运输煤炭、土方、垃圾、渣土、砂石、水泥、商砼、石灰、灰浆等散装、流体物料的车辆应当按照规定路线、时段行驶，并采取密闭或者其他措施防止物料遗撒；装卸物料的，应当采取密闭或者喷淋等方式；贮存物料的，应当采取密闭方式，不能密闭的，设置不低于堆放物高度的严密围挡，采取有效覆盖措施防止扬尘污染。</w:t>
                  </w:r>
                </w:p>
              </w:tc>
              <w:tc>
                <w:tcPr>
                  <w:tcW w:w="872" w:type="dxa"/>
                  <w:vMerge w:val="restart"/>
                  <w:tcBorders>
                    <w:left w:val="single" w:color="000000" w:sz="4" w:space="0"/>
                    <w:right w:val="single" w:color="000000" w:sz="4" w:space="0"/>
                  </w:tcBorders>
                  <w:vAlign w:val="center"/>
                </w:tcPr>
                <w:p w14:paraId="5A20E75A">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控制措施：洒水、围挡、化学剂、编织覆盖、出入车辆冲洗</w:t>
                  </w:r>
                </w:p>
              </w:tc>
              <w:tc>
                <w:tcPr>
                  <w:tcW w:w="1228" w:type="dxa"/>
                  <w:vMerge w:val="restart"/>
                  <w:tcBorders>
                    <w:left w:val="single" w:color="000000" w:sz="4" w:space="0"/>
                  </w:tcBorders>
                  <w:vAlign w:val="center"/>
                </w:tcPr>
                <w:p w14:paraId="3B58425D">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414" w:type="dxa"/>
                  <w:vAlign w:val="center"/>
                </w:tcPr>
                <w:p w14:paraId="43F6AC06">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cs="Times New Roman"/>
                      <w:szCs w:val="21"/>
                    </w:rPr>
                    <w:t>①所有运输车辆进、出厂均要求苫盖严密，减速限速、禁止超载；②厂内运输道路已硬化，采用洒水车对厂区及连接道路进行定期洒水，保持路面湿润，从源头抑制扬尘产生；③厂区进出口设置洗车平台，对进出运输车辆轮胎进行冲洗。</w:t>
                  </w:r>
                </w:p>
              </w:tc>
              <w:tc>
                <w:tcPr>
                  <w:tcW w:w="443" w:type="dxa"/>
                  <w:vAlign w:val="center"/>
                </w:tcPr>
                <w:p w14:paraId="69322B88">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c>
                <w:tcPr>
                  <w:tcW w:w="1000" w:type="dxa"/>
                  <w:vMerge w:val="restart"/>
                  <w:vAlign w:val="center"/>
                </w:tcPr>
                <w:p w14:paraId="44BCF9F1">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《大气污染物综合排放标准》(GB16297-1996)中表2新污染源大气污染物排放限值-无组织排放监控浓度限值（1.0mg/</w:t>
                  </w:r>
                  <w:r>
                    <w:rPr>
                      <w:rFonts w:ascii="Times New Roman" w:hAnsi="Times New Roman" w:eastAsia="宋体" w:cs="Times New Roman"/>
                      <w:szCs w:val="21"/>
                    </w:rPr>
                    <w:t>m</w:t>
                  </w:r>
                  <w:r>
                    <w:rPr>
                      <w:rFonts w:ascii="Times New Roman" w:hAnsi="Times New Roman" w:eastAsia="宋体" w:cs="Times New Roman"/>
                      <w:szCs w:val="21"/>
                      <w:vertAlign w:val="superscript"/>
                    </w:rPr>
                    <w:t>3</w:t>
                  </w:r>
                  <w:r>
                    <w:rPr>
                      <w:rFonts w:hint="eastAsia" w:ascii="Times New Roman" w:hAnsi="Times New Roman" w:eastAsia="宋体" w:cs="Times New Roman"/>
                      <w:szCs w:val="21"/>
                    </w:rPr>
                    <w:t>）。</w:t>
                  </w:r>
                </w:p>
                <w:p w14:paraId="20CD5DDB">
                  <w:pPr>
                    <w:wordWrap w:val="0"/>
                    <w:topLinePunct/>
                    <w:adjustRightInd w:val="0"/>
                    <w:spacing w:line="240" w:lineRule="exact"/>
                    <w:jc w:val="center"/>
                    <w:textAlignment w:val="baseline"/>
                    <w:rPr>
                      <w:rFonts w:ascii="Times New Roman" w:hAnsi="Times New Roman" w:eastAsia="宋体" w:cs="Times New Roman"/>
                      <w:szCs w:val="21"/>
                    </w:rPr>
                  </w:pPr>
                </w:p>
              </w:tc>
              <w:tc>
                <w:tcPr>
                  <w:tcW w:w="418" w:type="dxa"/>
                  <w:vAlign w:val="center"/>
                </w:tcPr>
                <w:p w14:paraId="01966318">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r>
            <w:tr w14:paraId="3DFC2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4" w:type="dxa"/>
                  <w:vAlign w:val="center"/>
                </w:tcPr>
                <w:p w14:paraId="7D75B237">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w:t>
                  </w:r>
                </w:p>
              </w:tc>
              <w:tc>
                <w:tcPr>
                  <w:tcW w:w="387" w:type="dxa"/>
                  <w:vAlign w:val="center"/>
                </w:tcPr>
                <w:p w14:paraId="2742DE41">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原料堆棚物料堆存</w:t>
                  </w:r>
                </w:p>
              </w:tc>
              <w:tc>
                <w:tcPr>
                  <w:tcW w:w="514" w:type="dxa"/>
                  <w:vAlign w:val="center"/>
                </w:tcPr>
                <w:p w14:paraId="4B552EEA">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c>
                <w:tcPr>
                  <w:tcW w:w="1514" w:type="dxa"/>
                  <w:vMerge w:val="continue"/>
                  <w:tcBorders>
                    <w:right w:val="single" w:color="000000" w:sz="4" w:space="0"/>
                  </w:tcBorders>
                  <w:vAlign w:val="center"/>
                </w:tcPr>
                <w:p w14:paraId="1DF5B5E7">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872" w:type="dxa"/>
                  <w:vMerge w:val="continue"/>
                  <w:tcBorders>
                    <w:left w:val="single" w:color="000000" w:sz="4" w:space="0"/>
                    <w:right w:val="single" w:color="000000" w:sz="4" w:space="0"/>
                  </w:tcBorders>
                  <w:vAlign w:val="center"/>
                </w:tcPr>
                <w:p w14:paraId="76503229">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1228" w:type="dxa"/>
                  <w:vMerge w:val="continue"/>
                  <w:tcBorders>
                    <w:left w:val="single" w:color="000000" w:sz="4" w:space="0"/>
                  </w:tcBorders>
                  <w:vAlign w:val="center"/>
                </w:tcPr>
                <w:p w14:paraId="7DA14787">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1414" w:type="dxa"/>
                  <w:vAlign w:val="center"/>
                </w:tcPr>
                <w:p w14:paraId="2F41F0F8">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kern w:val="2"/>
                      <w:sz w:val="21"/>
                      <w:szCs w:val="21"/>
                      <w:lang w:val="en-US" w:eastAsia="zh-CN" w:bidi="ar-SA"/>
                    </w:rPr>
                    <w:t>①建设半封闭式原料堆棚（三面围挡，仅装卸一侧敞开）；</w:t>
                  </w:r>
                  <w:r>
                    <w:rPr>
                      <w:rFonts w:hint="eastAsia" w:ascii="Times New Roman" w:hAnsi="Times New Roman" w:eastAsia="宋体" w:cs="Times New Roman"/>
                      <w:color w:val="1331F5"/>
                      <w:kern w:val="2"/>
                      <w:sz w:val="21"/>
                      <w:szCs w:val="21"/>
                      <w:lang w:val="en-US" w:eastAsia="zh-CN" w:bidi="ar-SA"/>
                    </w:rPr>
                    <w:t>②对易起尘物料（细物料）采用篷布</w:t>
                  </w:r>
                  <w:r>
                    <w:rPr>
                      <w:rFonts w:hint="default" w:ascii="Times New Roman" w:hAnsi="Times New Roman" w:eastAsia="宋体" w:cs="Times New Roman"/>
                      <w:color w:val="1331F5"/>
                      <w:kern w:val="2"/>
                      <w:sz w:val="21"/>
                      <w:szCs w:val="21"/>
                      <w:lang w:val="en-US" w:eastAsia="zh-CN" w:bidi="ar-SA"/>
                    </w:rPr>
                    <w:t>/</w:t>
                  </w:r>
                  <w:r>
                    <w:rPr>
                      <w:rFonts w:hint="eastAsia" w:ascii="Times New Roman" w:hAnsi="Times New Roman" w:eastAsia="宋体" w:cs="Times New Roman"/>
                      <w:color w:val="1331F5"/>
                      <w:kern w:val="2"/>
                      <w:sz w:val="21"/>
                      <w:szCs w:val="21"/>
                      <w:lang w:val="en-US" w:eastAsia="zh-CN" w:bidi="ar-SA"/>
                    </w:rPr>
                    <w:t>编织苫盖；</w:t>
                  </w:r>
                  <w:r>
                    <w:rPr>
                      <w:rFonts w:hint="eastAsia" w:ascii="Times New Roman" w:hAnsi="Times New Roman" w:eastAsia="宋体" w:cs="Times New Roman"/>
                      <w:color w:val="000000"/>
                      <w:kern w:val="2"/>
                      <w:sz w:val="21"/>
                      <w:szCs w:val="21"/>
                      <w:lang w:val="en-US" w:eastAsia="zh-CN" w:bidi="ar-SA"/>
                    </w:rPr>
                    <w:t>原料堆棚配置移动式喷淋雾炮1套，辅以洒水车洒水降尘，保持堆棚表面湿润；③加强堆场日常管理，合理安排作业时序，大风天气增加洒水频次或暂停作业。</w:t>
                  </w:r>
                </w:p>
              </w:tc>
              <w:tc>
                <w:tcPr>
                  <w:tcW w:w="443" w:type="dxa"/>
                  <w:vAlign w:val="center"/>
                </w:tcPr>
                <w:p w14:paraId="0FC6155E">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c>
                <w:tcPr>
                  <w:tcW w:w="1000" w:type="dxa"/>
                  <w:vMerge w:val="continue"/>
                  <w:vAlign w:val="center"/>
                </w:tcPr>
                <w:p w14:paraId="3D2E5E43">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418" w:type="dxa"/>
                  <w:vAlign w:val="center"/>
                </w:tcPr>
                <w:p w14:paraId="36E30323">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r>
            <w:tr w14:paraId="0364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384" w:type="dxa"/>
                  <w:vAlign w:val="center"/>
                </w:tcPr>
                <w:p w14:paraId="0D129F46">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w:t>
                  </w:r>
                </w:p>
              </w:tc>
              <w:tc>
                <w:tcPr>
                  <w:tcW w:w="387" w:type="dxa"/>
                  <w:vAlign w:val="center"/>
                </w:tcPr>
                <w:p w14:paraId="1E74EB71">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石料卸料</w:t>
                  </w:r>
                </w:p>
              </w:tc>
              <w:tc>
                <w:tcPr>
                  <w:tcW w:w="514" w:type="dxa"/>
                  <w:vAlign w:val="center"/>
                </w:tcPr>
                <w:p w14:paraId="06790B92">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c>
                <w:tcPr>
                  <w:tcW w:w="1514" w:type="dxa"/>
                  <w:vMerge w:val="continue"/>
                  <w:tcBorders>
                    <w:right w:val="single" w:color="000000" w:sz="4" w:space="0"/>
                  </w:tcBorders>
                  <w:vAlign w:val="center"/>
                </w:tcPr>
                <w:p w14:paraId="6CBD9862">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872" w:type="dxa"/>
                  <w:vMerge w:val="continue"/>
                  <w:tcBorders>
                    <w:left w:val="single" w:color="000000" w:sz="4" w:space="0"/>
                    <w:right w:val="single" w:color="000000" w:sz="4" w:space="0"/>
                  </w:tcBorders>
                  <w:vAlign w:val="center"/>
                </w:tcPr>
                <w:p w14:paraId="408BD838">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1228" w:type="dxa"/>
                  <w:vMerge w:val="continue"/>
                  <w:tcBorders>
                    <w:left w:val="single" w:color="000000" w:sz="4" w:space="0"/>
                  </w:tcBorders>
                  <w:vAlign w:val="center"/>
                </w:tcPr>
                <w:p w14:paraId="4FF2B67B">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1414" w:type="dxa"/>
                  <w:vAlign w:val="center"/>
                </w:tcPr>
                <w:p w14:paraId="2D4F7A3B">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szCs w:val="21"/>
                    </w:rPr>
                    <w:t>采用移动式喷淋雾炮辅以洒水车针对作业面进行洒水降尘。</w:t>
                  </w:r>
                </w:p>
              </w:tc>
              <w:tc>
                <w:tcPr>
                  <w:tcW w:w="443" w:type="dxa"/>
                  <w:vAlign w:val="center"/>
                </w:tcPr>
                <w:p w14:paraId="5D10F256">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c>
                <w:tcPr>
                  <w:tcW w:w="1000" w:type="dxa"/>
                  <w:vMerge w:val="continue"/>
                  <w:vAlign w:val="center"/>
                </w:tcPr>
                <w:p w14:paraId="6E2DC354">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418" w:type="dxa"/>
                  <w:vAlign w:val="center"/>
                </w:tcPr>
                <w:p w14:paraId="6CAB518B">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r>
            <w:tr w14:paraId="3ED0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384" w:type="dxa"/>
                  <w:tcBorders>
                    <w:bottom w:val="single" w:color="000000" w:sz="4" w:space="0"/>
                  </w:tcBorders>
                  <w:vAlign w:val="center"/>
                </w:tcPr>
                <w:p w14:paraId="354DE366">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4</w:t>
                  </w:r>
                </w:p>
              </w:tc>
              <w:tc>
                <w:tcPr>
                  <w:tcW w:w="387" w:type="dxa"/>
                  <w:tcBorders>
                    <w:bottom w:val="single" w:color="000000" w:sz="4" w:space="0"/>
                  </w:tcBorders>
                  <w:vAlign w:val="center"/>
                </w:tcPr>
                <w:p w14:paraId="08199DB8">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冷料上料</w:t>
                  </w:r>
                </w:p>
              </w:tc>
              <w:tc>
                <w:tcPr>
                  <w:tcW w:w="514" w:type="dxa"/>
                  <w:tcBorders>
                    <w:bottom w:val="single" w:color="000000" w:sz="4" w:space="0"/>
                  </w:tcBorders>
                  <w:vAlign w:val="center"/>
                </w:tcPr>
                <w:p w14:paraId="59C45144">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c>
                <w:tcPr>
                  <w:tcW w:w="1514" w:type="dxa"/>
                  <w:vMerge w:val="restart"/>
                  <w:tcBorders>
                    <w:right w:val="single" w:color="000000" w:sz="4" w:space="0"/>
                  </w:tcBorders>
                  <w:vAlign w:val="center"/>
                </w:tcPr>
                <w:p w14:paraId="5B6E8B19">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第三十七条</w:t>
                  </w:r>
                  <w:r>
                    <w:rPr>
                      <w:rFonts w:ascii="Times New Roman" w:hAnsi="Times New Roman" w:eastAsia="宋体" w:cs="Times New Roman"/>
                      <w:color w:val="000000" w:themeColor="text1"/>
                      <w:szCs w:val="21"/>
                      <w14:textFill>
                        <w14:solidFill>
                          <w14:schemeClr w14:val="tx1"/>
                        </w14:solidFill>
                      </w14:textFill>
                    </w:rPr>
                    <w:t xml:space="preserve"> 工业生产企业应当采取密闭、围挡、遮盖、清扫、洒水等措施，有效管控原料、产品、废渣等物料堆放、传输、装卸环节产生的粉尘、扬尘污染。</w:t>
                  </w:r>
                </w:p>
              </w:tc>
              <w:tc>
                <w:tcPr>
                  <w:tcW w:w="872" w:type="dxa"/>
                  <w:tcBorders>
                    <w:left w:val="single" w:color="000000" w:sz="4" w:space="0"/>
                    <w:right w:val="single" w:color="000000" w:sz="4" w:space="0"/>
                  </w:tcBorders>
                  <w:vAlign w:val="center"/>
                </w:tcPr>
                <w:p w14:paraId="3ADB1F6A">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228" w:type="dxa"/>
                  <w:tcBorders>
                    <w:left w:val="single" w:color="000000" w:sz="4" w:space="0"/>
                  </w:tcBorders>
                  <w:vAlign w:val="center"/>
                </w:tcPr>
                <w:p w14:paraId="0350FD7A">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414" w:type="dxa"/>
                  <w:vAlign w:val="center"/>
                </w:tcPr>
                <w:p w14:paraId="5518EE3C">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冷料仓设置半封闭围挡；设置喷淋装置喷淋降尘</w:t>
                  </w:r>
                </w:p>
              </w:tc>
              <w:tc>
                <w:tcPr>
                  <w:tcW w:w="443" w:type="dxa"/>
                  <w:vAlign w:val="center"/>
                </w:tcPr>
                <w:p w14:paraId="3878677D">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c>
                <w:tcPr>
                  <w:tcW w:w="1000" w:type="dxa"/>
                  <w:vMerge w:val="continue"/>
                  <w:vAlign w:val="center"/>
                </w:tcPr>
                <w:p w14:paraId="7E270245">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418" w:type="dxa"/>
                  <w:vAlign w:val="center"/>
                </w:tcPr>
                <w:p w14:paraId="398F056E">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r>
            <w:tr w14:paraId="4AA5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384" w:type="dxa"/>
                  <w:tcBorders>
                    <w:top w:val="single" w:color="000000" w:sz="4" w:space="0"/>
                    <w:bottom w:val="single" w:color="000000" w:sz="4" w:space="0"/>
                  </w:tcBorders>
                  <w:vAlign w:val="center"/>
                </w:tcPr>
                <w:p w14:paraId="52F19232">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5</w:t>
                  </w:r>
                </w:p>
              </w:tc>
              <w:tc>
                <w:tcPr>
                  <w:tcW w:w="387" w:type="dxa"/>
                  <w:tcBorders>
                    <w:top w:val="single" w:color="000000" w:sz="4" w:space="0"/>
                    <w:bottom w:val="single" w:color="000000" w:sz="4" w:space="0"/>
                  </w:tcBorders>
                  <w:vAlign w:val="center"/>
                </w:tcPr>
                <w:p w14:paraId="188263CE">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皮带运输</w:t>
                  </w:r>
                </w:p>
              </w:tc>
              <w:tc>
                <w:tcPr>
                  <w:tcW w:w="514" w:type="dxa"/>
                  <w:tcBorders>
                    <w:top w:val="single" w:color="000000" w:sz="4" w:space="0"/>
                    <w:bottom w:val="single" w:color="000000" w:sz="4" w:space="0"/>
                  </w:tcBorders>
                  <w:vAlign w:val="center"/>
                </w:tcPr>
                <w:p w14:paraId="5D3B8EEE">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c>
                <w:tcPr>
                  <w:tcW w:w="1514" w:type="dxa"/>
                  <w:vMerge w:val="continue"/>
                  <w:tcBorders>
                    <w:right w:val="single" w:color="000000" w:sz="4" w:space="0"/>
                  </w:tcBorders>
                  <w:vAlign w:val="center"/>
                </w:tcPr>
                <w:p w14:paraId="50E72A09">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872" w:type="dxa"/>
                  <w:tcBorders>
                    <w:left w:val="single" w:color="000000" w:sz="4" w:space="0"/>
                    <w:right w:val="single" w:color="000000" w:sz="4" w:space="0"/>
                  </w:tcBorders>
                  <w:vAlign w:val="center"/>
                </w:tcPr>
                <w:p w14:paraId="4F44727C">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w:t>
                  </w:r>
                </w:p>
              </w:tc>
              <w:tc>
                <w:tcPr>
                  <w:tcW w:w="1228" w:type="dxa"/>
                  <w:tcBorders>
                    <w:left w:val="single" w:color="000000" w:sz="4" w:space="0"/>
                  </w:tcBorders>
                  <w:vAlign w:val="center"/>
                </w:tcPr>
                <w:p w14:paraId="0FE8E960">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w:t>
                  </w:r>
                </w:p>
              </w:tc>
              <w:tc>
                <w:tcPr>
                  <w:tcW w:w="1414" w:type="dxa"/>
                  <w:vAlign w:val="center"/>
                </w:tcPr>
                <w:p w14:paraId="754DB1AF">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Bold" w:hAnsi="Times New Roman Bold" w:eastAsia="宋体" w:cs="Times New Roman Bold"/>
                      <w:color w:val="000000"/>
                      <w:szCs w:val="21"/>
                    </w:rPr>
                    <w:t>封闭皮带廊道</w:t>
                  </w:r>
                </w:p>
              </w:tc>
              <w:tc>
                <w:tcPr>
                  <w:tcW w:w="443" w:type="dxa"/>
                  <w:vAlign w:val="center"/>
                </w:tcPr>
                <w:p w14:paraId="40A66E0D">
                  <w:pPr>
                    <w:wordWrap w:val="0"/>
                    <w:topLinePunct/>
                    <w:adjustRightInd w:val="0"/>
                    <w:spacing w:line="240" w:lineRule="exact"/>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c>
                <w:tcPr>
                  <w:tcW w:w="1000" w:type="dxa"/>
                  <w:vMerge w:val="continue"/>
                  <w:vAlign w:val="center"/>
                </w:tcPr>
                <w:p w14:paraId="4BD8BCB8">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418" w:type="dxa"/>
                  <w:vAlign w:val="center"/>
                </w:tcPr>
                <w:p w14:paraId="54CCAA12">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r>
            <w:tr w14:paraId="1F12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384" w:type="dxa"/>
                  <w:tcBorders>
                    <w:top w:val="single" w:color="000000" w:sz="4" w:space="0"/>
                    <w:bottom w:val="single" w:color="000000" w:sz="4" w:space="0"/>
                  </w:tcBorders>
                  <w:vAlign w:val="center"/>
                </w:tcPr>
                <w:p w14:paraId="44D91899">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6</w:t>
                  </w:r>
                </w:p>
              </w:tc>
              <w:tc>
                <w:tcPr>
                  <w:tcW w:w="387" w:type="dxa"/>
                  <w:tcBorders>
                    <w:top w:val="single" w:color="000000" w:sz="4" w:space="0"/>
                    <w:bottom w:val="single" w:color="000000" w:sz="4" w:space="0"/>
                  </w:tcBorders>
                  <w:vAlign w:val="center"/>
                </w:tcPr>
                <w:p w14:paraId="5791777A">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矿粉贮存</w:t>
                  </w:r>
                </w:p>
              </w:tc>
              <w:tc>
                <w:tcPr>
                  <w:tcW w:w="514" w:type="dxa"/>
                  <w:tcBorders>
                    <w:top w:val="single" w:color="000000" w:sz="4" w:space="0"/>
                    <w:bottom w:val="single" w:color="000000" w:sz="4" w:space="0"/>
                  </w:tcBorders>
                  <w:vAlign w:val="center"/>
                </w:tcPr>
                <w:p w14:paraId="02A1719E">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c>
                <w:tcPr>
                  <w:tcW w:w="1514" w:type="dxa"/>
                  <w:vMerge w:val="continue"/>
                  <w:tcBorders>
                    <w:right w:val="single" w:color="000000" w:sz="4" w:space="0"/>
                  </w:tcBorders>
                  <w:vAlign w:val="center"/>
                </w:tcPr>
                <w:p w14:paraId="06907C44">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872" w:type="dxa"/>
                  <w:tcBorders>
                    <w:left w:val="single" w:color="000000" w:sz="4" w:space="0"/>
                    <w:right w:val="single" w:color="000000" w:sz="4" w:space="0"/>
                  </w:tcBorders>
                  <w:vAlign w:val="center"/>
                </w:tcPr>
                <w:p w14:paraId="6FFBE337">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228" w:type="dxa"/>
                  <w:tcBorders>
                    <w:left w:val="single" w:color="000000" w:sz="4" w:space="0"/>
                  </w:tcBorders>
                  <w:vAlign w:val="center"/>
                </w:tcPr>
                <w:p w14:paraId="2D48B3C0">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表 A.5</w:t>
                  </w:r>
                </w:p>
                <w:p w14:paraId="5924A457">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沥青混合料生产排污单位废气污染防治可行技术参考表—粉料仓废气可行技术为：布袋除尘、旋风除尘、静电除尘。</w:t>
                  </w:r>
                </w:p>
              </w:tc>
              <w:tc>
                <w:tcPr>
                  <w:tcW w:w="1414" w:type="dxa"/>
                  <w:vAlign w:val="center"/>
                </w:tcPr>
                <w:p w14:paraId="6DC18468">
                  <w:pPr>
                    <w:wordWrap w:val="0"/>
                    <w:topLinePunct/>
                    <w:adjustRightInd w:val="0"/>
                    <w:spacing w:line="240" w:lineRule="exact"/>
                    <w:jc w:val="center"/>
                    <w:textAlignment w:val="baseline"/>
                    <w:rPr>
                      <w:rFonts w:ascii="Times New Roman Bold" w:hAnsi="Times New Roman Bold" w:eastAsia="宋体" w:cs="Times New Roman Bold"/>
                      <w:color w:val="000000"/>
                      <w:szCs w:val="21"/>
                    </w:rPr>
                  </w:pPr>
                  <w:r>
                    <w:rPr>
                      <w:rFonts w:ascii="Times New Roman Bold" w:hAnsi="Times New Roman Bold" w:eastAsia="宋体" w:cs="Times New Roman Bold"/>
                      <w:color w:val="000000"/>
                      <w:szCs w:val="21"/>
                    </w:rPr>
                    <w:t>振动式仓顶收尘机</w:t>
                  </w:r>
                </w:p>
              </w:tc>
              <w:tc>
                <w:tcPr>
                  <w:tcW w:w="443" w:type="dxa"/>
                  <w:vAlign w:val="center"/>
                </w:tcPr>
                <w:p w14:paraId="34016BB7">
                  <w:pPr>
                    <w:wordWrap w:val="0"/>
                    <w:topLinePunct/>
                    <w:adjustRightInd w:val="0"/>
                    <w:spacing w:line="240" w:lineRule="exact"/>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c>
                <w:tcPr>
                  <w:tcW w:w="1000" w:type="dxa"/>
                  <w:vAlign w:val="center"/>
                </w:tcPr>
                <w:p w14:paraId="358E0E8B">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120mg/m</w:t>
                  </w:r>
                  <w:r>
                    <w:rPr>
                      <w:rFonts w:ascii="Times New Roman" w:hAnsi="Times New Roman" w:eastAsia="宋体" w:cs="Times New Roman"/>
                      <w:szCs w:val="21"/>
                      <w:vertAlign w:val="superscript"/>
                    </w:rPr>
                    <w:t>3</w:t>
                  </w:r>
                  <w:r>
                    <w:rPr>
                      <w:rFonts w:ascii="Times New Roman" w:hAnsi="Times New Roman" w:eastAsia="宋体" w:cs="Times New Roman"/>
                      <w:szCs w:val="21"/>
                    </w:rPr>
                    <w:t>;</w:t>
                  </w:r>
                </w:p>
                <w:p w14:paraId="25D0B3C7">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szCs w:val="21"/>
                    </w:rPr>
                    <w:t>《大气污染物综合排放标准》(GB16297-1996)</w:t>
                  </w:r>
                </w:p>
              </w:tc>
              <w:tc>
                <w:tcPr>
                  <w:tcW w:w="418" w:type="dxa"/>
                  <w:vAlign w:val="center"/>
                </w:tcPr>
                <w:p w14:paraId="528DA57F">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r>
            <w:tr w14:paraId="0B62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384" w:type="dxa"/>
                  <w:tcBorders>
                    <w:top w:val="single" w:color="000000" w:sz="4" w:space="0"/>
                    <w:bottom w:val="single" w:color="000000" w:sz="4" w:space="0"/>
                  </w:tcBorders>
                  <w:vAlign w:val="center"/>
                </w:tcPr>
                <w:p w14:paraId="2EA50478">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7</w:t>
                  </w:r>
                </w:p>
              </w:tc>
              <w:tc>
                <w:tcPr>
                  <w:tcW w:w="387" w:type="dxa"/>
                  <w:tcBorders>
                    <w:top w:val="single" w:color="000000" w:sz="4" w:space="0"/>
                    <w:bottom w:val="single" w:color="000000" w:sz="4" w:space="0"/>
                  </w:tcBorders>
                  <w:vAlign w:val="center"/>
                </w:tcPr>
                <w:p w14:paraId="0BA9465D">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骨料干燥系统废气</w:t>
                  </w:r>
                </w:p>
              </w:tc>
              <w:tc>
                <w:tcPr>
                  <w:tcW w:w="514" w:type="dxa"/>
                  <w:tcBorders>
                    <w:top w:val="single" w:color="000000" w:sz="4" w:space="0"/>
                    <w:bottom w:val="single" w:color="000000" w:sz="4" w:space="0"/>
                  </w:tcBorders>
                  <w:vAlign w:val="center"/>
                </w:tcPr>
                <w:p w14:paraId="77FD1E4C">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颗粒物、SO</w:t>
                  </w:r>
                  <w:r>
                    <w:rPr>
                      <w:rFonts w:hint="eastAsia" w:ascii="Times New Roman" w:hAnsi="Times New Roman" w:eastAsia="宋体" w:cs="Times New Roman"/>
                      <w:color w:val="000000" w:themeColor="text1"/>
                      <w:szCs w:val="21"/>
                      <w:vertAlign w:val="subscript"/>
                      <w14:textFill>
                        <w14:solidFill>
                          <w14:schemeClr w14:val="tx1"/>
                        </w14:solidFill>
                      </w14:textFill>
                    </w:rPr>
                    <w:t>2</w:t>
                  </w:r>
                  <w:r>
                    <w:rPr>
                      <w:rFonts w:hint="eastAsia" w:ascii="Times New Roman" w:hAnsi="Times New Roman" w:eastAsia="宋体" w:cs="Times New Roman"/>
                      <w:color w:val="000000" w:themeColor="text1"/>
                      <w:szCs w:val="21"/>
                      <w14:textFill>
                        <w14:solidFill>
                          <w14:schemeClr w14:val="tx1"/>
                        </w14:solidFill>
                      </w14:textFill>
                    </w:rPr>
                    <w:t>、NO</w:t>
                  </w:r>
                  <w:r>
                    <w:rPr>
                      <w:rFonts w:hint="eastAsia" w:ascii="Times New Roman" w:hAnsi="Times New Roman" w:eastAsia="宋体" w:cs="Times New Roman"/>
                      <w:color w:val="000000" w:themeColor="text1"/>
                      <w:szCs w:val="21"/>
                      <w:vertAlign w:val="subscript"/>
                      <w14:textFill>
                        <w14:solidFill>
                          <w14:schemeClr w14:val="tx1"/>
                        </w14:solidFill>
                      </w14:textFill>
                    </w:rPr>
                    <w:t>X</w:t>
                  </w:r>
                </w:p>
              </w:tc>
              <w:tc>
                <w:tcPr>
                  <w:tcW w:w="1514" w:type="dxa"/>
                  <w:tcBorders>
                    <w:right w:val="single" w:color="000000" w:sz="4" w:space="0"/>
                  </w:tcBorders>
                  <w:vAlign w:val="center"/>
                </w:tcPr>
                <w:p w14:paraId="44803282">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w:t>
                  </w:r>
                </w:p>
              </w:tc>
              <w:tc>
                <w:tcPr>
                  <w:tcW w:w="872" w:type="dxa"/>
                  <w:tcBorders>
                    <w:left w:val="single" w:color="000000" w:sz="4" w:space="0"/>
                    <w:right w:val="single" w:color="000000" w:sz="4" w:space="0"/>
                  </w:tcBorders>
                  <w:vAlign w:val="center"/>
                </w:tcPr>
                <w:p w14:paraId="051E8A75">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w:t>
                  </w:r>
                </w:p>
              </w:tc>
              <w:tc>
                <w:tcPr>
                  <w:tcW w:w="1228" w:type="dxa"/>
                  <w:tcBorders>
                    <w:left w:val="single" w:color="000000" w:sz="4" w:space="0"/>
                  </w:tcBorders>
                  <w:vAlign w:val="center"/>
                </w:tcPr>
                <w:p w14:paraId="7FB26D30">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表 A.5</w:t>
                  </w:r>
                </w:p>
                <w:p w14:paraId="7B13BD99">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沥青混合料生产排污单位废气污染防治可行技术参考表—骨料干燥系统废气可行技术为旋风除尘+布袋除尘、旋风除尘+静电除尘。</w:t>
                  </w:r>
                </w:p>
              </w:tc>
              <w:tc>
                <w:tcPr>
                  <w:tcW w:w="1414" w:type="dxa"/>
                  <w:vAlign w:val="center"/>
                </w:tcPr>
                <w:p w14:paraId="3F5D9DD4">
                  <w:pPr>
                    <w:wordWrap w:val="0"/>
                    <w:topLinePunct/>
                    <w:adjustRightInd w:val="0"/>
                    <w:spacing w:line="240" w:lineRule="exact"/>
                    <w:jc w:val="center"/>
                    <w:textAlignment w:val="baseline"/>
                    <w:rPr>
                      <w:rFonts w:ascii="Times New Roman Bold" w:hAnsi="Times New Roman Bold" w:eastAsia="宋体" w:cs="Times New Roman Bold"/>
                      <w:color w:val="000000"/>
                      <w:szCs w:val="21"/>
                    </w:rPr>
                  </w:pPr>
                  <w:r>
                    <w:rPr>
                      <w:rFonts w:ascii="Times New Roman Bold" w:hAnsi="Times New Roman Bold" w:eastAsia="宋体" w:cs="Times New Roman Bold"/>
                      <w:color w:val="000000"/>
                      <w:szCs w:val="21"/>
                    </w:rPr>
                    <w:t>蜗壳除尘</w:t>
                  </w:r>
                  <w:r>
                    <w:rPr>
                      <w:rFonts w:hint="eastAsia" w:ascii="Times New Roman Bold" w:hAnsi="Times New Roman Bold" w:eastAsia="宋体" w:cs="Times New Roman Bold"/>
                      <w:color w:val="000000"/>
                      <w:szCs w:val="21"/>
                    </w:rPr>
                    <w:t>（旋风除尘器的一种）</w:t>
                  </w:r>
                  <w:r>
                    <w:rPr>
                      <w:rFonts w:ascii="Times New Roman Bold" w:hAnsi="Times New Roman Bold" w:eastAsia="宋体" w:cs="Times New Roman Bold"/>
                      <w:color w:val="000000"/>
                      <w:szCs w:val="21"/>
                    </w:rPr>
                    <w:t>+布袋除尘</w:t>
                  </w:r>
                  <w:r>
                    <w:rPr>
                      <w:rFonts w:hint="eastAsia" w:ascii="Times New Roman Bold" w:hAnsi="Times New Roman Bold" w:eastAsia="宋体" w:cs="Times New Roman Bold"/>
                      <w:color w:val="000000"/>
                      <w:szCs w:val="21"/>
                    </w:rPr>
                    <w:t>器</w:t>
                  </w:r>
                </w:p>
              </w:tc>
              <w:tc>
                <w:tcPr>
                  <w:tcW w:w="443" w:type="dxa"/>
                  <w:vAlign w:val="center"/>
                </w:tcPr>
                <w:p w14:paraId="057CA29D">
                  <w:pPr>
                    <w:wordWrap w:val="0"/>
                    <w:topLinePunct/>
                    <w:adjustRightInd w:val="0"/>
                    <w:spacing w:line="240" w:lineRule="exact"/>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c>
                <w:tcPr>
                  <w:tcW w:w="1000" w:type="dxa"/>
                  <w:vAlign w:val="center"/>
                </w:tcPr>
                <w:p w14:paraId="19771749">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颗粒物：120mg/m</w:t>
                  </w:r>
                  <w:r>
                    <w:rPr>
                      <w:rFonts w:ascii="Times New Roman" w:hAnsi="Times New Roman" w:eastAsia="宋体" w:cs="Times New Roman"/>
                      <w:szCs w:val="21"/>
                      <w:vertAlign w:val="superscript"/>
                    </w:rPr>
                    <w:t>3</w:t>
                  </w:r>
                  <w:r>
                    <w:rPr>
                      <w:rFonts w:hint="eastAsia" w:ascii="Times New Roman" w:hAnsi="Times New Roman" w:eastAsia="宋体" w:cs="Times New Roman"/>
                      <w:szCs w:val="21"/>
                    </w:rPr>
                    <w:t>；</w:t>
                  </w:r>
                  <w:r>
                    <w:rPr>
                      <w:rFonts w:hint="eastAsia" w:ascii="Times New Roman" w:hAnsi="Times New Roman" w:eastAsia="宋体" w:cs="Times New Roman"/>
                      <w:color w:val="000000" w:themeColor="text1"/>
                      <w:szCs w:val="21"/>
                      <w14:textFill>
                        <w14:solidFill>
                          <w14:schemeClr w14:val="tx1"/>
                        </w14:solidFill>
                      </w14:textFill>
                    </w:rPr>
                    <w:t>SO</w:t>
                  </w:r>
                  <w:r>
                    <w:rPr>
                      <w:rFonts w:hint="eastAsia" w:ascii="Times New Roman" w:hAnsi="Times New Roman" w:eastAsia="宋体" w:cs="Times New Roman"/>
                      <w:color w:val="000000" w:themeColor="text1"/>
                      <w:szCs w:val="21"/>
                      <w:vertAlign w:val="subscript"/>
                      <w14:textFill>
                        <w14:solidFill>
                          <w14:schemeClr w14:val="tx1"/>
                        </w14:solidFill>
                      </w14:textFill>
                    </w:rPr>
                    <w:t>2</w:t>
                  </w:r>
                  <w:r>
                    <w:rPr>
                      <w:rFonts w:hint="eastAsia" w:ascii="Times New Roman" w:hAnsi="Times New Roman" w:eastAsia="宋体" w:cs="Times New Roman"/>
                      <w:color w:val="000000" w:themeColor="text1"/>
                      <w:szCs w:val="21"/>
                      <w14:textFill>
                        <w14:solidFill>
                          <w14:schemeClr w14:val="tx1"/>
                        </w14:solidFill>
                      </w14:textFill>
                    </w:rPr>
                    <w:t>：550</w:t>
                  </w:r>
                  <w:r>
                    <w:rPr>
                      <w:rFonts w:hint="eastAsia" w:ascii="Times New Roman" w:hAnsi="Times New Roman" w:eastAsia="宋体" w:cs="Times New Roman"/>
                      <w:szCs w:val="21"/>
                    </w:rPr>
                    <w:t>mg/m</w:t>
                  </w:r>
                  <w:r>
                    <w:rPr>
                      <w:rFonts w:ascii="Times New Roman" w:hAnsi="Times New Roman" w:eastAsia="宋体" w:cs="Times New Roman"/>
                      <w:szCs w:val="21"/>
                      <w:vertAlign w:val="superscript"/>
                    </w:rPr>
                    <w:t>3</w:t>
                  </w:r>
                  <w:r>
                    <w:rPr>
                      <w:rFonts w:hint="eastAsia" w:ascii="Times New Roman" w:hAnsi="Times New Roman" w:eastAsia="宋体" w:cs="Times New Roman"/>
                      <w:szCs w:val="21"/>
                    </w:rPr>
                    <w:t>；</w:t>
                  </w:r>
                  <w:r>
                    <w:rPr>
                      <w:rFonts w:hint="eastAsia" w:ascii="Times New Roman" w:hAnsi="Times New Roman" w:eastAsia="宋体" w:cs="Times New Roman"/>
                      <w:color w:val="000000" w:themeColor="text1"/>
                      <w:szCs w:val="21"/>
                      <w14:textFill>
                        <w14:solidFill>
                          <w14:schemeClr w14:val="tx1"/>
                        </w14:solidFill>
                      </w14:textFill>
                    </w:rPr>
                    <w:t>NO</w:t>
                  </w:r>
                  <w:r>
                    <w:rPr>
                      <w:rFonts w:hint="eastAsia" w:ascii="Times New Roman" w:hAnsi="Times New Roman" w:eastAsia="宋体" w:cs="Times New Roman"/>
                      <w:color w:val="000000" w:themeColor="text1"/>
                      <w:szCs w:val="21"/>
                      <w:vertAlign w:val="subscript"/>
                      <w14:textFill>
                        <w14:solidFill>
                          <w14:schemeClr w14:val="tx1"/>
                        </w14:solidFill>
                      </w14:textFill>
                    </w:rPr>
                    <w:t>X</w:t>
                  </w:r>
                  <w:r>
                    <w:rPr>
                      <w:rFonts w:hint="eastAsia" w:ascii="Times New Roman" w:hAnsi="Times New Roman" w:eastAsia="宋体" w:cs="Times New Roman"/>
                      <w:color w:val="000000" w:themeColor="text1"/>
                      <w:szCs w:val="21"/>
                      <w14:textFill>
                        <w14:solidFill>
                          <w14:schemeClr w14:val="tx1"/>
                        </w14:solidFill>
                      </w14:textFill>
                    </w:rPr>
                    <w:t>：240mg/m</w:t>
                  </w:r>
                  <w:r>
                    <w:rPr>
                      <w:rFonts w:hint="eastAsia" w:ascii="Times New Roman" w:hAnsi="Times New Roman" w:eastAsia="宋体" w:cs="Times New Roman"/>
                      <w:color w:val="000000" w:themeColor="text1"/>
                      <w:szCs w:val="21"/>
                      <w:vertAlign w:val="superscript"/>
                      <w14:textFill>
                        <w14:solidFill>
                          <w14:schemeClr w14:val="tx1"/>
                        </w14:solidFill>
                      </w14:textFill>
                    </w:rPr>
                    <w:t>3</w:t>
                  </w:r>
                  <w:r>
                    <w:rPr>
                      <w:rFonts w:hint="eastAsia"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szCs w:val="21"/>
                    </w:rPr>
                    <w:t>《大气污染物综合排放标准》(GB16297-1996)</w:t>
                  </w:r>
                </w:p>
              </w:tc>
              <w:tc>
                <w:tcPr>
                  <w:tcW w:w="418" w:type="dxa"/>
                  <w:vAlign w:val="center"/>
                </w:tcPr>
                <w:p w14:paraId="08C5127B">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r>
            <w:tr w14:paraId="585EB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384" w:type="dxa"/>
                  <w:tcBorders>
                    <w:top w:val="single" w:color="000000" w:sz="4" w:space="0"/>
                    <w:bottom w:val="single" w:color="000000" w:sz="4" w:space="0"/>
                  </w:tcBorders>
                  <w:vAlign w:val="center"/>
                </w:tcPr>
                <w:p w14:paraId="638791A9">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8</w:t>
                  </w:r>
                </w:p>
              </w:tc>
              <w:tc>
                <w:tcPr>
                  <w:tcW w:w="387" w:type="dxa"/>
                  <w:tcBorders>
                    <w:top w:val="single" w:color="000000" w:sz="4" w:space="0"/>
                    <w:bottom w:val="single" w:color="000000" w:sz="4" w:space="0"/>
                  </w:tcBorders>
                  <w:vAlign w:val="center"/>
                </w:tcPr>
                <w:p w14:paraId="62EBE34C">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沥青罐呼吸废气、成品出料废气</w:t>
                  </w:r>
                </w:p>
              </w:tc>
              <w:tc>
                <w:tcPr>
                  <w:tcW w:w="514" w:type="dxa"/>
                  <w:tcBorders>
                    <w:top w:val="single" w:color="000000" w:sz="4" w:space="0"/>
                    <w:bottom w:val="single" w:color="000000" w:sz="4" w:space="0"/>
                  </w:tcBorders>
                  <w:vAlign w:val="center"/>
                </w:tcPr>
                <w:p w14:paraId="0E7BD1D3">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cs="Times New Roman"/>
                      <w:szCs w:val="21"/>
                    </w:rPr>
                    <w:t>沥青烟、</w:t>
                  </w:r>
                  <w:r>
                    <w:rPr>
                      <w:rFonts w:ascii="Times New Roman" w:hAnsi="Times New Roman" w:cs="Times New Roman"/>
                      <w:szCs w:val="21"/>
                    </w:rPr>
                    <w:t>苯并[a]芘</w:t>
                  </w:r>
                  <w:r>
                    <w:rPr>
                      <w:rFonts w:hint="eastAsia" w:ascii="Times New Roman" w:hAnsi="Times New Roman" w:cs="Times New Roman"/>
                      <w:szCs w:val="21"/>
                    </w:rPr>
                    <w:t>、非甲烷总烃</w:t>
                  </w:r>
                </w:p>
              </w:tc>
              <w:tc>
                <w:tcPr>
                  <w:tcW w:w="1514" w:type="dxa"/>
                  <w:tcBorders>
                    <w:right w:val="single" w:color="000000" w:sz="4" w:space="0"/>
                  </w:tcBorders>
                  <w:vAlign w:val="center"/>
                </w:tcPr>
                <w:p w14:paraId="3F2D3EC1">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872" w:type="dxa"/>
                  <w:tcBorders>
                    <w:left w:val="single" w:color="000000" w:sz="4" w:space="0"/>
                    <w:right w:val="single" w:color="000000" w:sz="4" w:space="0"/>
                  </w:tcBorders>
                  <w:vAlign w:val="center"/>
                </w:tcPr>
                <w:p w14:paraId="45CD474F">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228" w:type="dxa"/>
                  <w:tcBorders>
                    <w:left w:val="single" w:color="000000" w:sz="4" w:space="0"/>
                  </w:tcBorders>
                  <w:vAlign w:val="center"/>
                </w:tcPr>
                <w:p w14:paraId="6F356954">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表 A.5</w:t>
                  </w:r>
                </w:p>
                <w:p w14:paraId="6F16AE3A">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沥青混合料生产排污单位废气污染防治可行技术参考表—沥青罐呼吸废气、成品出料废气可行技术为活性炭吸附、电捕焦油器、电捕焦油器+活性炭吸附。</w:t>
                  </w:r>
                </w:p>
              </w:tc>
              <w:tc>
                <w:tcPr>
                  <w:tcW w:w="1414" w:type="dxa"/>
                  <w:vAlign w:val="center"/>
                </w:tcPr>
                <w:p w14:paraId="5426EADE">
                  <w:pPr>
                    <w:wordWrap w:val="0"/>
                    <w:topLinePunct/>
                    <w:adjustRightInd w:val="0"/>
                    <w:spacing w:line="240" w:lineRule="exact"/>
                    <w:jc w:val="center"/>
                    <w:textAlignment w:val="baseline"/>
                    <w:rPr>
                      <w:rFonts w:ascii="Times New Roman Bold" w:hAnsi="Times New Roman Bold" w:eastAsia="宋体" w:cs="Times New Roman Bold"/>
                      <w:color w:val="000000"/>
                      <w:szCs w:val="21"/>
                    </w:rPr>
                  </w:pPr>
                  <w:r>
                    <w:rPr>
                      <w:rFonts w:ascii="Times New Roman Bold" w:hAnsi="Times New Roman Bold" w:eastAsia="宋体" w:cs="Times New Roman Bold"/>
                      <w:color w:val="000000"/>
                      <w:szCs w:val="21"/>
                    </w:rPr>
                    <w:t>洗涤塔+电捕焦油器+等离子光解净化除尘器+活性炭吸附</w:t>
                  </w:r>
                </w:p>
              </w:tc>
              <w:tc>
                <w:tcPr>
                  <w:tcW w:w="443" w:type="dxa"/>
                  <w:vAlign w:val="center"/>
                </w:tcPr>
                <w:p w14:paraId="740D33F7">
                  <w:pPr>
                    <w:wordWrap w:val="0"/>
                    <w:topLinePunct/>
                    <w:adjustRightInd w:val="0"/>
                    <w:spacing w:line="240" w:lineRule="exact"/>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c>
                <w:tcPr>
                  <w:tcW w:w="1000" w:type="dxa"/>
                  <w:vAlign w:val="center"/>
                </w:tcPr>
                <w:p w14:paraId="398F8B75">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沥青烟：75mg/m</w:t>
                  </w:r>
                  <w:r>
                    <w:rPr>
                      <w:rFonts w:hint="eastAsia" w:ascii="Times New Roman" w:hAnsi="Times New Roman" w:eastAsia="宋体" w:cs="Times New Roman"/>
                      <w:szCs w:val="21"/>
                      <w:vertAlign w:val="superscript"/>
                    </w:rPr>
                    <w:t>3</w:t>
                  </w:r>
                  <w:r>
                    <w:rPr>
                      <w:rFonts w:hint="eastAsia" w:ascii="Times New Roman" w:hAnsi="Times New Roman" w:eastAsia="宋体" w:cs="Times New Roman"/>
                      <w:szCs w:val="21"/>
                    </w:rPr>
                    <w:t>；苯并[a]芘：0.3×10⁻³mg/m</w:t>
                  </w:r>
                  <w:r>
                    <w:rPr>
                      <w:rFonts w:hint="eastAsia" w:ascii="Times New Roman" w:hAnsi="Times New Roman" w:eastAsia="宋体" w:cs="Times New Roman"/>
                      <w:szCs w:val="21"/>
                      <w:vertAlign w:val="superscript"/>
                    </w:rPr>
                    <w:t>3</w:t>
                  </w:r>
                  <w:r>
                    <w:rPr>
                      <w:rFonts w:hint="eastAsia" w:ascii="Times New Roman" w:hAnsi="Times New Roman" w:eastAsia="宋体" w:cs="Times New Roman"/>
                      <w:szCs w:val="21"/>
                    </w:rPr>
                    <w:t>；非甲烷总烃：120mg/m</w:t>
                  </w:r>
                  <w:r>
                    <w:rPr>
                      <w:rFonts w:hint="eastAsia" w:ascii="Times New Roman" w:hAnsi="Times New Roman" w:eastAsia="宋体" w:cs="Times New Roman"/>
                      <w:szCs w:val="21"/>
                      <w:vertAlign w:val="superscript"/>
                    </w:rPr>
                    <w:t>3</w:t>
                  </w:r>
                  <w:r>
                    <w:rPr>
                      <w:rFonts w:hint="eastAsia" w:ascii="Times New Roman" w:hAnsi="Times New Roman" w:eastAsia="宋体" w:cs="Times New Roman"/>
                      <w:szCs w:val="21"/>
                    </w:rPr>
                    <w:t>；《大气污染物综合排放标准》(GB16297-1996)</w:t>
                  </w:r>
                </w:p>
              </w:tc>
              <w:tc>
                <w:tcPr>
                  <w:tcW w:w="418" w:type="dxa"/>
                  <w:vAlign w:val="center"/>
                </w:tcPr>
                <w:p w14:paraId="52E5E3BD">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r>
            <w:tr w14:paraId="11F7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384" w:type="dxa"/>
                  <w:tcBorders>
                    <w:top w:val="single" w:color="000000" w:sz="4" w:space="0"/>
                    <w:bottom w:val="single" w:color="000000" w:sz="4" w:space="0"/>
                  </w:tcBorders>
                  <w:vAlign w:val="center"/>
                </w:tcPr>
                <w:p w14:paraId="4525AF78">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9</w:t>
                  </w:r>
                </w:p>
              </w:tc>
              <w:tc>
                <w:tcPr>
                  <w:tcW w:w="387" w:type="dxa"/>
                  <w:tcBorders>
                    <w:top w:val="single" w:color="000000" w:sz="4" w:space="0"/>
                    <w:bottom w:val="single" w:color="000000" w:sz="4" w:space="0"/>
                  </w:tcBorders>
                  <w:vAlign w:val="center"/>
                </w:tcPr>
                <w:p w14:paraId="51C968CF">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有机热载体炉</w:t>
                  </w:r>
                </w:p>
              </w:tc>
              <w:tc>
                <w:tcPr>
                  <w:tcW w:w="5542" w:type="dxa"/>
                  <w:gridSpan w:val="5"/>
                  <w:tcBorders>
                    <w:top w:val="single" w:color="000000" w:sz="4" w:space="0"/>
                    <w:bottom w:val="single" w:color="000000" w:sz="4" w:space="0"/>
                  </w:tcBorders>
                  <w:vAlign w:val="center"/>
                </w:tcPr>
                <w:p w14:paraId="36C69B5A">
                  <w:pPr>
                    <w:wordWrap w:val="0"/>
                    <w:topLinePunct/>
                    <w:adjustRightInd w:val="0"/>
                    <w:spacing w:line="240" w:lineRule="exact"/>
                    <w:textAlignment w:val="baseline"/>
                    <w:rPr>
                      <w:rFonts w:ascii="Times New Roman" w:hAnsi="Times New Roman" w:eastAsia="宋体" w:cs="Times New Roman"/>
                      <w:szCs w:val="21"/>
                    </w:rPr>
                  </w:pPr>
                  <w:r>
                    <w:rPr>
                      <w:rFonts w:ascii="Times New Roman" w:hAnsi="Times New Roman" w:eastAsia="宋体" w:cs="Times New Roman"/>
                      <w:szCs w:val="21"/>
                    </w:rPr>
                    <w:t>参照“《排污许可证申请与核发技术规范 锅炉》（HJ953-2018）—表7锅炉烟气污染防治可行技术”，本项目锅炉拟安装低氮燃烧（器），为《排污许可证申请与核发技术规范 锅炉》（HJ953-2018）-表7推荐可行技术，治理措施可行。</w:t>
                  </w:r>
                </w:p>
              </w:tc>
              <w:tc>
                <w:tcPr>
                  <w:tcW w:w="443" w:type="dxa"/>
                  <w:vAlign w:val="center"/>
                </w:tcPr>
                <w:p w14:paraId="7C42907A">
                  <w:pPr>
                    <w:wordWrap w:val="0"/>
                    <w:topLinePunct/>
                    <w:adjustRightInd w:val="0"/>
                    <w:spacing w:line="240" w:lineRule="exact"/>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c>
                <w:tcPr>
                  <w:tcW w:w="1000" w:type="dxa"/>
                  <w:vAlign w:val="center"/>
                </w:tcPr>
                <w:p w14:paraId="20AD8EC9">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颗粒物：30mg/m</w:t>
                  </w:r>
                  <w:r>
                    <w:rPr>
                      <w:rFonts w:ascii="Times New Roman" w:hAnsi="Times New Roman" w:eastAsia="宋体" w:cs="Times New Roman"/>
                      <w:szCs w:val="21"/>
                      <w:vertAlign w:val="superscript"/>
                    </w:rPr>
                    <w:t>3</w:t>
                  </w:r>
                  <w:r>
                    <w:rPr>
                      <w:rFonts w:hint="eastAsia" w:ascii="Times New Roman" w:hAnsi="Times New Roman" w:eastAsia="宋体" w:cs="Times New Roman"/>
                      <w:szCs w:val="21"/>
                    </w:rPr>
                    <w:t>；</w:t>
                  </w:r>
                  <w:r>
                    <w:rPr>
                      <w:rFonts w:hint="eastAsia" w:ascii="Times New Roman" w:hAnsi="Times New Roman" w:eastAsia="宋体" w:cs="Times New Roman"/>
                      <w:color w:val="000000" w:themeColor="text1"/>
                      <w:szCs w:val="21"/>
                      <w14:textFill>
                        <w14:solidFill>
                          <w14:schemeClr w14:val="tx1"/>
                        </w14:solidFill>
                      </w14:textFill>
                    </w:rPr>
                    <w:t>SO</w:t>
                  </w:r>
                  <w:r>
                    <w:rPr>
                      <w:rFonts w:hint="eastAsia" w:ascii="Times New Roman" w:hAnsi="Times New Roman" w:eastAsia="宋体" w:cs="Times New Roman"/>
                      <w:color w:val="000000" w:themeColor="text1"/>
                      <w:szCs w:val="21"/>
                      <w:vertAlign w:val="subscript"/>
                      <w14:textFill>
                        <w14:solidFill>
                          <w14:schemeClr w14:val="tx1"/>
                        </w14:solidFill>
                      </w14:textFill>
                    </w:rPr>
                    <w:t>2</w:t>
                  </w:r>
                  <w:r>
                    <w:rPr>
                      <w:rFonts w:hint="eastAsia" w:ascii="Times New Roman" w:hAnsi="Times New Roman" w:eastAsia="宋体" w:cs="Times New Roman"/>
                      <w:color w:val="000000" w:themeColor="text1"/>
                      <w:szCs w:val="21"/>
                      <w14:textFill>
                        <w14:solidFill>
                          <w14:schemeClr w14:val="tx1"/>
                        </w14:solidFill>
                      </w14:textFill>
                    </w:rPr>
                    <w:t>：200</w:t>
                  </w:r>
                  <w:r>
                    <w:rPr>
                      <w:rFonts w:hint="eastAsia" w:ascii="Times New Roman" w:hAnsi="Times New Roman" w:eastAsia="宋体" w:cs="Times New Roman"/>
                      <w:szCs w:val="21"/>
                    </w:rPr>
                    <w:t>mg/m</w:t>
                  </w:r>
                  <w:r>
                    <w:rPr>
                      <w:rFonts w:ascii="Times New Roman" w:hAnsi="Times New Roman" w:eastAsia="宋体" w:cs="Times New Roman"/>
                      <w:szCs w:val="21"/>
                      <w:vertAlign w:val="superscript"/>
                    </w:rPr>
                    <w:t>3</w:t>
                  </w:r>
                  <w:r>
                    <w:rPr>
                      <w:rFonts w:hint="eastAsia" w:ascii="Times New Roman" w:hAnsi="Times New Roman" w:eastAsia="宋体" w:cs="Times New Roman"/>
                      <w:szCs w:val="21"/>
                    </w:rPr>
                    <w:t>；</w:t>
                  </w:r>
                  <w:r>
                    <w:rPr>
                      <w:rFonts w:hint="eastAsia" w:ascii="Times New Roman" w:hAnsi="Times New Roman" w:eastAsia="宋体" w:cs="Times New Roman"/>
                      <w:color w:val="000000" w:themeColor="text1"/>
                      <w:szCs w:val="21"/>
                      <w14:textFill>
                        <w14:solidFill>
                          <w14:schemeClr w14:val="tx1"/>
                        </w14:solidFill>
                      </w14:textFill>
                    </w:rPr>
                    <w:t>NO</w:t>
                  </w:r>
                  <w:r>
                    <w:rPr>
                      <w:rFonts w:hint="eastAsia" w:ascii="Times New Roman" w:hAnsi="Times New Roman" w:eastAsia="宋体" w:cs="Times New Roman"/>
                      <w:color w:val="000000" w:themeColor="text1"/>
                      <w:szCs w:val="21"/>
                      <w:vertAlign w:val="subscript"/>
                      <w14:textFill>
                        <w14:solidFill>
                          <w14:schemeClr w14:val="tx1"/>
                        </w14:solidFill>
                      </w14:textFill>
                    </w:rPr>
                    <w:t>X</w:t>
                  </w:r>
                  <w:r>
                    <w:rPr>
                      <w:rFonts w:hint="eastAsia" w:ascii="Times New Roman" w:hAnsi="Times New Roman" w:eastAsia="宋体" w:cs="Times New Roman"/>
                      <w:color w:val="000000" w:themeColor="text1"/>
                      <w:szCs w:val="21"/>
                      <w14:textFill>
                        <w14:solidFill>
                          <w14:schemeClr w14:val="tx1"/>
                        </w14:solidFill>
                      </w14:textFill>
                    </w:rPr>
                    <w:t>：250mg/m</w:t>
                  </w:r>
                  <w:r>
                    <w:rPr>
                      <w:rFonts w:hint="eastAsia" w:ascii="Times New Roman" w:hAnsi="Times New Roman" w:eastAsia="宋体" w:cs="Times New Roman"/>
                      <w:color w:val="000000" w:themeColor="text1"/>
                      <w:szCs w:val="21"/>
                      <w:vertAlign w:val="superscript"/>
                      <w14:textFill>
                        <w14:solidFill>
                          <w14:schemeClr w14:val="tx1"/>
                        </w14:solidFill>
                      </w14:textFill>
                    </w:rPr>
                    <w:t>3</w:t>
                  </w:r>
                  <w:r>
                    <w:rPr>
                      <w:rFonts w:hint="eastAsia"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szCs w:val="21"/>
                    </w:rPr>
                    <w:t>《锅炉大气污染物排放标准》（GB13271-2014）</w:t>
                  </w:r>
                </w:p>
              </w:tc>
              <w:tc>
                <w:tcPr>
                  <w:tcW w:w="418" w:type="dxa"/>
                  <w:vAlign w:val="center"/>
                </w:tcPr>
                <w:p w14:paraId="3D4B6F3D">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r>
            <w:tr w14:paraId="7BBD2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384" w:type="dxa"/>
                  <w:tcBorders>
                    <w:top w:val="single" w:color="000000" w:sz="4" w:space="0"/>
                    <w:bottom w:val="single" w:color="000000" w:sz="4" w:space="0"/>
                  </w:tcBorders>
                  <w:vAlign w:val="center"/>
                </w:tcPr>
                <w:p w14:paraId="58B195BF">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10</w:t>
                  </w:r>
                </w:p>
              </w:tc>
              <w:tc>
                <w:tcPr>
                  <w:tcW w:w="387" w:type="dxa"/>
                  <w:tcBorders>
                    <w:top w:val="single" w:color="000000" w:sz="4" w:space="0"/>
                    <w:bottom w:val="single" w:color="000000" w:sz="4" w:space="0"/>
                  </w:tcBorders>
                  <w:vAlign w:val="center"/>
                </w:tcPr>
                <w:p w14:paraId="2FCAB055">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柴油储罐</w:t>
                  </w:r>
                </w:p>
              </w:tc>
              <w:tc>
                <w:tcPr>
                  <w:tcW w:w="514" w:type="dxa"/>
                  <w:tcBorders>
                    <w:top w:val="single" w:color="000000" w:sz="4" w:space="0"/>
                    <w:bottom w:val="single" w:color="000000" w:sz="4" w:space="0"/>
                  </w:tcBorders>
                  <w:vAlign w:val="center"/>
                </w:tcPr>
                <w:p w14:paraId="0DDB6E98">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非甲烷总烃</w:t>
                  </w:r>
                </w:p>
              </w:tc>
              <w:tc>
                <w:tcPr>
                  <w:tcW w:w="1514" w:type="dxa"/>
                  <w:tcBorders>
                    <w:right w:val="single" w:color="000000" w:sz="4" w:space="0"/>
                  </w:tcBorders>
                  <w:vAlign w:val="center"/>
                </w:tcPr>
                <w:p w14:paraId="362E7C29">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第三十九条</w:t>
                  </w:r>
                  <w:r>
                    <w:rPr>
                      <w:rFonts w:hint="eastAsia" w:ascii="Times New Roman" w:hAnsi="Times New Roman" w:eastAsia="宋体" w:cs="Times New Roman"/>
                      <w:b/>
                      <w:bCs/>
                      <w:color w:val="000000" w:themeColor="text1"/>
                      <w:szCs w:val="21"/>
                      <w14:textFill>
                        <w14:solidFill>
                          <w14:schemeClr w14:val="tx1"/>
                        </w14:solidFill>
                      </w14:textFill>
                    </w:rPr>
                    <w:t xml:space="preserve"> </w:t>
                  </w:r>
                  <w:r>
                    <w:rPr>
                      <w:rFonts w:ascii="Times New Roman" w:hAnsi="Times New Roman" w:eastAsia="宋体" w:cs="Times New Roman"/>
                      <w:color w:val="000000" w:themeColor="text1"/>
                      <w:szCs w:val="21"/>
                      <w14:textFill>
                        <w14:solidFill>
                          <w14:schemeClr w14:val="tx1"/>
                        </w14:solidFill>
                      </w14:textFill>
                    </w:rPr>
                    <w:t>工业涂装、家具制造、电子设备制造、包装印刷、涂料、油墨、胶粘剂、农药生产、机动车维修、广告装饰、皮革翻新、服装干洗等产生挥发性有机物废气的生产经营和服务活动，应当在密闭空间或者密闭设备内开展，配套安装、正常使用废气收集治理设施；无法密闭的，应当采取有效减排措施，减少挥发性有机物废气无组织排放。</w:t>
                  </w:r>
                </w:p>
              </w:tc>
              <w:tc>
                <w:tcPr>
                  <w:tcW w:w="872" w:type="dxa"/>
                  <w:tcBorders>
                    <w:left w:val="single" w:color="000000" w:sz="4" w:space="0"/>
                    <w:right w:val="single" w:color="000000" w:sz="4" w:space="0"/>
                  </w:tcBorders>
                  <w:vAlign w:val="center"/>
                </w:tcPr>
                <w:p w14:paraId="305DFA8D">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228" w:type="dxa"/>
                  <w:tcBorders>
                    <w:left w:val="single" w:color="000000" w:sz="4" w:space="0"/>
                  </w:tcBorders>
                  <w:vAlign w:val="center"/>
                </w:tcPr>
                <w:p w14:paraId="2061BBE8">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1414" w:type="dxa"/>
                  <w:vAlign w:val="center"/>
                </w:tcPr>
                <w:p w14:paraId="60726E19">
                  <w:pPr>
                    <w:wordWrap w:val="0"/>
                    <w:topLinePunct/>
                    <w:adjustRightInd w:val="0"/>
                    <w:spacing w:line="240" w:lineRule="exact"/>
                    <w:jc w:val="center"/>
                    <w:textAlignment w:val="baseline"/>
                    <w:rPr>
                      <w:rFonts w:ascii="Times New Roman Bold" w:hAnsi="Times New Roman Bold" w:eastAsia="宋体" w:cs="Times New Roman Bold"/>
                      <w:color w:val="000000"/>
                      <w:szCs w:val="21"/>
                    </w:rPr>
                  </w:pPr>
                  <w:r>
                    <w:rPr>
                      <w:rFonts w:hint="eastAsia" w:ascii="Times New Roman Bold" w:hAnsi="Times New Roman Bold" w:eastAsia="宋体" w:cs="Times New Roman Bold"/>
                      <w:color w:val="000000"/>
                      <w:szCs w:val="21"/>
                    </w:rPr>
                    <w:t>槽车卸料口与储罐进料口之间设气相平衡管，卸料过程中储罐内被置换出的油气通过平衡管回流至槽车罐体；</w:t>
                  </w:r>
                  <w:r>
                    <w:rPr>
                      <w:rFonts w:hint="eastAsia" w:ascii="Times New Roman" w:hAnsi="Times New Roman" w:eastAsia="宋体" w:cs="Times New Roman"/>
                      <w:color w:val="000000"/>
                      <w:szCs w:val="21"/>
                    </w:rPr>
                    <w:t>加强柴油储罐密封点的维护与保养</w:t>
                  </w:r>
                </w:p>
              </w:tc>
              <w:tc>
                <w:tcPr>
                  <w:tcW w:w="443" w:type="dxa"/>
                  <w:vAlign w:val="center"/>
                </w:tcPr>
                <w:p w14:paraId="20F6A57A">
                  <w:pPr>
                    <w:wordWrap w:val="0"/>
                    <w:topLinePunct/>
                    <w:adjustRightInd w:val="0"/>
                    <w:spacing w:line="240" w:lineRule="exact"/>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c>
                <w:tcPr>
                  <w:tcW w:w="1000" w:type="dxa"/>
                  <w:vAlign w:val="center"/>
                </w:tcPr>
                <w:p w14:paraId="3136FE7B">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《大气污染物综合排放标准》(GB16297-1996)中表2新污染源大气污染物排放限值-无组织排放监控浓度限值（4.0mg/</w:t>
                  </w:r>
                  <w:r>
                    <w:rPr>
                      <w:rFonts w:ascii="Times New Roman" w:hAnsi="Times New Roman" w:eastAsia="宋体" w:cs="Times New Roman"/>
                      <w:szCs w:val="21"/>
                    </w:rPr>
                    <w:t>m</w:t>
                  </w:r>
                  <w:r>
                    <w:rPr>
                      <w:rFonts w:ascii="Times New Roman" w:hAnsi="Times New Roman" w:eastAsia="宋体" w:cs="Times New Roman"/>
                      <w:szCs w:val="21"/>
                      <w:vertAlign w:val="superscript"/>
                    </w:rPr>
                    <w:t>3</w:t>
                  </w:r>
                  <w:r>
                    <w:rPr>
                      <w:rFonts w:hint="eastAsia" w:ascii="Times New Roman" w:hAnsi="Times New Roman" w:eastAsia="宋体" w:cs="Times New Roman"/>
                      <w:szCs w:val="21"/>
                    </w:rPr>
                    <w:t>）。</w:t>
                  </w:r>
                </w:p>
                <w:p w14:paraId="25CD8143">
                  <w:pPr>
                    <w:wordWrap w:val="0"/>
                    <w:topLinePunct/>
                    <w:adjustRightInd w:val="0"/>
                    <w:spacing w:line="240" w:lineRule="exact"/>
                    <w:jc w:val="center"/>
                    <w:textAlignment w:val="baseline"/>
                    <w:rPr>
                      <w:rFonts w:ascii="Times New Roman" w:hAnsi="Times New Roman" w:eastAsia="宋体" w:cs="Times New Roman"/>
                      <w:szCs w:val="21"/>
                    </w:rPr>
                  </w:pPr>
                </w:p>
              </w:tc>
              <w:tc>
                <w:tcPr>
                  <w:tcW w:w="418" w:type="dxa"/>
                  <w:vAlign w:val="center"/>
                </w:tcPr>
                <w:p w14:paraId="57E4B33E">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是</w:t>
                  </w:r>
                </w:p>
              </w:tc>
            </w:tr>
            <w:tr w14:paraId="4008A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8174" w:type="dxa"/>
                  <w:gridSpan w:val="10"/>
                  <w:tcBorders>
                    <w:top w:val="single" w:color="000000" w:sz="4" w:space="0"/>
                  </w:tcBorders>
                  <w:vAlign w:val="center"/>
                </w:tcPr>
                <w:p w14:paraId="23384054">
                  <w:pPr>
                    <w:adjustRightInd w:val="0"/>
                    <w:spacing w:line="240" w:lineRule="exact"/>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注：蜗壳除尘为旋风除尘器的一种，也称螺旋式除尘器，是一种利用旋转气流离心力分离粉尘的工业除尘设备，主要应用于冶炼、铸造、建材、耐火材料等领域的粉尘污染初级处理环节。其基本结构由旋风筒体、集灰斗及蜗壳（或集风帽）构成，需外接风机驱动，按筒体数量分为单筒至六筒组合形式，并提供水平出风（Ⅰ型）和上部出风（Ⅱ型）两种气流排出方式。该设备通过风机引导含尘气体进入筒体形成螺旋状旋转气流，尘粒在离心力作用下被甩向器壁并沿壁落入集灰斗，净化后的气体经轴心上升排出。其核心优势包括结构紧凑、运行稳定、维护便捷，可适配不同工况需求，且能高效处理干燥、大颗粒的非纤维性粉尘。部分改进型设计通过螺旋反螺旋结构强化离心分离效果，或采用固定装置提升拆装便利性，进一步优化实用性。</w:t>
                  </w:r>
                </w:p>
              </w:tc>
            </w:tr>
          </w:tbl>
          <w:p w14:paraId="27B5EC7E">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2.4</w:t>
            </w:r>
            <w:r>
              <w:rPr>
                <w:rFonts w:ascii="Times New Roman" w:hAnsi="Times New Roman" w:eastAsia="宋体" w:cs="Times New Roman"/>
                <w:b/>
                <w:bCs/>
                <w:sz w:val="24"/>
              </w:rPr>
              <w:t>非正常工况</w:t>
            </w:r>
          </w:p>
          <w:p w14:paraId="093E61E3">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非正常工况是指：正常开、停车（炉）或部分设备检修及工艺设备或环保设施达不到设计规定指标运行时的工况，非正常工况时排放的污染物为非正常工况排污。</w:t>
            </w:r>
          </w:p>
          <w:p w14:paraId="393DF936">
            <w:pPr>
              <w:wordWrap w:val="0"/>
              <w:topLinePunct/>
              <w:spacing w:line="360" w:lineRule="auto"/>
              <w:ind w:firstLine="480" w:firstLineChars="200"/>
              <w:rPr>
                <w:rFonts w:ascii="Times New Roman" w:eastAsia="宋体"/>
                <w:color w:val="000000" w:themeColor="text1"/>
                <w:sz w:val="24"/>
                <w:szCs w:val="20"/>
                <w14:textFill>
                  <w14:solidFill>
                    <w14:schemeClr w14:val="tx1"/>
                  </w14:solidFill>
                </w14:textFill>
              </w:rPr>
            </w:pPr>
            <w:r>
              <w:rPr>
                <w:rFonts w:ascii="Times New Roman" w:hAnsi="Times New Roman" w:eastAsia="宋体" w:cs="Times New Roman"/>
                <w:sz w:val="24"/>
              </w:rPr>
              <w:t>本项目废气非正常工况主要考虑骨料干燥系统（DA001）、混合搅拌与成品出料及沥青储罐呼吸工序（DA002）的污染防治设施出现故障或失效时的废气排放情况。由于DA001、DA002的废气处理系统均为多单元串联组合工艺，在判定非正常工况时，</w:t>
            </w:r>
            <w:r>
              <w:rPr>
                <w:rFonts w:hint="eastAsia" w:ascii="Times New Roman" w:hAnsi="Times New Roman" w:eastAsia="宋体" w:cs="Times New Roman"/>
                <w:sz w:val="24"/>
              </w:rPr>
              <w:t>无法</w:t>
            </w:r>
            <w:r>
              <w:rPr>
                <w:rFonts w:ascii="Times New Roman" w:hAnsi="Times New Roman" w:eastAsia="宋体" w:cs="Times New Roman"/>
                <w:sz w:val="24"/>
              </w:rPr>
              <w:t>直接将整套系统</w:t>
            </w:r>
            <w:r>
              <w:rPr>
                <w:rFonts w:hint="eastAsia" w:ascii="Times New Roman" w:hAnsi="Times New Roman" w:eastAsia="宋体" w:cs="Times New Roman"/>
                <w:sz w:val="24"/>
              </w:rPr>
              <w:t>假定</w:t>
            </w:r>
            <w:r>
              <w:rPr>
                <w:rFonts w:ascii="Times New Roman" w:hAnsi="Times New Roman" w:eastAsia="宋体" w:cs="Times New Roman"/>
                <w:sz w:val="24"/>
              </w:rPr>
              <w:t>为完全失效（0%）。因此</w:t>
            </w:r>
            <w:r>
              <w:rPr>
                <w:rFonts w:hint="eastAsia" w:ascii="Times New Roman" w:hAnsi="Times New Roman" w:eastAsia="宋体" w:cs="Times New Roman"/>
                <w:sz w:val="24"/>
              </w:rPr>
              <w:t>，</w:t>
            </w:r>
            <w:r>
              <w:rPr>
                <w:rFonts w:ascii="Times New Roman" w:hAnsi="Times New Roman" w:eastAsia="宋体" w:cs="Times New Roman"/>
                <w:sz w:val="24"/>
              </w:rPr>
              <w:t>本次评价按最不利原则，以系统中主要治理单元故障导致整体处理效率下降进行核算</w:t>
            </w:r>
            <w:r>
              <w:rPr>
                <w:rFonts w:hint="eastAsia" w:ascii="Times New Roman" w:hAnsi="Times New Roman" w:eastAsia="宋体" w:cs="Times New Roman"/>
                <w:sz w:val="24"/>
              </w:rPr>
              <w:t>，</w:t>
            </w:r>
            <w:r>
              <w:rPr>
                <w:rFonts w:hint="eastAsia" w:ascii="Times New Roman" w:eastAsia="宋体"/>
                <w:color w:val="000000" w:themeColor="text1"/>
                <w:sz w:val="24"/>
                <w:szCs w:val="20"/>
                <w14:textFill>
                  <w14:solidFill>
                    <w14:schemeClr w14:val="tx1"/>
                  </w14:solidFill>
                </w14:textFill>
              </w:rPr>
              <w:t>本项目非正常工况时废气的排放情况见表4-25。</w:t>
            </w:r>
          </w:p>
          <w:p w14:paraId="198E6BDB">
            <w:pPr>
              <w:wordWrap w:val="0"/>
              <w:topLinePunct/>
              <w:spacing w:line="360" w:lineRule="auto"/>
              <w:jc w:val="center"/>
              <w:rPr>
                <w:rFonts w:ascii="Times New Roman" w:hAnsi="Times New Roman" w:eastAsia="宋体" w:cs="Times New Roman"/>
                <w:b/>
                <w:bCs/>
                <w:sz w:val="24"/>
                <w:lang w:val="zh-CN"/>
              </w:rPr>
            </w:pPr>
            <w:r>
              <w:rPr>
                <w:rFonts w:hint="eastAsia" w:ascii="Times New Roman" w:hAnsi="Times New Roman" w:eastAsia="宋体" w:cs="Times New Roman"/>
                <w:b/>
                <w:bCs/>
                <w:sz w:val="24"/>
              </w:rPr>
              <w:t xml:space="preserve">   </w:t>
            </w:r>
            <w:r>
              <w:rPr>
                <w:rFonts w:ascii="Times New Roman" w:hAnsi="Times New Roman" w:eastAsia="宋体" w:cs="Times New Roman"/>
                <w:b/>
                <w:bCs/>
                <w:sz w:val="24"/>
                <w:lang w:val="zh-CN"/>
              </w:rPr>
              <w:t>表</w:t>
            </w:r>
            <w:r>
              <w:rPr>
                <w:rFonts w:hint="eastAsia" w:ascii="Times New Roman" w:hAnsi="Times New Roman" w:eastAsia="宋体" w:cs="Times New Roman"/>
                <w:b/>
                <w:bCs/>
                <w:sz w:val="24"/>
              </w:rPr>
              <w:t xml:space="preserve">4-25  </w:t>
            </w:r>
            <w:r>
              <w:rPr>
                <w:rFonts w:ascii="Times New Roman" w:hAnsi="Times New Roman" w:eastAsia="宋体" w:cs="Times New Roman"/>
                <w:b/>
                <w:bCs/>
                <w:sz w:val="24"/>
                <w:lang w:val="zh-CN"/>
              </w:rPr>
              <w:t>非正常工况下大气污染物排放情况表</w:t>
            </w:r>
          </w:p>
          <w:tbl>
            <w:tblPr>
              <w:tblStyle w:val="76"/>
              <w:tblW w:w="809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7"/>
              <w:gridCol w:w="513"/>
              <w:gridCol w:w="826"/>
              <w:gridCol w:w="727"/>
              <w:gridCol w:w="645"/>
              <w:gridCol w:w="799"/>
              <w:gridCol w:w="780"/>
              <w:gridCol w:w="802"/>
              <w:gridCol w:w="625"/>
              <w:gridCol w:w="1141"/>
            </w:tblGrid>
            <w:tr w14:paraId="50C53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1" w:hRule="atLeast"/>
                <w:jc w:val="center"/>
              </w:trPr>
              <w:tc>
                <w:tcPr>
                  <w:tcW w:w="1237" w:type="dxa"/>
                  <w:tcBorders>
                    <w:tl2br w:val="nil"/>
                    <w:tr2bl w:val="nil"/>
                  </w:tcBorders>
                  <w:vAlign w:val="center"/>
                </w:tcPr>
                <w:p w14:paraId="07CC5EDE">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排放口</w:t>
                  </w:r>
                </w:p>
              </w:tc>
              <w:tc>
                <w:tcPr>
                  <w:tcW w:w="513" w:type="dxa"/>
                  <w:tcBorders>
                    <w:tl2br w:val="nil"/>
                    <w:tr2bl w:val="nil"/>
                  </w:tcBorders>
                  <w:vAlign w:val="center"/>
                </w:tcPr>
                <w:p w14:paraId="466027DD">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污染物</w:t>
                  </w:r>
                </w:p>
              </w:tc>
              <w:tc>
                <w:tcPr>
                  <w:tcW w:w="826" w:type="dxa"/>
                  <w:tcBorders>
                    <w:tl2br w:val="nil"/>
                    <w:tr2bl w:val="nil"/>
                  </w:tcBorders>
                  <w:vAlign w:val="center"/>
                </w:tcPr>
                <w:p w14:paraId="71E6327B">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非正常排放原因</w:t>
                  </w:r>
                </w:p>
              </w:tc>
              <w:tc>
                <w:tcPr>
                  <w:tcW w:w="727" w:type="dxa"/>
                  <w:tcBorders>
                    <w:tl2br w:val="nil"/>
                    <w:tr2bl w:val="nil"/>
                  </w:tcBorders>
                  <w:vAlign w:val="center"/>
                </w:tcPr>
                <w:p w14:paraId="272B99C9">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非正常排放浓度mg/m</w:t>
                  </w:r>
                  <w:r>
                    <w:rPr>
                      <w:rFonts w:ascii="Times New Roman" w:hAnsi="Times New Roman" w:eastAsia="宋体" w:cs="Times New Roman"/>
                      <w:b/>
                      <w:bCs/>
                      <w:color w:val="000000" w:themeColor="text1"/>
                      <w:szCs w:val="21"/>
                      <w:vertAlign w:val="superscript"/>
                      <w14:textFill>
                        <w14:solidFill>
                          <w14:schemeClr w14:val="tx1"/>
                        </w14:solidFill>
                      </w14:textFill>
                    </w:rPr>
                    <w:t>3</w:t>
                  </w:r>
                </w:p>
              </w:tc>
              <w:tc>
                <w:tcPr>
                  <w:tcW w:w="645" w:type="dxa"/>
                  <w:tcBorders>
                    <w:tl2br w:val="nil"/>
                    <w:tr2bl w:val="nil"/>
                  </w:tcBorders>
                  <w:vAlign w:val="center"/>
                </w:tcPr>
                <w:p w14:paraId="4EB78CA9">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标准 值mg/m</w:t>
                  </w:r>
                  <w:r>
                    <w:rPr>
                      <w:rFonts w:ascii="Times New Roman" w:hAnsi="Times New Roman" w:eastAsia="宋体" w:cs="Times New Roman"/>
                      <w:b/>
                      <w:bCs/>
                      <w:color w:val="000000" w:themeColor="text1"/>
                      <w:szCs w:val="21"/>
                      <w:vertAlign w:val="superscript"/>
                      <w14:textFill>
                        <w14:solidFill>
                          <w14:schemeClr w14:val="tx1"/>
                        </w14:solidFill>
                      </w14:textFill>
                    </w:rPr>
                    <w:t>3</w:t>
                  </w:r>
                </w:p>
              </w:tc>
              <w:tc>
                <w:tcPr>
                  <w:tcW w:w="799" w:type="dxa"/>
                  <w:tcBorders>
                    <w:tl2br w:val="nil"/>
                    <w:tr2bl w:val="nil"/>
                  </w:tcBorders>
                  <w:vAlign w:val="center"/>
                </w:tcPr>
                <w:p w14:paraId="729C04A9">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非正常排放速率</w:t>
                  </w:r>
                </w:p>
                <w:p w14:paraId="666BBC5B">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kg/h</w:t>
                  </w:r>
                </w:p>
              </w:tc>
              <w:tc>
                <w:tcPr>
                  <w:tcW w:w="780" w:type="dxa"/>
                  <w:tcBorders>
                    <w:tl2br w:val="nil"/>
                    <w:tr2bl w:val="nil"/>
                  </w:tcBorders>
                  <w:vAlign w:val="center"/>
                </w:tcPr>
                <w:p w14:paraId="4E25DDBA">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是否</w:t>
                  </w:r>
                </w:p>
                <w:p w14:paraId="1DB80D47">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超标</w:t>
                  </w:r>
                </w:p>
              </w:tc>
              <w:tc>
                <w:tcPr>
                  <w:tcW w:w="802" w:type="dxa"/>
                  <w:tcBorders>
                    <w:tl2br w:val="nil"/>
                    <w:tr2bl w:val="nil"/>
                  </w:tcBorders>
                  <w:vAlign w:val="center"/>
                </w:tcPr>
                <w:p w14:paraId="38E21511">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单次持</w:t>
                  </w:r>
                </w:p>
                <w:p w14:paraId="544EF076">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续时间</w:t>
                  </w:r>
                </w:p>
              </w:tc>
              <w:tc>
                <w:tcPr>
                  <w:tcW w:w="625" w:type="dxa"/>
                  <w:tcBorders>
                    <w:tl2br w:val="nil"/>
                    <w:tr2bl w:val="nil"/>
                  </w:tcBorders>
                  <w:vAlign w:val="center"/>
                </w:tcPr>
                <w:p w14:paraId="736BBD0D">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年发生频次</w:t>
                  </w:r>
                </w:p>
              </w:tc>
              <w:tc>
                <w:tcPr>
                  <w:tcW w:w="1141" w:type="dxa"/>
                  <w:tcBorders>
                    <w:tl2br w:val="nil"/>
                    <w:tr2bl w:val="nil"/>
                  </w:tcBorders>
                  <w:vAlign w:val="center"/>
                </w:tcPr>
                <w:p w14:paraId="074081EE">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应对措施</w:t>
                  </w:r>
                </w:p>
              </w:tc>
            </w:tr>
            <w:tr w14:paraId="3898C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jc w:val="center"/>
              </w:trPr>
              <w:tc>
                <w:tcPr>
                  <w:tcW w:w="1237" w:type="dxa"/>
                  <w:vMerge w:val="restart"/>
                  <w:tcBorders>
                    <w:tl2br w:val="nil"/>
                    <w:tr2bl w:val="nil"/>
                  </w:tcBorders>
                  <w:vAlign w:val="center"/>
                </w:tcPr>
                <w:p w14:paraId="380E6AE6">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烘干滚筒燃烧器燃油废气与烘干、筛分、热骨料仓粉尘混合废气排放口</w:t>
                  </w:r>
                </w:p>
                <w:p w14:paraId="1C27B8DF">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DA001</w:t>
                  </w:r>
                </w:p>
              </w:tc>
              <w:tc>
                <w:tcPr>
                  <w:tcW w:w="513" w:type="dxa"/>
                  <w:tcBorders>
                    <w:tl2br w:val="nil"/>
                    <w:tr2bl w:val="nil"/>
                  </w:tcBorders>
                  <w:vAlign w:val="center"/>
                </w:tcPr>
                <w:p w14:paraId="3AEC0925">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szCs w:val="21"/>
                    </w:rPr>
                    <w:t>颗粒物</w:t>
                  </w:r>
                </w:p>
              </w:tc>
              <w:tc>
                <w:tcPr>
                  <w:tcW w:w="826" w:type="dxa"/>
                  <w:vMerge w:val="restart"/>
                  <w:tcBorders>
                    <w:tl2br w:val="nil"/>
                    <w:tr2bl w:val="nil"/>
                  </w:tcBorders>
                  <w:vAlign w:val="center"/>
                </w:tcPr>
                <w:p w14:paraId="0C27AAE2">
                  <w:pPr>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宋体" w:cs="Times New Roman"/>
                      <w:color w:val="000000" w:themeColor="text1"/>
                      <w:szCs w:val="21"/>
                      <w14:textFill>
                        <w14:solidFill>
                          <w14:schemeClr w14:val="tx1"/>
                        </w14:solidFill>
                      </w14:textFill>
                    </w:rPr>
                    <w:t>蜗壳除尘+布袋除尘器故障或失效</w:t>
                  </w:r>
                  <w:r>
                    <w:rPr>
                      <w:rFonts w:hint="eastAsia" w:ascii="Times New Roman" w:hAnsi="Times New Roman" w:eastAsia="宋体" w:cs="Times New Roman"/>
                      <w:color w:val="000000" w:themeColor="text1"/>
                      <w:szCs w:val="21"/>
                      <w14:textFill>
                        <w14:solidFill>
                          <w14:schemeClr w14:val="tx1"/>
                        </w14:solidFill>
                      </w14:textFill>
                    </w:rPr>
                    <w:t>，此时，除尘效率记60%</w:t>
                  </w:r>
                </w:p>
              </w:tc>
              <w:tc>
                <w:tcPr>
                  <w:tcW w:w="727" w:type="dxa"/>
                  <w:tcBorders>
                    <w:tl2br w:val="nil"/>
                    <w:tr2bl w:val="nil"/>
                  </w:tcBorders>
                  <w:vAlign w:val="center"/>
                </w:tcPr>
                <w:p w14:paraId="68D35CC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251.2</w:t>
                  </w:r>
                </w:p>
              </w:tc>
              <w:tc>
                <w:tcPr>
                  <w:tcW w:w="645" w:type="dxa"/>
                  <w:tcBorders>
                    <w:tl2br w:val="nil"/>
                    <w:tr2bl w:val="nil"/>
                  </w:tcBorders>
                  <w:vAlign w:val="center"/>
                </w:tcPr>
                <w:p w14:paraId="0F9BB689">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120</w:t>
                  </w:r>
                </w:p>
              </w:tc>
              <w:tc>
                <w:tcPr>
                  <w:tcW w:w="799" w:type="dxa"/>
                  <w:tcBorders>
                    <w:tl2br w:val="nil"/>
                    <w:tr2bl w:val="nil"/>
                  </w:tcBorders>
                  <w:vAlign w:val="center"/>
                </w:tcPr>
                <w:p w14:paraId="63B650A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11.303</w:t>
                  </w:r>
                </w:p>
              </w:tc>
              <w:tc>
                <w:tcPr>
                  <w:tcW w:w="780" w:type="dxa"/>
                  <w:tcBorders>
                    <w:tl2br w:val="nil"/>
                    <w:tr2bl w:val="nil"/>
                  </w:tcBorders>
                  <w:vAlign w:val="center"/>
                </w:tcPr>
                <w:p w14:paraId="6440066E">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超标</w:t>
                  </w:r>
                </w:p>
              </w:tc>
              <w:tc>
                <w:tcPr>
                  <w:tcW w:w="802" w:type="dxa"/>
                  <w:vMerge w:val="restart"/>
                  <w:tcBorders>
                    <w:tl2br w:val="nil"/>
                    <w:tr2bl w:val="nil"/>
                  </w:tcBorders>
                  <w:vAlign w:val="center"/>
                </w:tcPr>
                <w:p w14:paraId="074390EB">
                  <w:pPr>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仿宋" w:cs="Times New Roman"/>
                      <w:szCs w:val="21"/>
                    </w:rPr>
                    <w:t>＜</w:t>
                  </w:r>
                  <w:r>
                    <w:rPr>
                      <w:rFonts w:ascii="Times New Roman" w:hAnsi="Times New Roman" w:eastAsia="宋体" w:cs="Times New Roman"/>
                      <w:color w:val="000000" w:themeColor="text1"/>
                      <w:szCs w:val="21"/>
                      <w14:textFill>
                        <w14:solidFill>
                          <w14:schemeClr w14:val="tx1"/>
                        </w14:solidFill>
                      </w14:textFill>
                    </w:rPr>
                    <w:t>1h</w:t>
                  </w:r>
                </w:p>
              </w:tc>
              <w:tc>
                <w:tcPr>
                  <w:tcW w:w="625" w:type="dxa"/>
                  <w:vMerge w:val="restart"/>
                  <w:tcBorders>
                    <w:tl2br w:val="nil"/>
                    <w:tr2bl w:val="nil"/>
                  </w:tcBorders>
                  <w:vAlign w:val="center"/>
                </w:tcPr>
                <w:p w14:paraId="461B2A83">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3</w:t>
                  </w:r>
                </w:p>
              </w:tc>
              <w:tc>
                <w:tcPr>
                  <w:tcW w:w="1141" w:type="dxa"/>
                  <w:vMerge w:val="restart"/>
                  <w:tcBorders>
                    <w:tl2br w:val="nil"/>
                    <w:tr2bl w:val="nil"/>
                  </w:tcBorders>
                  <w:vAlign w:val="center"/>
                </w:tcPr>
                <w:p w14:paraId="1B3AC4B3">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color w:val="000000" w:themeColor="text1"/>
                      <w:szCs w:val="21"/>
                      <w14:textFill>
                        <w14:solidFill>
                          <w14:schemeClr w14:val="tx1"/>
                        </w14:solidFill>
                      </w14:textFill>
                    </w:rPr>
                    <w:t>保障人员、设备安全的前提下，停机停产检修直至污染防治设施恢复正常效率；日常应加强废气处理设施的维护、检修与管理，并登记台账，重视隐患排查与整治。</w:t>
                  </w:r>
                </w:p>
              </w:tc>
            </w:tr>
            <w:tr w14:paraId="7F755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jc w:val="center"/>
              </w:trPr>
              <w:tc>
                <w:tcPr>
                  <w:tcW w:w="1237" w:type="dxa"/>
                  <w:vMerge w:val="continue"/>
                  <w:tcBorders>
                    <w:tl2br w:val="nil"/>
                    <w:tr2bl w:val="nil"/>
                  </w:tcBorders>
                  <w:vAlign w:val="center"/>
                </w:tcPr>
                <w:p w14:paraId="588D9DA2">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513" w:type="dxa"/>
                  <w:tcBorders>
                    <w:tl2br w:val="nil"/>
                    <w:tr2bl w:val="nil"/>
                  </w:tcBorders>
                  <w:vAlign w:val="center"/>
                </w:tcPr>
                <w:p w14:paraId="4BE5426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SO</w:t>
                  </w:r>
                  <w:r>
                    <w:rPr>
                      <w:rFonts w:hint="eastAsia" w:ascii="Times New Roman" w:hAnsi="Times New Roman" w:eastAsia="宋体" w:cs="Times New Roman"/>
                      <w:szCs w:val="21"/>
                      <w:vertAlign w:val="subscript"/>
                    </w:rPr>
                    <w:t>2</w:t>
                  </w:r>
                </w:p>
              </w:tc>
              <w:tc>
                <w:tcPr>
                  <w:tcW w:w="826" w:type="dxa"/>
                  <w:vMerge w:val="continue"/>
                  <w:tcBorders>
                    <w:tl2br w:val="nil"/>
                    <w:tr2bl w:val="nil"/>
                  </w:tcBorders>
                  <w:vAlign w:val="center"/>
                </w:tcPr>
                <w:p w14:paraId="3531D24C">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727" w:type="dxa"/>
                  <w:tcBorders>
                    <w:tl2br w:val="nil"/>
                    <w:tr2bl w:val="nil"/>
                  </w:tcBorders>
                  <w:vAlign w:val="center"/>
                </w:tcPr>
                <w:p w14:paraId="535D75C4">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1.08</w:t>
                  </w:r>
                </w:p>
              </w:tc>
              <w:tc>
                <w:tcPr>
                  <w:tcW w:w="645" w:type="dxa"/>
                  <w:tcBorders>
                    <w:tl2br w:val="nil"/>
                    <w:tr2bl w:val="nil"/>
                  </w:tcBorders>
                  <w:vAlign w:val="center"/>
                </w:tcPr>
                <w:p w14:paraId="437BB6F8">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550</w:t>
                  </w:r>
                </w:p>
              </w:tc>
              <w:tc>
                <w:tcPr>
                  <w:tcW w:w="799" w:type="dxa"/>
                  <w:tcBorders>
                    <w:tl2br w:val="nil"/>
                    <w:tr2bl w:val="nil"/>
                  </w:tcBorders>
                  <w:vAlign w:val="center"/>
                </w:tcPr>
                <w:p w14:paraId="7C272EF8">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0.002</w:t>
                  </w:r>
                </w:p>
              </w:tc>
              <w:tc>
                <w:tcPr>
                  <w:tcW w:w="780" w:type="dxa"/>
                  <w:tcBorders>
                    <w:tl2br w:val="nil"/>
                    <w:tr2bl w:val="nil"/>
                  </w:tcBorders>
                  <w:vAlign w:val="center"/>
                </w:tcPr>
                <w:p w14:paraId="0641C8FF">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不超标</w:t>
                  </w:r>
                </w:p>
              </w:tc>
              <w:tc>
                <w:tcPr>
                  <w:tcW w:w="802" w:type="dxa"/>
                  <w:vMerge w:val="continue"/>
                  <w:tcBorders>
                    <w:tl2br w:val="nil"/>
                    <w:tr2bl w:val="nil"/>
                  </w:tcBorders>
                  <w:vAlign w:val="center"/>
                </w:tcPr>
                <w:p w14:paraId="24C89D81">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625" w:type="dxa"/>
                  <w:vMerge w:val="continue"/>
                  <w:tcBorders>
                    <w:tl2br w:val="nil"/>
                    <w:tr2bl w:val="nil"/>
                  </w:tcBorders>
                  <w:vAlign w:val="center"/>
                </w:tcPr>
                <w:p w14:paraId="3F4F208D">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1141" w:type="dxa"/>
                  <w:vMerge w:val="continue"/>
                  <w:tcBorders>
                    <w:tl2br w:val="nil"/>
                    <w:tr2bl w:val="nil"/>
                  </w:tcBorders>
                  <w:vAlign w:val="center"/>
                </w:tcPr>
                <w:p w14:paraId="59A08E06">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r>
            <w:tr w14:paraId="7945E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1237" w:type="dxa"/>
                  <w:vMerge w:val="continue"/>
                  <w:tcBorders>
                    <w:tl2br w:val="nil"/>
                    <w:tr2bl w:val="nil"/>
                  </w:tcBorders>
                  <w:vAlign w:val="center"/>
                </w:tcPr>
                <w:p w14:paraId="547D2376">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513" w:type="dxa"/>
                  <w:tcBorders>
                    <w:tl2br w:val="nil"/>
                    <w:tr2bl w:val="nil"/>
                  </w:tcBorders>
                  <w:vAlign w:val="center"/>
                </w:tcPr>
                <w:p w14:paraId="5FC63FB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NO</w:t>
                  </w:r>
                  <w:r>
                    <w:rPr>
                      <w:rFonts w:hint="eastAsia" w:ascii="Times New Roman" w:hAnsi="Times New Roman" w:eastAsia="宋体" w:cs="Times New Roman"/>
                      <w:szCs w:val="21"/>
                      <w:vertAlign w:val="subscript"/>
                    </w:rPr>
                    <w:t>X</w:t>
                  </w:r>
                </w:p>
              </w:tc>
              <w:tc>
                <w:tcPr>
                  <w:tcW w:w="826" w:type="dxa"/>
                  <w:vMerge w:val="continue"/>
                  <w:tcBorders>
                    <w:tl2br w:val="nil"/>
                    <w:tr2bl w:val="nil"/>
                  </w:tcBorders>
                  <w:vAlign w:val="center"/>
                </w:tcPr>
                <w:p w14:paraId="5386D46D">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727" w:type="dxa"/>
                  <w:tcBorders>
                    <w:tl2br w:val="nil"/>
                    <w:tr2bl w:val="nil"/>
                  </w:tcBorders>
                  <w:vAlign w:val="center"/>
                </w:tcPr>
                <w:p w14:paraId="769032FC">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169.99</w:t>
                  </w:r>
                </w:p>
              </w:tc>
              <w:tc>
                <w:tcPr>
                  <w:tcW w:w="645" w:type="dxa"/>
                  <w:tcBorders>
                    <w:tl2br w:val="nil"/>
                    <w:tr2bl w:val="nil"/>
                  </w:tcBorders>
                  <w:vAlign w:val="center"/>
                </w:tcPr>
                <w:p w14:paraId="1500E223">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240</w:t>
                  </w:r>
                </w:p>
              </w:tc>
              <w:tc>
                <w:tcPr>
                  <w:tcW w:w="799" w:type="dxa"/>
                  <w:tcBorders>
                    <w:tl2br w:val="nil"/>
                    <w:tr2bl w:val="nil"/>
                  </w:tcBorders>
                  <w:vAlign w:val="center"/>
                </w:tcPr>
                <w:p w14:paraId="5DF02477">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0.316</w:t>
                  </w:r>
                </w:p>
              </w:tc>
              <w:tc>
                <w:tcPr>
                  <w:tcW w:w="780" w:type="dxa"/>
                  <w:tcBorders>
                    <w:tl2br w:val="nil"/>
                    <w:tr2bl w:val="nil"/>
                  </w:tcBorders>
                  <w:vAlign w:val="center"/>
                </w:tcPr>
                <w:p w14:paraId="60B3DB92">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不超标</w:t>
                  </w:r>
                </w:p>
              </w:tc>
              <w:tc>
                <w:tcPr>
                  <w:tcW w:w="802" w:type="dxa"/>
                  <w:vMerge w:val="continue"/>
                  <w:tcBorders>
                    <w:tl2br w:val="nil"/>
                    <w:tr2bl w:val="nil"/>
                  </w:tcBorders>
                  <w:vAlign w:val="center"/>
                </w:tcPr>
                <w:p w14:paraId="6EFB50EB">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625" w:type="dxa"/>
                  <w:vMerge w:val="continue"/>
                  <w:tcBorders>
                    <w:tl2br w:val="nil"/>
                    <w:tr2bl w:val="nil"/>
                  </w:tcBorders>
                  <w:vAlign w:val="center"/>
                </w:tcPr>
                <w:p w14:paraId="3A5C4241">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1141" w:type="dxa"/>
                  <w:vMerge w:val="continue"/>
                  <w:tcBorders>
                    <w:tl2br w:val="nil"/>
                    <w:tr2bl w:val="nil"/>
                  </w:tcBorders>
                  <w:vAlign w:val="center"/>
                </w:tcPr>
                <w:p w14:paraId="00668D43">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r>
            <w:tr w14:paraId="26B73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jc w:val="center"/>
              </w:trPr>
              <w:tc>
                <w:tcPr>
                  <w:tcW w:w="1237" w:type="dxa"/>
                  <w:vMerge w:val="restart"/>
                  <w:tcBorders>
                    <w:tl2br w:val="nil"/>
                    <w:tr2bl w:val="nil"/>
                  </w:tcBorders>
                  <w:vAlign w:val="center"/>
                </w:tcPr>
                <w:p w14:paraId="09E43B14">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搅拌粉尘，混合搅拌、成品出料，沥青储罐呼吸废气混合废气排放口</w:t>
                  </w:r>
                </w:p>
                <w:p w14:paraId="13BB35FA">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DA002</w:t>
                  </w:r>
                </w:p>
              </w:tc>
              <w:tc>
                <w:tcPr>
                  <w:tcW w:w="513" w:type="dxa"/>
                  <w:tcBorders>
                    <w:tl2br w:val="nil"/>
                    <w:tr2bl w:val="nil"/>
                  </w:tcBorders>
                  <w:vAlign w:val="center"/>
                </w:tcPr>
                <w:p w14:paraId="101264C8">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c>
                <w:tcPr>
                  <w:tcW w:w="826" w:type="dxa"/>
                  <w:vMerge w:val="restart"/>
                  <w:tcBorders>
                    <w:tl2br w:val="nil"/>
                    <w:tr2bl w:val="nil"/>
                  </w:tcBorders>
                  <w:vAlign w:val="center"/>
                </w:tcPr>
                <w:p w14:paraId="2CB0FF89">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p w14:paraId="1D47EB0F">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“洗涤塔+电捕焦油器+等离子光解净化除尘器+活性炭吸附”故障或失效，此时，处理效率记60%</w:t>
                  </w:r>
                </w:p>
              </w:tc>
              <w:tc>
                <w:tcPr>
                  <w:tcW w:w="727" w:type="dxa"/>
                  <w:tcBorders>
                    <w:tl2br w:val="nil"/>
                    <w:tr2bl w:val="nil"/>
                  </w:tcBorders>
                  <w:vAlign w:val="center"/>
                </w:tcPr>
                <w:p w14:paraId="6B117271">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42.7</w:t>
                  </w:r>
                </w:p>
              </w:tc>
              <w:tc>
                <w:tcPr>
                  <w:tcW w:w="645" w:type="dxa"/>
                  <w:tcBorders>
                    <w:tl2br w:val="nil"/>
                    <w:tr2bl w:val="nil"/>
                  </w:tcBorders>
                  <w:vAlign w:val="center"/>
                </w:tcPr>
                <w:p w14:paraId="17604AA5">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120</w:t>
                  </w:r>
                </w:p>
              </w:tc>
              <w:tc>
                <w:tcPr>
                  <w:tcW w:w="799" w:type="dxa"/>
                  <w:tcBorders>
                    <w:tl2br w:val="nil"/>
                    <w:tr2bl w:val="nil"/>
                  </w:tcBorders>
                  <w:vAlign w:val="center"/>
                </w:tcPr>
                <w:p w14:paraId="641C5D80">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0.932</w:t>
                  </w:r>
                </w:p>
              </w:tc>
              <w:tc>
                <w:tcPr>
                  <w:tcW w:w="780" w:type="dxa"/>
                  <w:tcBorders>
                    <w:tl2br w:val="nil"/>
                    <w:tr2bl w:val="nil"/>
                  </w:tcBorders>
                  <w:vAlign w:val="center"/>
                </w:tcPr>
                <w:p w14:paraId="2F3BF53B">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不超标</w:t>
                  </w:r>
                </w:p>
              </w:tc>
              <w:tc>
                <w:tcPr>
                  <w:tcW w:w="802" w:type="dxa"/>
                  <w:vMerge w:val="continue"/>
                  <w:tcBorders>
                    <w:tl2br w:val="nil"/>
                    <w:tr2bl w:val="nil"/>
                  </w:tcBorders>
                  <w:vAlign w:val="center"/>
                </w:tcPr>
                <w:p w14:paraId="2A3BAA55">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625" w:type="dxa"/>
                  <w:vMerge w:val="restart"/>
                  <w:tcBorders>
                    <w:tl2br w:val="nil"/>
                    <w:tr2bl w:val="nil"/>
                  </w:tcBorders>
                  <w:vAlign w:val="center"/>
                </w:tcPr>
                <w:p w14:paraId="4E0246CF">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w:t>
                  </w:r>
                </w:p>
              </w:tc>
              <w:tc>
                <w:tcPr>
                  <w:tcW w:w="1141" w:type="dxa"/>
                  <w:vMerge w:val="continue"/>
                  <w:tcBorders>
                    <w:tl2br w:val="nil"/>
                    <w:tr2bl w:val="nil"/>
                  </w:tcBorders>
                  <w:vAlign w:val="center"/>
                </w:tcPr>
                <w:p w14:paraId="48635B6D">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r>
            <w:tr w14:paraId="7DB0E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7" w:hRule="atLeast"/>
                <w:jc w:val="center"/>
              </w:trPr>
              <w:tc>
                <w:tcPr>
                  <w:tcW w:w="1237" w:type="dxa"/>
                  <w:vMerge w:val="continue"/>
                  <w:tcBorders>
                    <w:tl2br w:val="nil"/>
                    <w:tr2bl w:val="nil"/>
                  </w:tcBorders>
                  <w:vAlign w:val="center"/>
                </w:tcPr>
                <w:p w14:paraId="5CF1D6BB">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513" w:type="dxa"/>
                  <w:tcBorders>
                    <w:tl2br w:val="nil"/>
                    <w:tr2bl w:val="nil"/>
                  </w:tcBorders>
                  <w:vAlign w:val="center"/>
                </w:tcPr>
                <w:p w14:paraId="44C7B3BA">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cs="Times New Roman"/>
                      <w:szCs w:val="21"/>
                    </w:rPr>
                    <w:t>沥青烟</w:t>
                  </w:r>
                </w:p>
              </w:tc>
              <w:tc>
                <w:tcPr>
                  <w:tcW w:w="826" w:type="dxa"/>
                  <w:vMerge w:val="continue"/>
                  <w:tcBorders>
                    <w:tl2br w:val="nil"/>
                    <w:tr2bl w:val="nil"/>
                  </w:tcBorders>
                  <w:vAlign w:val="center"/>
                </w:tcPr>
                <w:p w14:paraId="3C46C0B6">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727" w:type="dxa"/>
                  <w:tcBorders>
                    <w:tl2br w:val="nil"/>
                    <w:tr2bl w:val="nil"/>
                  </w:tcBorders>
                  <w:vAlign w:val="center"/>
                </w:tcPr>
                <w:p w14:paraId="015BCD4E">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7.37</w:t>
                  </w:r>
                </w:p>
              </w:tc>
              <w:tc>
                <w:tcPr>
                  <w:tcW w:w="645" w:type="dxa"/>
                  <w:tcBorders>
                    <w:tl2br w:val="nil"/>
                    <w:tr2bl w:val="nil"/>
                  </w:tcBorders>
                  <w:vAlign w:val="center"/>
                </w:tcPr>
                <w:p w14:paraId="39DFCBE1">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75</w:t>
                  </w:r>
                </w:p>
              </w:tc>
              <w:tc>
                <w:tcPr>
                  <w:tcW w:w="799" w:type="dxa"/>
                  <w:tcBorders>
                    <w:tl2br w:val="nil"/>
                    <w:tr2bl w:val="nil"/>
                  </w:tcBorders>
                  <w:vAlign w:val="center"/>
                </w:tcPr>
                <w:p w14:paraId="599D4676">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0.161</w:t>
                  </w:r>
                </w:p>
              </w:tc>
              <w:tc>
                <w:tcPr>
                  <w:tcW w:w="780" w:type="dxa"/>
                  <w:tcBorders>
                    <w:tl2br w:val="nil"/>
                    <w:tr2bl w:val="nil"/>
                  </w:tcBorders>
                  <w:vAlign w:val="center"/>
                </w:tcPr>
                <w:p w14:paraId="01A50C5D">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不超标</w:t>
                  </w:r>
                </w:p>
              </w:tc>
              <w:tc>
                <w:tcPr>
                  <w:tcW w:w="802" w:type="dxa"/>
                  <w:vMerge w:val="continue"/>
                  <w:tcBorders>
                    <w:tl2br w:val="nil"/>
                    <w:tr2bl w:val="nil"/>
                  </w:tcBorders>
                  <w:vAlign w:val="center"/>
                </w:tcPr>
                <w:p w14:paraId="33D80A0D">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625" w:type="dxa"/>
                  <w:vMerge w:val="continue"/>
                  <w:tcBorders>
                    <w:tl2br w:val="nil"/>
                    <w:tr2bl w:val="nil"/>
                  </w:tcBorders>
                  <w:vAlign w:val="center"/>
                </w:tcPr>
                <w:p w14:paraId="02066C65">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1141" w:type="dxa"/>
                  <w:vMerge w:val="continue"/>
                  <w:tcBorders>
                    <w:tl2br w:val="nil"/>
                    <w:tr2bl w:val="nil"/>
                  </w:tcBorders>
                  <w:vAlign w:val="center"/>
                </w:tcPr>
                <w:p w14:paraId="4B790B3C">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r>
            <w:tr w14:paraId="7F920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9" w:hRule="atLeast"/>
                <w:jc w:val="center"/>
              </w:trPr>
              <w:tc>
                <w:tcPr>
                  <w:tcW w:w="1237" w:type="dxa"/>
                  <w:vMerge w:val="continue"/>
                  <w:tcBorders>
                    <w:tl2br w:val="nil"/>
                    <w:tr2bl w:val="nil"/>
                  </w:tcBorders>
                  <w:vAlign w:val="center"/>
                </w:tcPr>
                <w:p w14:paraId="06F163B8">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513" w:type="dxa"/>
                  <w:tcBorders>
                    <w:tl2br w:val="nil"/>
                    <w:tr2bl w:val="nil"/>
                  </w:tcBorders>
                  <w:vAlign w:val="center"/>
                </w:tcPr>
                <w:p w14:paraId="758B3C1E">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cs="Times New Roman"/>
                      <w:szCs w:val="21"/>
                    </w:rPr>
                    <w:t>苯并[a]芘</w:t>
                  </w:r>
                </w:p>
              </w:tc>
              <w:tc>
                <w:tcPr>
                  <w:tcW w:w="826" w:type="dxa"/>
                  <w:vMerge w:val="continue"/>
                  <w:tcBorders>
                    <w:tl2br w:val="nil"/>
                    <w:tr2bl w:val="nil"/>
                  </w:tcBorders>
                  <w:vAlign w:val="center"/>
                </w:tcPr>
                <w:p w14:paraId="798E4687">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727" w:type="dxa"/>
                  <w:tcBorders>
                    <w:tl2br w:val="nil"/>
                    <w:tr2bl w:val="nil"/>
                  </w:tcBorders>
                  <w:vAlign w:val="center"/>
                </w:tcPr>
                <w:p w14:paraId="62349E27">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1.10×</w:t>
                  </w:r>
                </w:p>
                <w:p w14:paraId="17A43AC7">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szCs w:val="21"/>
                    </w:rPr>
                    <w:t>10</w:t>
                  </w:r>
                  <w:r>
                    <w:rPr>
                      <w:rFonts w:hint="eastAsia" w:ascii="Times New Roman" w:hAnsi="Times New Roman" w:eastAsia="宋体" w:cs="Times New Roman"/>
                      <w:szCs w:val="21"/>
                      <w:vertAlign w:val="superscript"/>
                    </w:rPr>
                    <w:t>-3</w:t>
                  </w:r>
                </w:p>
              </w:tc>
              <w:tc>
                <w:tcPr>
                  <w:tcW w:w="645" w:type="dxa"/>
                  <w:tcBorders>
                    <w:tl2br w:val="nil"/>
                    <w:tr2bl w:val="nil"/>
                  </w:tcBorders>
                  <w:vAlign w:val="center"/>
                </w:tcPr>
                <w:p w14:paraId="126F9A65">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szCs w:val="21"/>
                    </w:rPr>
                    <w:t>0.3×10</w:t>
                  </w:r>
                  <w:r>
                    <w:rPr>
                      <w:rFonts w:hint="eastAsia" w:ascii="Times New Roman" w:hAnsi="Times New Roman" w:eastAsia="宋体" w:cs="Times New Roman"/>
                      <w:szCs w:val="21"/>
                      <w:vertAlign w:val="superscript"/>
                    </w:rPr>
                    <w:t>-3</w:t>
                  </w:r>
                </w:p>
              </w:tc>
              <w:tc>
                <w:tcPr>
                  <w:tcW w:w="799" w:type="dxa"/>
                  <w:tcBorders>
                    <w:tl2br w:val="nil"/>
                    <w:tr2bl w:val="nil"/>
                  </w:tcBorders>
                  <w:vAlign w:val="center"/>
                </w:tcPr>
                <w:p w14:paraId="5E82CDB6">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2.41×</w:t>
                  </w:r>
                </w:p>
                <w:p w14:paraId="5B1AA1B9">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szCs w:val="21"/>
                    </w:rPr>
                    <w:t>10</w:t>
                  </w:r>
                  <w:r>
                    <w:rPr>
                      <w:rFonts w:hint="eastAsia" w:ascii="Times New Roman" w:hAnsi="Times New Roman" w:eastAsia="宋体" w:cs="Times New Roman"/>
                      <w:szCs w:val="21"/>
                      <w:vertAlign w:val="superscript"/>
                    </w:rPr>
                    <w:t>-5</w:t>
                  </w:r>
                </w:p>
              </w:tc>
              <w:tc>
                <w:tcPr>
                  <w:tcW w:w="780" w:type="dxa"/>
                  <w:tcBorders>
                    <w:tl2br w:val="nil"/>
                    <w:tr2bl w:val="nil"/>
                  </w:tcBorders>
                  <w:vAlign w:val="center"/>
                </w:tcPr>
                <w:p w14:paraId="27BB118C">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超标</w:t>
                  </w:r>
                </w:p>
              </w:tc>
              <w:tc>
                <w:tcPr>
                  <w:tcW w:w="802" w:type="dxa"/>
                  <w:vMerge w:val="continue"/>
                  <w:tcBorders>
                    <w:tl2br w:val="nil"/>
                    <w:tr2bl w:val="nil"/>
                  </w:tcBorders>
                  <w:vAlign w:val="center"/>
                </w:tcPr>
                <w:p w14:paraId="4E9CEB72">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625" w:type="dxa"/>
                  <w:vMerge w:val="continue"/>
                  <w:tcBorders>
                    <w:tl2br w:val="nil"/>
                    <w:tr2bl w:val="nil"/>
                  </w:tcBorders>
                  <w:vAlign w:val="center"/>
                </w:tcPr>
                <w:p w14:paraId="7501481B">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1141" w:type="dxa"/>
                  <w:vMerge w:val="continue"/>
                  <w:tcBorders>
                    <w:tl2br w:val="nil"/>
                    <w:tr2bl w:val="nil"/>
                  </w:tcBorders>
                  <w:vAlign w:val="center"/>
                </w:tcPr>
                <w:p w14:paraId="4D382FE4">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r>
            <w:tr w14:paraId="51183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jc w:val="center"/>
              </w:trPr>
              <w:tc>
                <w:tcPr>
                  <w:tcW w:w="1237" w:type="dxa"/>
                  <w:vMerge w:val="continue"/>
                  <w:tcBorders>
                    <w:tl2br w:val="nil"/>
                    <w:tr2bl w:val="nil"/>
                  </w:tcBorders>
                  <w:vAlign w:val="center"/>
                </w:tcPr>
                <w:p w14:paraId="2177DA3F">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513" w:type="dxa"/>
                  <w:tcBorders>
                    <w:tl2br w:val="nil"/>
                    <w:tr2bl w:val="nil"/>
                  </w:tcBorders>
                  <w:vAlign w:val="center"/>
                </w:tcPr>
                <w:p w14:paraId="0DFC5CA9">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cs="Times New Roman"/>
                      <w:szCs w:val="21"/>
                    </w:rPr>
                    <w:t>非甲烷总烃</w:t>
                  </w:r>
                </w:p>
              </w:tc>
              <w:tc>
                <w:tcPr>
                  <w:tcW w:w="826" w:type="dxa"/>
                  <w:vMerge w:val="continue"/>
                  <w:tcBorders>
                    <w:tl2br w:val="nil"/>
                    <w:tr2bl w:val="nil"/>
                  </w:tcBorders>
                  <w:vAlign w:val="center"/>
                </w:tcPr>
                <w:p w14:paraId="257B7498">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727" w:type="dxa"/>
                  <w:tcBorders>
                    <w:tl2br w:val="nil"/>
                    <w:tr2bl w:val="nil"/>
                  </w:tcBorders>
                  <w:vAlign w:val="center"/>
                </w:tcPr>
                <w:p w14:paraId="0C34C3B6">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27.8</w:t>
                  </w:r>
                </w:p>
              </w:tc>
              <w:tc>
                <w:tcPr>
                  <w:tcW w:w="645" w:type="dxa"/>
                  <w:tcBorders>
                    <w:tl2br w:val="nil"/>
                    <w:tr2bl w:val="nil"/>
                  </w:tcBorders>
                  <w:vAlign w:val="center"/>
                </w:tcPr>
                <w:p w14:paraId="5F44E473">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120</w:t>
                  </w:r>
                </w:p>
              </w:tc>
              <w:tc>
                <w:tcPr>
                  <w:tcW w:w="799" w:type="dxa"/>
                  <w:tcBorders>
                    <w:tl2br w:val="nil"/>
                    <w:tr2bl w:val="nil"/>
                  </w:tcBorders>
                  <w:vAlign w:val="center"/>
                </w:tcPr>
                <w:p w14:paraId="70FCE69E">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0.607</w:t>
                  </w:r>
                </w:p>
              </w:tc>
              <w:tc>
                <w:tcPr>
                  <w:tcW w:w="780" w:type="dxa"/>
                  <w:tcBorders>
                    <w:tl2br w:val="nil"/>
                    <w:tr2bl w:val="nil"/>
                  </w:tcBorders>
                  <w:vAlign w:val="center"/>
                </w:tcPr>
                <w:p w14:paraId="3128293F">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不超标</w:t>
                  </w:r>
                </w:p>
              </w:tc>
              <w:tc>
                <w:tcPr>
                  <w:tcW w:w="802" w:type="dxa"/>
                  <w:vMerge w:val="continue"/>
                  <w:tcBorders>
                    <w:tl2br w:val="nil"/>
                    <w:tr2bl w:val="nil"/>
                  </w:tcBorders>
                  <w:vAlign w:val="center"/>
                </w:tcPr>
                <w:p w14:paraId="6CC31473">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625" w:type="dxa"/>
                  <w:vMerge w:val="continue"/>
                  <w:tcBorders>
                    <w:tl2br w:val="nil"/>
                    <w:tr2bl w:val="nil"/>
                  </w:tcBorders>
                  <w:vAlign w:val="center"/>
                </w:tcPr>
                <w:p w14:paraId="12F47352">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1141" w:type="dxa"/>
                  <w:vMerge w:val="continue"/>
                  <w:tcBorders>
                    <w:tl2br w:val="nil"/>
                    <w:tr2bl w:val="nil"/>
                  </w:tcBorders>
                  <w:vAlign w:val="center"/>
                </w:tcPr>
                <w:p w14:paraId="46F8C7DC">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r>
            <w:tr w14:paraId="7F302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jc w:val="center"/>
              </w:trPr>
              <w:tc>
                <w:tcPr>
                  <w:tcW w:w="8095" w:type="dxa"/>
                  <w:gridSpan w:val="10"/>
                  <w:tcBorders>
                    <w:tl2br w:val="nil"/>
                    <w:tr2bl w:val="nil"/>
                  </w:tcBorders>
                  <w:vAlign w:val="center"/>
                </w:tcPr>
                <w:p w14:paraId="27FCB505">
                  <w:pPr>
                    <w:adjustRightInd w:val="0"/>
                    <w:spacing w:line="240" w:lineRule="exact"/>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注1:由于DA001、DA002废气处理装置均为多单元串联组合工艺，在判定其非正常工况时，无法将整套处理系统的效率假定为完全失效（0%）。</w:t>
                  </w:r>
                </w:p>
                <w:p w14:paraId="24B93AAA">
                  <w:pPr>
                    <w:adjustRightInd w:val="0"/>
                    <w:spacing w:line="240" w:lineRule="exact"/>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注2: DA003乳化沥青生产线全年运行时间仅为50h，生产时间极短，非正常工况发生的概率较低且持续时长较短。即使在该工况下末端活性炭吸附装置完全失效，因其较短的运行时间导致的非正常工况污染物排放总量也较小。因此，不分析其非正常工况。</w:t>
                  </w:r>
                </w:p>
                <w:p w14:paraId="710C47EC">
                  <w:pPr>
                    <w:adjustRightInd w:val="0"/>
                    <w:spacing w:line="240" w:lineRule="exact"/>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注3:DA004有机热载体炉以轻质柴油为燃料。根据前述分析及源强计算，在不考虑任何末端削减、废气直接排放的情况下，其污染物排放浓度仍低于《锅炉大气污染物排放标准》（GB13271-2014）的排放限值要求。因此，不分析其非正常工况。</w:t>
                  </w:r>
                </w:p>
              </w:tc>
            </w:tr>
          </w:tbl>
          <w:p w14:paraId="74CD7A72">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2.5自行</w:t>
            </w:r>
            <w:r>
              <w:rPr>
                <w:rFonts w:ascii="Times New Roman" w:hAnsi="Times New Roman" w:eastAsia="宋体" w:cs="Times New Roman"/>
                <w:b/>
                <w:bCs/>
                <w:sz w:val="24"/>
              </w:rPr>
              <w:t>监测计划</w:t>
            </w:r>
          </w:p>
          <w:p w14:paraId="09DF6F1D">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根据《排污许可证申请与核发技术规范 石墨及其他非金属矿物制品制造》（HJ119-2020）、《排污许可证申请与核发技术规范 工业窑炉》（HJ1121-2020）</w:t>
            </w:r>
            <w:r>
              <w:rPr>
                <w:rFonts w:hint="eastAsia" w:ascii="Times New Roman" w:hAnsi="Times New Roman" w:eastAsia="宋体" w:cs="Times New Roman"/>
                <w:sz w:val="24"/>
              </w:rPr>
              <w:t>、</w:t>
            </w:r>
            <w:r>
              <w:rPr>
                <w:rFonts w:ascii="Times New Roman" w:hAnsi="Times New Roman" w:eastAsia="宋体" w:cs="Times New Roman"/>
                <w:sz w:val="24"/>
              </w:rPr>
              <w:t>《排污单位自行监测技术指南 总则》（HJ819-2017）及《排污单位自行监测技术指南 火力发电及锅炉》（HJ820-2017）要求，确定本项目废气监测计划，监测计划见下表。</w:t>
            </w:r>
          </w:p>
          <w:p w14:paraId="5BB65D36">
            <w:pPr>
              <w:wordWrap w:val="0"/>
              <w:topLinePunct/>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 xml:space="preserve">    </w:t>
            </w:r>
            <w:r>
              <w:rPr>
                <w:rFonts w:ascii="Times New Roman" w:hAnsi="Times New Roman" w:eastAsia="宋体" w:cs="Times New Roman"/>
                <w:b/>
                <w:bCs/>
                <w:sz w:val="24"/>
              </w:rPr>
              <w:t>表</w:t>
            </w:r>
            <w:r>
              <w:rPr>
                <w:rFonts w:hint="eastAsia" w:ascii="Times New Roman" w:hAnsi="Times New Roman" w:eastAsia="宋体" w:cs="Times New Roman"/>
                <w:b/>
                <w:bCs/>
                <w:sz w:val="24"/>
              </w:rPr>
              <w:t xml:space="preserve">4-26 </w:t>
            </w:r>
            <w:r>
              <w:rPr>
                <w:rFonts w:ascii="Times New Roman" w:hAnsi="Times New Roman" w:eastAsia="宋体" w:cs="Times New Roman"/>
                <w:b/>
                <w:bCs/>
                <w:sz w:val="24"/>
              </w:rPr>
              <w:t xml:space="preserve"> 大气污染源监测计划一览表</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400"/>
              <w:gridCol w:w="1527"/>
              <w:gridCol w:w="1128"/>
              <w:gridCol w:w="3145"/>
            </w:tblGrid>
            <w:tr w14:paraId="4EE9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1" w:type="pct"/>
                  <w:tcBorders>
                    <w:tl2br w:val="nil"/>
                    <w:tr2bl w:val="nil"/>
                  </w:tcBorders>
                  <w:vAlign w:val="center"/>
                </w:tcPr>
                <w:p w14:paraId="7E22CADD">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排放</w:t>
                  </w:r>
                </w:p>
                <w:p w14:paraId="17CD6FDB">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类型</w:t>
                  </w:r>
                </w:p>
              </w:tc>
              <w:tc>
                <w:tcPr>
                  <w:tcW w:w="868" w:type="pct"/>
                  <w:tcBorders>
                    <w:tl2br w:val="nil"/>
                    <w:tr2bl w:val="nil"/>
                  </w:tcBorders>
                  <w:vAlign w:val="center"/>
                </w:tcPr>
                <w:p w14:paraId="3F48E9DE">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监测因子</w:t>
                  </w:r>
                </w:p>
              </w:tc>
              <w:tc>
                <w:tcPr>
                  <w:tcW w:w="947" w:type="pct"/>
                  <w:tcBorders>
                    <w:tl2br w:val="nil"/>
                    <w:tr2bl w:val="nil"/>
                  </w:tcBorders>
                  <w:vAlign w:val="center"/>
                </w:tcPr>
                <w:p w14:paraId="6B40C429">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监测点位</w:t>
                  </w:r>
                </w:p>
              </w:tc>
              <w:tc>
                <w:tcPr>
                  <w:tcW w:w="700" w:type="pct"/>
                  <w:tcBorders>
                    <w:tl2br w:val="nil"/>
                    <w:tr2bl w:val="nil"/>
                  </w:tcBorders>
                  <w:vAlign w:val="center"/>
                </w:tcPr>
                <w:p w14:paraId="2EB242EB">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监测</w:t>
                  </w:r>
                </w:p>
                <w:p w14:paraId="07BE0C1D">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频率</w:t>
                  </w:r>
                </w:p>
              </w:tc>
              <w:tc>
                <w:tcPr>
                  <w:tcW w:w="1951" w:type="pct"/>
                  <w:tcBorders>
                    <w:tl2br w:val="nil"/>
                    <w:tr2bl w:val="nil"/>
                  </w:tcBorders>
                  <w:vAlign w:val="center"/>
                </w:tcPr>
                <w:p w14:paraId="20E366BD">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排放标准</w:t>
                  </w:r>
                </w:p>
              </w:tc>
            </w:tr>
            <w:tr w14:paraId="3A262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531" w:type="pct"/>
                  <w:vMerge w:val="restart"/>
                  <w:tcBorders>
                    <w:tl2br w:val="nil"/>
                    <w:tr2bl w:val="nil"/>
                  </w:tcBorders>
                  <w:vAlign w:val="center"/>
                </w:tcPr>
                <w:p w14:paraId="62BB6616">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无组织排放</w:t>
                  </w:r>
                </w:p>
              </w:tc>
              <w:tc>
                <w:tcPr>
                  <w:tcW w:w="868" w:type="pct"/>
                  <w:tcBorders>
                    <w:bottom w:val="single" w:color="000000" w:sz="4" w:space="0"/>
                    <w:tl2br w:val="nil"/>
                    <w:tr2bl w:val="nil"/>
                  </w:tcBorders>
                  <w:vAlign w:val="center"/>
                </w:tcPr>
                <w:p w14:paraId="4A48483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r>
                    <w:rPr>
                      <w:rFonts w:hint="eastAsia" w:ascii="Times New Roman" w:hAnsi="Times New Roman" w:cs="Times New Roman"/>
                      <w:szCs w:val="21"/>
                    </w:rPr>
                    <w:t>沥青烟、</w:t>
                  </w:r>
                  <w:r>
                    <w:rPr>
                      <w:rFonts w:ascii="Times New Roman" w:hAnsi="Times New Roman" w:cs="Times New Roman"/>
                      <w:szCs w:val="21"/>
                    </w:rPr>
                    <w:t>苯并[a]芘</w:t>
                  </w:r>
                  <w:r>
                    <w:rPr>
                      <w:rFonts w:hint="eastAsia" w:ascii="Times New Roman" w:hAnsi="Times New Roman" w:cs="Times New Roman"/>
                      <w:szCs w:val="21"/>
                    </w:rPr>
                    <w:t>、非甲烷总烃</w:t>
                  </w:r>
                </w:p>
              </w:tc>
              <w:tc>
                <w:tcPr>
                  <w:tcW w:w="947" w:type="pct"/>
                  <w:tcBorders>
                    <w:bottom w:val="single" w:color="000000" w:sz="4" w:space="0"/>
                    <w:tl2br w:val="nil"/>
                    <w:tr2bl w:val="nil"/>
                  </w:tcBorders>
                  <w:vAlign w:val="center"/>
                </w:tcPr>
                <w:p w14:paraId="520720E0">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厂界外上风向设1个参照点、下风向设2-4个监控点</w:t>
                  </w:r>
                </w:p>
              </w:tc>
              <w:tc>
                <w:tcPr>
                  <w:tcW w:w="700" w:type="pct"/>
                  <w:tcBorders>
                    <w:bottom w:val="single" w:color="000000" w:sz="4" w:space="0"/>
                    <w:tl2br w:val="nil"/>
                    <w:tr2bl w:val="nil"/>
                  </w:tcBorders>
                  <w:vAlign w:val="center"/>
                </w:tcPr>
                <w:p w14:paraId="7685025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1次/年</w:t>
                  </w:r>
                </w:p>
              </w:tc>
              <w:tc>
                <w:tcPr>
                  <w:tcW w:w="1951" w:type="pct"/>
                  <w:tcBorders>
                    <w:bottom w:val="single" w:color="000000" w:sz="4" w:space="0"/>
                    <w:tl2br w:val="nil"/>
                    <w:tr2bl w:val="nil"/>
                  </w:tcBorders>
                  <w:vAlign w:val="center"/>
                </w:tcPr>
                <w:p w14:paraId="67B8DDE9">
                  <w:pPr>
                    <w:wordWrap w:val="0"/>
                    <w:topLinePunct/>
                    <w:jc w:val="center"/>
                    <w:rPr>
                      <w:rFonts w:ascii="Times New Roman" w:hAnsi="Times New Roman" w:eastAsia="仿宋" w:cs="Times New Roman"/>
                      <w:color w:val="000000"/>
                      <w:szCs w:val="21"/>
                    </w:rPr>
                  </w:pPr>
                  <w:r>
                    <w:rPr>
                      <w:rFonts w:hint="eastAsia" w:ascii="Times New Roman" w:hAnsi="Times New Roman" w:eastAsia="宋体" w:cs="Times New Roman"/>
                      <w:szCs w:val="21"/>
                    </w:rPr>
                    <w:t>《大气污染物综合排放标准》(GB16297-1996)中表2新污染源大气污染物排放限值-无组织排放监控浓度限值。</w:t>
                  </w:r>
                </w:p>
              </w:tc>
            </w:tr>
            <w:tr w14:paraId="0D7A6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531" w:type="pct"/>
                  <w:vMerge w:val="continue"/>
                  <w:tcBorders>
                    <w:tl2br w:val="nil"/>
                    <w:tr2bl w:val="nil"/>
                  </w:tcBorders>
                  <w:vAlign w:val="center"/>
                </w:tcPr>
                <w:p w14:paraId="64B173BF">
                  <w:pPr>
                    <w:adjustRightInd w:val="0"/>
                    <w:spacing w:line="240" w:lineRule="exact"/>
                    <w:jc w:val="center"/>
                    <w:textAlignment w:val="baseline"/>
                    <w:rPr>
                      <w:rFonts w:ascii="Times New Roman" w:hAnsi="Times New Roman" w:eastAsia="宋体" w:cs="Times New Roman"/>
                      <w:szCs w:val="21"/>
                    </w:rPr>
                  </w:pPr>
                </w:p>
              </w:tc>
              <w:tc>
                <w:tcPr>
                  <w:tcW w:w="868" w:type="pct"/>
                  <w:tcBorders>
                    <w:top w:val="single" w:color="000000" w:sz="4" w:space="0"/>
                    <w:tl2br w:val="nil"/>
                    <w:tr2bl w:val="nil"/>
                  </w:tcBorders>
                  <w:vAlign w:val="center"/>
                </w:tcPr>
                <w:p w14:paraId="06B2521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非甲烷总烃</w:t>
                  </w:r>
                </w:p>
              </w:tc>
              <w:tc>
                <w:tcPr>
                  <w:tcW w:w="947" w:type="pct"/>
                  <w:tcBorders>
                    <w:top w:val="single" w:color="000000" w:sz="4" w:space="0"/>
                    <w:tl2br w:val="nil"/>
                    <w:tr2bl w:val="nil"/>
                  </w:tcBorders>
                  <w:vAlign w:val="center"/>
                </w:tcPr>
                <w:p w14:paraId="0202E3F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在厂房外设置监控点（厂区内）</w:t>
                  </w:r>
                </w:p>
              </w:tc>
              <w:tc>
                <w:tcPr>
                  <w:tcW w:w="700" w:type="pct"/>
                  <w:tcBorders>
                    <w:top w:val="single" w:color="000000" w:sz="4" w:space="0"/>
                    <w:tl2br w:val="nil"/>
                    <w:tr2bl w:val="nil"/>
                  </w:tcBorders>
                  <w:vAlign w:val="center"/>
                </w:tcPr>
                <w:p w14:paraId="43F03E64">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1次/季度</w:t>
                  </w:r>
                </w:p>
              </w:tc>
              <w:tc>
                <w:tcPr>
                  <w:tcW w:w="1951" w:type="pct"/>
                  <w:tcBorders>
                    <w:top w:val="single" w:color="000000" w:sz="4" w:space="0"/>
                    <w:tl2br w:val="nil"/>
                    <w:tr2bl w:val="nil"/>
                  </w:tcBorders>
                  <w:vAlign w:val="center"/>
                </w:tcPr>
                <w:p w14:paraId="72965CFE">
                  <w:pPr>
                    <w:wordWrap w:val="0"/>
                    <w:topLinePunct/>
                    <w:jc w:val="center"/>
                    <w:rPr>
                      <w:rFonts w:ascii="Times New Roman" w:hAnsi="Times New Roman" w:eastAsia="宋体" w:cs="Times New Roman"/>
                      <w:color w:val="FF0000"/>
                      <w:szCs w:val="21"/>
                      <w:highlight w:val="yellow"/>
                    </w:rPr>
                  </w:pPr>
                  <w:r>
                    <w:rPr>
                      <w:rFonts w:hint="eastAsia" w:ascii="Times New Roman" w:hAnsi="Times New Roman" w:eastAsia="宋体" w:cs="Times New Roman"/>
                      <w:color w:val="000000" w:themeColor="text1"/>
                      <w:szCs w:val="21"/>
                      <w14:textFill>
                        <w14:solidFill>
                          <w14:schemeClr w14:val="tx1"/>
                        </w14:solidFill>
                      </w14:textFill>
                    </w:rPr>
                    <w:t>《挥发性有机物无组织排放控制标准》（GB37822-2019）</w:t>
                  </w:r>
                </w:p>
              </w:tc>
            </w:tr>
            <w:tr w14:paraId="2C1F2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1" w:type="pct"/>
                  <w:vMerge w:val="restart"/>
                  <w:tcBorders>
                    <w:tl2br w:val="nil"/>
                    <w:tr2bl w:val="nil"/>
                  </w:tcBorders>
                  <w:vAlign w:val="center"/>
                </w:tcPr>
                <w:p w14:paraId="2B7CAEB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有组织排放</w:t>
                  </w:r>
                </w:p>
              </w:tc>
              <w:tc>
                <w:tcPr>
                  <w:tcW w:w="868" w:type="pct"/>
                  <w:tcBorders>
                    <w:tl2br w:val="nil"/>
                    <w:tr2bl w:val="nil"/>
                  </w:tcBorders>
                  <w:vAlign w:val="center"/>
                </w:tcPr>
                <w:p w14:paraId="69480F1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颗粒物、SO</w:t>
                  </w:r>
                  <w:r>
                    <w:rPr>
                      <w:rFonts w:hint="eastAsia" w:ascii="Times New Roman" w:hAnsi="Times New Roman" w:eastAsia="宋体" w:cs="Times New Roman"/>
                      <w:szCs w:val="21"/>
                      <w:vertAlign w:val="subscript"/>
                    </w:rPr>
                    <w:t>2</w:t>
                  </w:r>
                  <w:r>
                    <w:rPr>
                      <w:rFonts w:hint="eastAsia" w:ascii="Times New Roman" w:hAnsi="Times New Roman" w:eastAsia="宋体" w:cs="Times New Roman"/>
                      <w:szCs w:val="21"/>
                    </w:rPr>
                    <w:t>、NO</w:t>
                  </w:r>
                  <w:r>
                    <w:rPr>
                      <w:rFonts w:hint="eastAsia" w:ascii="Times New Roman" w:hAnsi="Times New Roman" w:eastAsia="宋体" w:cs="Times New Roman"/>
                      <w:szCs w:val="21"/>
                      <w:vertAlign w:val="subscript"/>
                    </w:rPr>
                    <w:t>X</w:t>
                  </w:r>
                </w:p>
              </w:tc>
              <w:tc>
                <w:tcPr>
                  <w:tcW w:w="947" w:type="pct"/>
                  <w:tcBorders>
                    <w:tl2br w:val="nil"/>
                    <w:tr2bl w:val="nil"/>
                  </w:tcBorders>
                  <w:vAlign w:val="center"/>
                </w:tcPr>
                <w:p w14:paraId="0C784A1D">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烘干滚筒燃烧器燃油废气与烘干、筛分、热骨料仓粉尘混合废气</w:t>
                  </w:r>
                  <w:r>
                    <w:rPr>
                      <w:rFonts w:hint="eastAsia" w:ascii="Times New Roman" w:hAnsi="Times New Roman" w:eastAsia="宋体" w:cs="Times New Roman"/>
                      <w:szCs w:val="21"/>
                    </w:rPr>
                    <w:t>排放口</w:t>
                  </w:r>
                </w:p>
                <w:p w14:paraId="7DC0031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DA001</w:t>
                  </w:r>
                  <w:r>
                    <w:rPr>
                      <w:rFonts w:hint="eastAsia" w:ascii="Times New Roman" w:hAnsi="Times New Roman" w:eastAsia="宋体" w:cs="Times New Roman"/>
                      <w:szCs w:val="21"/>
                    </w:rPr>
                    <w:t>）</w:t>
                  </w:r>
                </w:p>
              </w:tc>
              <w:tc>
                <w:tcPr>
                  <w:tcW w:w="700" w:type="pct"/>
                  <w:tcBorders>
                    <w:tl2br w:val="nil"/>
                    <w:tr2bl w:val="nil"/>
                  </w:tcBorders>
                  <w:vAlign w:val="center"/>
                </w:tcPr>
                <w:p w14:paraId="4A42766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1次/半年</w:t>
                  </w:r>
                </w:p>
              </w:tc>
              <w:tc>
                <w:tcPr>
                  <w:tcW w:w="1951" w:type="pct"/>
                  <w:vMerge w:val="restart"/>
                  <w:tcBorders>
                    <w:tl2br w:val="nil"/>
                    <w:tr2bl w:val="nil"/>
                  </w:tcBorders>
                  <w:vAlign w:val="center"/>
                </w:tcPr>
                <w:p w14:paraId="72C5DF94">
                  <w:pPr>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《大气污染物综合排放标准》(GB16297-1996)中表2新污染源大气污染物排放限值</w:t>
                  </w:r>
                </w:p>
              </w:tc>
            </w:tr>
            <w:tr w14:paraId="2BF3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531" w:type="pct"/>
                  <w:vMerge w:val="continue"/>
                  <w:tcBorders>
                    <w:tl2br w:val="nil"/>
                    <w:tr2bl w:val="nil"/>
                  </w:tcBorders>
                  <w:vAlign w:val="center"/>
                </w:tcPr>
                <w:p w14:paraId="417BA4E0">
                  <w:pPr>
                    <w:adjustRightInd w:val="0"/>
                    <w:spacing w:line="240" w:lineRule="exact"/>
                    <w:jc w:val="center"/>
                    <w:textAlignment w:val="baseline"/>
                    <w:rPr>
                      <w:rFonts w:ascii="Times New Roman" w:hAnsi="Times New Roman" w:eastAsia="宋体" w:cs="Times New Roman"/>
                      <w:szCs w:val="21"/>
                    </w:rPr>
                  </w:pPr>
                </w:p>
              </w:tc>
              <w:tc>
                <w:tcPr>
                  <w:tcW w:w="868" w:type="pct"/>
                  <w:tcBorders>
                    <w:tl2br w:val="nil"/>
                    <w:tr2bl w:val="nil"/>
                  </w:tcBorders>
                  <w:vAlign w:val="center"/>
                </w:tcPr>
                <w:p w14:paraId="3F71027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颗粒物、</w:t>
                  </w:r>
                  <w:r>
                    <w:rPr>
                      <w:rFonts w:hint="eastAsia" w:ascii="Times New Roman" w:hAnsi="Times New Roman" w:cs="Times New Roman"/>
                      <w:szCs w:val="21"/>
                    </w:rPr>
                    <w:t>沥青烟、</w:t>
                  </w:r>
                  <w:r>
                    <w:rPr>
                      <w:rFonts w:ascii="Times New Roman" w:hAnsi="Times New Roman" w:cs="Times New Roman"/>
                      <w:szCs w:val="21"/>
                    </w:rPr>
                    <w:t>苯并[a]芘</w:t>
                  </w:r>
                  <w:r>
                    <w:rPr>
                      <w:rFonts w:hint="eastAsia" w:ascii="Times New Roman" w:hAnsi="Times New Roman" w:cs="Times New Roman"/>
                      <w:szCs w:val="21"/>
                    </w:rPr>
                    <w:t>、非甲烷总烃</w:t>
                  </w:r>
                </w:p>
              </w:tc>
              <w:tc>
                <w:tcPr>
                  <w:tcW w:w="947" w:type="pct"/>
                  <w:tcBorders>
                    <w:tl2br w:val="nil"/>
                    <w:tr2bl w:val="nil"/>
                  </w:tcBorders>
                  <w:vAlign w:val="center"/>
                </w:tcPr>
                <w:p w14:paraId="6D774D17">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搅拌粉尘，混合搅拌、成品出料，沥青储罐呼吸废气混合废气排放口</w:t>
                  </w:r>
                </w:p>
                <w:p w14:paraId="14D5535C">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DA002</w:t>
                  </w:r>
                  <w:r>
                    <w:rPr>
                      <w:rFonts w:hint="eastAsia" w:ascii="Times New Roman" w:hAnsi="Times New Roman" w:eastAsia="宋体" w:cs="Times New Roman"/>
                      <w:color w:val="000000" w:themeColor="text1"/>
                      <w:szCs w:val="21"/>
                      <w14:textFill>
                        <w14:solidFill>
                          <w14:schemeClr w14:val="tx1"/>
                        </w14:solidFill>
                      </w14:textFill>
                    </w:rPr>
                    <w:t>）</w:t>
                  </w:r>
                </w:p>
              </w:tc>
              <w:tc>
                <w:tcPr>
                  <w:tcW w:w="700" w:type="pct"/>
                  <w:tcBorders>
                    <w:tl2br w:val="nil"/>
                    <w:tr2bl w:val="nil"/>
                  </w:tcBorders>
                  <w:vAlign w:val="center"/>
                </w:tcPr>
                <w:p w14:paraId="56EBA86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1次/年</w:t>
                  </w:r>
                  <w:r>
                    <w:rPr>
                      <w:rFonts w:ascii="Times New Roman" w:hAnsi="Times New Roman" w:eastAsia="宋体" w:cs="Times New Roman"/>
                      <w:szCs w:val="21"/>
                    </w:rPr>
                    <w:t xml:space="preserve"> </w:t>
                  </w:r>
                </w:p>
              </w:tc>
              <w:tc>
                <w:tcPr>
                  <w:tcW w:w="1951" w:type="pct"/>
                  <w:vMerge w:val="continue"/>
                  <w:tcBorders>
                    <w:tl2br w:val="nil"/>
                    <w:tr2bl w:val="nil"/>
                  </w:tcBorders>
                  <w:vAlign w:val="center"/>
                </w:tcPr>
                <w:p w14:paraId="29A7F878">
                  <w:pPr>
                    <w:jc w:val="center"/>
                    <w:rPr>
                      <w:rFonts w:ascii="Times New Roman" w:hAnsi="Times New Roman" w:eastAsia="仿宋" w:cs="Times New Roman"/>
                      <w:color w:val="000000"/>
                      <w:szCs w:val="21"/>
                    </w:rPr>
                  </w:pPr>
                </w:p>
              </w:tc>
            </w:tr>
            <w:tr w14:paraId="23FC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531" w:type="pct"/>
                  <w:vMerge w:val="continue"/>
                  <w:tcBorders>
                    <w:tl2br w:val="nil"/>
                    <w:tr2bl w:val="nil"/>
                  </w:tcBorders>
                  <w:vAlign w:val="center"/>
                </w:tcPr>
                <w:p w14:paraId="4547EB42">
                  <w:pPr>
                    <w:adjustRightInd w:val="0"/>
                    <w:spacing w:line="240" w:lineRule="exact"/>
                    <w:jc w:val="center"/>
                    <w:textAlignment w:val="baseline"/>
                    <w:rPr>
                      <w:rFonts w:ascii="Times New Roman" w:hAnsi="Times New Roman" w:eastAsia="宋体" w:cs="Times New Roman"/>
                      <w:szCs w:val="21"/>
                    </w:rPr>
                  </w:pPr>
                </w:p>
              </w:tc>
              <w:tc>
                <w:tcPr>
                  <w:tcW w:w="868" w:type="pct"/>
                  <w:tcBorders>
                    <w:tl2br w:val="nil"/>
                    <w:tr2bl w:val="nil"/>
                  </w:tcBorders>
                  <w:vAlign w:val="center"/>
                </w:tcPr>
                <w:p w14:paraId="7319219C">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cs="Times New Roman"/>
                      <w:szCs w:val="21"/>
                    </w:rPr>
                    <w:t>沥青烟、</w:t>
                  </w:r>
                  <w:r>
                    <w:rPr>
                      <w:rFonts w:ascii="Times New Roman" w:hAnsi="Times New Roman" w:cs="Times New Roman"/>
                      <w:szCs w:val="21"/>
                    </w:rPr>
                    <w:t>苯并[a]芘</w:t>
                  </w:r>
                  <w:r>
                    <w:rPr>
                      <w:rFonts w:hint="eastAsia" w:ascii="Times New Roman" w:hAnsi="Times New Roman" w:cs="Times New Roman"/>
                      <w:szCs w:val="21"/>
                    </w:rPr>
                    <w:t>、非甲烷总烃</w:t>
                  </w:r>
                </w:p>
              </w:tc>
              <w:tc>
                <w:tcPr>
                  <w:tcW w:w="947" w:type="pct"/>
                  <w:tcBorders>
                    <w:tl2br w:val="nil"/>
                    <w:tr2bl w:val="nil"/>
                  </w:tcBorders>
                  <w:vAlign w:val="center"/>
                </w:tcPr>
                <w:p w14:paraId="262B4753">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乳化沥青出料、</w:t>
                  </w:r>
                  <w:r>
                    <w:rPr>
                      <w:rFonts w:hint="eastAsia" w:ascii="Times New Roman" w:hAnsi="Times New Roman" w:eastAsia="宋体" w:cs="Times New Roman"/>
                      <w:color w:val="000000"/>
                      <w:szCs w:val="21"/>
                    </w:rPr>
                    <w:t>胶磨废气排放口</w:t>
                  </w:r>
                </w:p>
                <w:p w14:paraId="655BF31F">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DA003</w:t>
                  </w:r>
                  <w:r>
                    <w:rPr>
                      <w:rFonts w:hint="eastAsia" w:ascii="Times New Roman" w:hAnsi="Times New Roman" w:eastAsia="宋体" w:cs="Times New Roman"/>
                      <w:color w:val="000000" w:themeColor="text1"/>
                      <w:szCs w:val="21"/>
                      <w14:textFill>
                        <w14:solidFill>
                          <w14:schemeClr w14:val="tx1"/>
                        </w14:solidFill>
                      </w14:textFill>
                    </w:rPr>
                    <w:t>）</w:t>
                  </w:r>
                </w:p>
              </w:tc>
              <w:tc>
                <w:tcPr>
                  <w:tcW w:w="700" w:type="pct"/>
                  <w:tcBorders>
                    <w:tl2br w:val="nil"/>
                    <w:tr2bl w:val="nil"/>
                  </w:tcBorders>
                  <w:vAlign w:val="center"/>
                </w:tcPr>
                <w:p w14:paraId="138AE067">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szCs w:val="21"/>
                    </w:rPr>
                    <w:t>1次/年</w:t>
                  </w:r>
                  <w:r>
                    <w:rPr>
                      <w:rFonts w:ascii="Times New Roman" w:hAnsi="Times New Roman" w:eastAsia="宋体" w:cs="Times New Roman"/>
                      <w:szCs w:val="21"/>
                    </w:rPr>
                    <w:t xml:space="preserve"> </w:t>
                  </w:r>
                </w:p>
              </w:tc>
              <w:tc>
                <w:tcPr>
                  <w:tcW w:w="1951" w:type="pct"/>
                  <w:vMerge w:val="continue"/>
                  <w:tcBorders>
                    <w:tl2br w:val="nil"/>
                    <w:tr2bl w:val="nil"/>
                  </w:tcBorders>
                  <w:vAlign w:val="center"/>
                </w:tcPr>
                <w:p w14:paraId="51CF97B9">
                  <w:pPr>
                    <w:jc w:val="center"/>
                    <w:rPr>
                      <w:rFonts w:ascii="Times New Roman" w:hAnsi="Times New Roman" w:eastAsia="仿宋" w:cs="Times New Roman"/>
                      <w:color w:val="000000"/>
                      <w:szCs w:val="21"/>
                    </w:rPr>
                  </w:pPr>
                </w:p>
              </w:tc>
            </w:tr>
            <w:tr w14:paraId="297B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531" w:type="pct"/>
                  <w:vMerge w:val="continue"/>
                  <w:tcBorders>
                    <w:tl2br w:val="nil"/>
                    <w:tr2bl w:val="nil"/>
                  </w:tcBorders>
                  <w:vAlign w:val="center"/>
                </w:tcPr>
                <w:p w14:paraId="27B76148">
                  <w:pPr>
                    <w:adjustRightInd w:val="0"/>
                    <w:spacing w:line="240" w:lineRule="exact"/>
                    <w:jc w:val="center"/>
                    <w:textAlignment w:val="baseline"/>
                    <w:rPr>
                      <w:rFonts w:ascii="Times New Roman" w:hAnsi="Times New Roman" w:eastAsia="宋体" w:cs="Times New Roman"/>
                      <w:szCs w:val="21"/>
                    </w:rPr>
                  </w:pPr>
                </w:p>
              </w:tc>
              <w:tc>
                <w:tcPr>
                  <w:tcW w:w="868" w:type="pct"/>
                  <w:tcBorders>
                    <w:tl2br w:val="nil"/>
                    <w:tr2bl w:val="nil"/>
                  </w:tcBorders>
                  <w:vAlign w:val="center"/>
                </w:tcPr>
                <w:p w14:paraId="411BCA71">
                  <w:pPr>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宋体" w:cs="Times New Roman"/>
                      <w:color w:val="FF0000"/>
                      <w:szCs w:val="21"/>
                    </w:rPr>
                    <w:t>颗粒物、二氧化硫 、氮氧化物</w:t>
                  </w:r>
                  <w:r>
                    <w:rPr>
                      <w:rFonts w:hint="eastAsia" w:ascii="Times New Roman" w:hAnsi="Times New Roman" w:eastAsia="宋体" w:cs="Times New Roman"/>
                      <w:color w:val="FF0000"/>
                      <w:szCs w:val="21"/>
                    </w:rPr>
                    <w:t>、林格曼黑度</w:t>
                  </w:r>
                </w:p>
              </w:tc>
              <w:tc>
                <w:tcPr>
                  <w:tcW w:w="947" w:type="pct"/>
                  <w:tcBorders>
                    <w:tl2br w:val="nil"/>
                    <w:tr2bl w:val="nil"/>
                  </w:tcBorders>
                  <w:vAlign w:val="center"/>
                </w:tcPr>
                <w:p w14:paraId="62322F3C">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有机热载体炉废气排放口</w:t>
                  </w:r>
                </w:p>
                <w:p w14:paraId="3A4AF700">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w:t>
                  </w:r>
                  <w:r>
                    <w:rPr>
                      <w:rFonts w:ascii="Times New Roman" w:hAnsi="Times New Roman" w:eastAsia="宋体" w:cs="Times New Roman"/>
                      <w:color w:val="FF0000"/>
                      <w:szCs w:val="21"/>
                    </w:rPr>
                    <w:t>DA004</w:t>
                  </w:r>
                  <w:r>
                    <w:rPr>
                      <w:rFonts w:hint="eastAsia" w:ascii="Times New Roman" w:hAnsi="Times New Roman" w:eastAsia="宋体" w:cs="Times New Roman"/>
                      <w:color w:val="FF0000"/>
                      <w:szCs w:val="21"/>
                    </w:rPr>
                    <w:t>）</w:t>
                  </w:r>
                </w:p>
              </w:tc>
              <w:tc>
                <w:tcPr>
                  <w:tcW w:w="700" w:type="pct"/>
                  <w:tcBorders>
                    <w:tl2br w:val="nil"/>
                    <w:tr2bl w:val="nil"/>
                  </w:tcBorders>
                  <w:vAlign w:val="center"/>
                </w:tcPr>
                <w:p w14:paraId="68F28B8C">
                  <w:pPr>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宋体" w:cs="Times New Roman"/>
                      <w:color w:val="FF0000"/>
                      <w:szCs w:val="21"/>
                    </w:rPr>
                    <w:t>1</w:t>
                  </w:r>
                  <w:r>
                    <w:rPr>
                      <w:rFonts w:hint="eastAsia" w:ascii="Times New Roman" w:hAnsi="Times New Roman" w:eastAsia="宋体" w:cs="Times New Roman"/>
                      <w:color w:val="FF0000"/>
                      <w:szCs w:val="21"/>
                    </w:rPr>
                    <w:t>次/月</w:t>
                  </w:r>
                </w:p>
              </w:tc>
              <w:tc>
                <w:tcPr>
                  <w:tcW w:w="1951" w:type="pct"/>
                  <w:tcBorders>
                    <w:tl2br w:val="nil"/>
                    <w:tr2bl w:val="nil"/>
                  </w:tcBorders>
                  <w:vAlign w:val="center"/>
                </w:tcPr>
                <w:p w14:paraId="3BE05DD0">
                  <w:pPr>
                    <w:jc w:val="center"/>
                    <w:rPr>
                      <w:rFonts w:ascii="Times New Roman" w:hAnsi="Times New Roman" w:eastAsia="仿宋" w:cs="Times New Roman"/>
                      <w:color w:val="000000"/>
                      <w:szCs w:val="21"/>
                    </w:rPr>
                  </w:pPr>
                  <w:r>
                    <w:rPr>
                      <w:rFonts w:ascii="Times New Roman" w:hAnsi="Times New Roman" w:eastAsia="宋体" w:cs="Times New Roman"/>
                      <w:szCs w:val="21"/>
                    </w:rPr>
                    <w:t>《锅炉大气污染物排放标准》（GB13271-2014）表2新建锅炉大气污染物排放浓度限值—燃</w:t>
                  </w:r>
                  <w:r>
                    <w:rPr>
                      <w:rFonts w:hint="eastAsia" w:ascii="Times New Roman" w:hAnsi="Times New Roman" w:eastAsia="宋体" w:cs="Times New Roman"/>
                      <w:szCs w:val="21"/>
                    </w:rPr>
                    <w:t>油</w:t>
                  </w:r>
                  <w:r>
                    <w:rPr>
                      <w:rFonts w:ascii="Times New Roman" w:hAnsi="Times New Roman" w:eastAsia="宋体" w:cs="Times New Roman"/>
                      <w:szCs w:val="21"/>
                    </w:rPr>
                    <w:t>锅炉限值</w:t>
                  </w:r>
                </w:p>
              </w:tc>
            </w:tr>
            <w:tr w14:paraId="16EF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531" w:type="pct"/>
                  <w:vMerge w:val="continue"/>
                  <w:tcBorders>
                    <w:tl2br w:val="nil"/>
                    <w:tr2bl w:val="nil"/>
                  </w:tcBorders>
                  <w:vAlign w:val="center"/>
                </w:tcPr>
                <w:p w14:paraId="0F7042A9">
                  <w:pPr>
                    <w:adjustRightInd w:val="0"/>
                    <w:spacing w:line="240" w:lineRule="exact"/>
                    <w:jc w:val="center"/>
                    <w:textAlignment w:val="baseline"/>
                    <w:rPr>
                      <w:rFonts w:ascii="Times New Roman" w:hAnsi="Times New Roman" w:eastAsia="宋体" w:cs="Times New Roman"/>
                      <w:szCs w:val="21"/>
                    </w:rPr>
                  </w:pPr>
                </w:p>
              </w:tc>
              <w:tc>
                <w:tcPr>
                  <w:tcW w:w="868" w:type="pct"/>
                  <w:tcBorders>
                    <w:tl2br w:val="nil"/>
                    <w:tr2bl w:val="nil"/>
                  </w:tcBorders>
                  <w:vAlign w:val="center"/>
                </w:tcPr>
                <w:p w14:paraId="60BA0178">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油烟</w:t>
                  </w:r>
                </w:p>
              </w:tc>
              <w:tc>
                <w:tcPr>
                  <w:tcW w:w="947" w:type="pct"/>
                  <w:tcBorders>
                    <w:tl2br w:val="nil"/>
                    <w:tr2bl w:val="nil"/>
                  </w:tcBorders>
                  <w:vAlign w:val="center"/>
                </w:tcPr>
                <w:p w14:paraId="5AD73BA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食堂油烟（</w:t>
                  </w:r>
                  <w:r>
                    <w:rPr>
                      <w:rFonts w:ascii="Times New Roman" w:hAnsi="Times New Roman" w:eastAsia="宋体" w:cs="Times New Roman"/>
                      <w:szCs w:val="21"/>
                    </w:rPr>
                    <w:t>DA005</w:t>
                  </w:r>
                  <w:r>
                    <w:rPr>
                      <w:rFonts w:hint="eastAsia" w:ascii="Times New Roman" w:hAnsi="Times New Roman" w:eastAsia="宋体" w:cs="Times New Roman"/>
                      <w:szCs w:val="21"/>
                    </w:rPr>
                    <w:t>）</w:t>
                  </w:r>
                </w:p>
              </w:tc>
              <w:tc>
                <w:tcPr>
                  <w:tcW w:w="700" w:type="pct"/>
                  <w:tcBorders>
                    <w:tl2br w:val="nil"/>
                    <w:tr2bl w:val="nil"/>
                  </w:tcBorders>
                  <w:vAlign w:val="center"/>
                </w:tcPr>
                <w:p w14:paraId="0E182E18">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szCs w:val="21"/>
                    </w:rPr>
                    <w:t>1次/年</w:t>
                  </w:r>
                </w:p>
              </w:tc>
              <w:tc>
                <w:tcPr>
                  <w:tcW w:w="1951" w:type="pct"/>
                  <w:tcBorders>
                    <w:tl2br w:val="nil"/>
                    <w:tr2bl w:val="nil"/>
                  </w:tcBorders>
                  <w:vAlign w:val="center"/>
                </w:tcPr>
                <w:p w14:paraId="50ACF994">
                  <w:pPr>
                    <w:jc w:val="center"/>
                    <w:rPr>
                      <w:rFonts w:ascii="Times New Roman" w:hAnsi="Times New Roman" w:eastAsia="仿宋" w:cs="Times New Roman"/>
                      <w:color w:val="000000"/>
                      <w:szCs w:val="21"/>
                    </w:rPr>
                  </w:pPr>
                  <w:r>
                    <w:rPr>
                      <w:rFonts w:ascii="Times New Roman" w:hAnsi="Times New Roman" w:eastAsia="宋体" w:cs="Times New Roman"/>
                      <w:szCs w:val="21"/>
                    </w:rPr>
                    <w:t>《饮食业油烟排放标准》（GB 18483-2001）表2小型规模标准限值要求</w:t>
                  </w:r>
                </w:p>
              </w:tc>
            </w:tr>
            <w:tr w14:paraId="4210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1" w:type="pct"/>
                  <w:tcBorders>
                    <w:tl2br w:val="nil"/>
                    <w:tr2bl w:val="nil"/>
                  </w:tcBorders>
                  <w:vAlign w:val="center"/>
                </w:tcPr>
                <w:p w14:paraId="7BF69EB4">
                  <w:pPr>
                    <w:adjustRightInd w:val="0"/>
                    <w:spacing w:line="240" w:lineRule="exact"/>
                    <w:textAlignment w:val="baseline"/>
                    <w:rPr>
                      <w:rFonts w:ascii="Times New Roman" w:hAnsi="Times New Roman" w:eastAsia="宋体" w:cs="Times New Roman"/>
                      <w:szCs w:val="21"/>
                    </w:rPr>
                  </w:pPr>
                  <w:r>
                    <w:rPr>
                      <w:rFonts w:hint="eastAsia" w:ascii="Times New Roman" w:hAnsi="Times New Roman" w:eastAsia="宋体" w:cs="Times New Roman"/>
                      <w:szCs w:val="21"/>
                    </w:rPr>
                    <w:t>矿粉立仓粉尘</w:t>
                  </w:r>
                </w:p>
              </w:tc>
              <w:tc>
                <w:tcPr>
                  <w:tcW w:w="868" w:type="pct"/>
                  <w:tcBorders>
                    <w:tl2br w:val="nil"/>
                    <w:tr2bl w:val="nil"/>
                  </w:tcBorders>
                  <w:vAlign w:val="center"/>
                </w:tcPr>
                <w:p w14:paraId="3F334F42">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颗粒物</w:t>
                  </w:r>
                </w:p>
              </w:tc>
              <w:tc>
                <w:tcPr>
                  <w:tcW w:w="947" w:type="pct"/>
                  <w:tcBorders>
                    <w:tl2br w:val="nil"/>
                    <w:tr2bl w:val="nil"/>
                  </w:tcBorders>
                  <w:vAlign w:val="center"/>
                </w:tcPr>
                <w:p w14:paraId="2E747829">
                  <w:pPr>
                    <w:adjustRightInd w:val="0"/>
                    <w:spacing w:line="240" w:lineRule="exact"/>
                    <w:jc w:val="center"/>
                    <w:textAlignment w:val="baseline"/>
                    <w:rPr>
                      <w:rFonts w:ascii="Times New Roman" w:hAnsi="Times New Roman" w:eastAsia="宋体" w:cs="Times New Roman"/>
                      <w:szCs w:val="21"/>
                    </w:rPr>
                  </w:pPr>
                  <w:r>
                    <w:rPr>
                      <w:rFonts w:ascii="Times New Roman Bold" w:hAnsi="Times New Roman Bold" w:eastAsia="宋体" w:cs="Times New Roman Bold"/>
                      <w:color w:val="000000"/>
                      <w:szCs w:val="21"/>
                    </w:rPr>
                    <w:t>振动式仓顶收尘机</w:t>
                  </w:r>
                  <w:r>
                    <w:rPr>
                      <w:rFonts w:hint="eastAsia" w:ascii="Times New Roman Bold" w:hAnsi="Times New Roman Bold" w:eastAsia="宋体" w:cs="Times New Roman Bold"/>
                      <w:color w:val="000000"/>
                      <w:szCs w:val="21"/>
                    </w:rPr>
                    <w:t>排放口</w:t>
                  </w:r>
                </w:p>
              </w:tc>
              <w:tc>
                <w:tcPr>
                  <w:tcW w:w="700" w:type="pct"/>
                  <w:tcBorders>
                    <w:tl2br w:val="nil"/>
                    <w:tr2bl w:val="nil"/>
                  </w:tcBorders>
                  <w:vAlign w:val="center"/>
                </w:tcPr>
                <w:p w14:paraId="453286E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1次/年</w:t>
                  </w:r>
                </w:p>
              </w:tc>
              <w:tc>
                <w:tcPr>
                  <w:tcW w:w="1951" w:type="pct"/>
                  <w:tcBorders>
                    <w:tl2br w:val="nil"/>
                    <w:tr2bl w:val="nil"/>
                  </w:tcBorders>
                  <w:vAlign w:val="center"/>
                </w:tcPr>
                <w:p w14:paraId="3E6EF742">
                  <w:pPr>
                    <w:jc w:val="center"/>
                    <w:rPr>
                      <w:rFonts w:ascii="Times New Roman" w:hAnsi="Times New Roman" w:eastAsia="宋体" w:cs="Times New Roman"/>
                      <w:szCs w:val="21"/>
                    </w:rPr>
                  </w:pPr>
                  <w:r>
                    <w:rPr>
                      <w:rFonts w:hint="eastAsia" w:ascii="Times New Roman" w:hAnsi="Times New Roman" w:eastAsia="宋体" w:cs="Times New Roman"/>
                      <w:szCs w:val="21"/>
                    </w:rPr>
                    <w:t>《大气污染物综合排放标准》(GB16297-1996)中表2新污染源大气污染物排放限值</w:t>
                  </w:r>
                </w:p>
              </w:tc>
            </w:tr>
          </w:tbl>
          <w:p w14:paraId="0AFAF27E">
            <w:pPr>
              <w:wordWrap w:val="0"/>
              <w:topLinePunct/>
              <w:spacing w:line="360" w:lineRule="auto"/>
              <w:rPr>
                <w:rFonts w:hint="eastAsia" w:ascii="Times New Roman" w:hAnsi="宋体" w:eastAsia="宋体" w:cs="Times New Roman"/>
                <w:b/>
                <w:sz w:val="24"/>
              </w:rPr>
            </w:pPr>
            <w:r>
              <w:rPr>
                <w:rFonts w:hint="eastAsia" w:ascii="Times New Roman" w:hAnsi="宋体" w:eastAsia="宋体" w:cs="Times New Roman"/>
                <w:b/>
                <w:sz w:val="24"/>
              </w:rPr>
              <w:t>3废水影响分析及污染防治措施</w:t>
            </w:r>
          </w:p>
          <w:p w14:paraId="58357F53">
            <w:pPr>
              <w:wordWrap w:val="0"/>
              <w:topLinePunct/>
              <w:spacing w:line="360" w:lineRule="auto"/>
              <w:ind w:firstLine="482" w:firstLineChars="200"/>
              <w:rPr>
                <w:rFonts w:hint="eastAsia" w:ascii="Times New Roman" w:hAnsi="宋体" w:eastAsia="宋体" w:cs="Times New Roman"/>
                <w:b/>
                <w:sz w:val="24"/>
              </w:rPr>
            </w:pPr>
            <w:r>
              <w:rPr>
                <w:rFonts w:hint="eastAsia" w:ascii="Times New Roman" w:hAnsi="宋体" w:eastAsia="宋体" w:cs="Times New Roman"/>
                <w:b/>
                <w:sz w:val="24"/>
              </w:rPr>
              <w:t>3.1废水源强</w:t>
            </w:r>
          </w:p>
          <w:p w14:paraId="66D2E418">
            <w:pPr>
              <w:wordWrap w:val="0"/>
              <w:topLinePunct/>
              <w:spacing w:line="360" w:lineRule="auto"/>
              <w:ind w:firstLine="480" w:firstLineChars="200"/>
              <w:rPr>
                <w:rFonts w:hint="eastAsia" w:ascii="Times New Roman" w:hAnsi="Times New Roman" w:eastAsia="宋体" w:cs="Times New Roman"/>
                <w:color w:val="0000FF"/>
                <w:sz w:val="24"/>
                <w:lang w:eastAsia="zh-CN"/>
              </w:rPr>
            </w:pPr>
            <w:r>
              <w:rPr>
                <w:rFonts w:hint="eastAsia" w:ascii="Times New Roman" w:hAnsi="Times New Roman" w:eastAsia="宋体" w:cs="Times New Roman"/>
                <w:sz w:val="24"/>
              </w:rPr>
              <w:t>本项目降尘用水（冷料仓上料喷淋降尘用水、运输道路抑尘用水、移动式雾炮抑尘用水）、绿化用水全部蒸发损耗；配料用水全部进入产品；车辆冲洗废水经沉淀池沉淀后循环利用，无外排废水；洗涤塔用水经分区沉淀后循环利用，产生的废液、焦油渣作为危险废物委托处置；本项目产生的</w:t>
            </w:r>
            <w:r>
              <w:rPr>
                <w:rFonts w:hint="eastAsia" w:ascii="Times New Roman" w:hAnsi="Times New Roman" w:eastAsia="宋体" w:cs="Times New Roman"/>
                <w:color w:val="0000FF"/>
                <w:sz w:val="24"/>
              </w:rPr>
              <w:t>生活污水（含食堂废水）经隔油池</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化粪池预处理后，</w:t>
            </w:r>
            <w:r>
              <w:rPr>
                <w:rFonts w:hint="eastAsia" w:ascii="Times New Roman" w:hAnsi="Times New Roman" w:eastAsia="宋体" w:cs="Times New Roman"/>
                <w:color w:val="0000FF"/>
                <w:sz w:val="24"/>
                <w:lang w:val="en-US" w:eastAsia="zh-CN"/>
              </w:rPr>
              <w:t>暂</w:t>
            </w:r>
            <w:r>
              <w:rPr>
                <w:rFonts w:hint="eastAsia" w:ascii="Times New Roman" w:hAnsi="Times New Roman" w:eastAsia="宋体" w:cs="Times New Roman"/>
                <w:color w:val="0000FF"/>
                <w:sz w:val="24"/>
              </w:rPr>
              <w:t>定期委托专业吸污车进行抽吸清运，</w:t>
            </w:r>
            <w:r>
              <w:rPr>
                <w:rFonts w:hint="eastAsia" w:ascii="Times New Roman" w:hAnsi="Times New Roman" w:eastAsia="宋体" w:cs="Times New Roman"/>
                <w:color w:val="0000FF"/>
                <w:sz w:val="24"/>
                <w:lang w:val="en-US" w:eastAsia="zh-CN"/>
              </w:rPr>
              <w:t>并跟踪去向</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待凹凸棒石初级加工园区污水处理厂投入</w:t>
            </w:r>
            <w:r>
              <w:rPr>
                <w:rFonts w:hint="eastAsia" w:ascii="Times New Roman" w:hAnsi="Times New Roman" w:eastAsia="宋体" w:cs="Times New Roman"/>
                <w:color w:val="0000FF"/>
                <w:sz w:val="24"/>
                <w:lang w:val="en-US" w:eastAsia="zh-CN"/>
              </w:rPr>
              <w:t>稳定</w:t>
            </w:r>
            <w:r>
              <w:rPr>
                <w:rFonts w:hint="eastAsia" w:ascii="Times New Roman" w:hAnsi="Times New Roman" w:eastAsia="宋体" w:cs="Times New Roman"/>
                <w:color w:val="0000FF"/>
                <w:sz w:val="24"/>
              </w:rPr>
              <w:t>运行后，排入该污水处理厂进行处理</w:t>
            </w:r>
            <w:r>
              <w:rPr>
                <w:rFonts w:hint="eastAsia" w:ascii="Times New Roman" w:hAnsi="Times New Roman" w:eastAsia="宋体" w:cs="Times New Roman"/>
                <w:color w:val="0000FF"/>
                <w:sz w:val="24"/>
                <w:lang w:eastAsia="zh-CN"/>
              </w:rPr>
              <w:t>。</w:t>
            </w:r>
          </w:p>
          <w:p w14:paraId="35CE2004">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根据前文工程分析-水平衡分析，本项目外排水量为68.4m</w:t>
            </w:r>
            <w:r>
              <w:rPr>
                <w:rFonts w:hint="eastAsia" w:ascii="Times New Roman" w:hAnsi="Times New Roman" w:eastAsia="宋体" w:cs="Times New Roman"/>
                <w:sz w:val="24"/>
                <w:vertAlign w:val="superscript"/>
              </w:rPr>
              <w:t>3</w:t>
            </w:r>
            <w:r>
              <w:rPr>
                <w:rFonts w:hint="eastAsia" w:ascii="Times New Roman" w:hAnsi="Times New Roman" w:eastAsia="宋体" w:cs="Times New Roman"/>
                <w:sz w:val="24"/>
              </w:rPr>
              <w:t>/a（生活污水、食堂废水）。</w:t>
            </w:r>
          </w:p>
          <w:p w14:paraId="3FAF080E">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本项目生活污水（含食堂废水）产排情况见表4-27。</w:t>
            </w:r>
          </w:p>
          <w:p w14:paraId="38D4C951">
            <w:pPr>
              <w:wordWrap w:val="0"/>
              <w:topLinePunct/>
              <w:spacing w:line="360" w:lineRule="auto"/>
              <w:jc w:val="center"/>
              <w:rPr>
                <w:rFonts w:ascii="Times New Roman" w:hAnsi="Times New Roman" w:eastAsia="宋体" w:cs="Times New Roman"/>
                <w:color w:val="FF0000"/>
                <w:sz w:val="24"/>
                <w:lang w:val="zh-CN"/>
              </w:rPr>
            </w:pPr>
            <w:r>
              <w:rPr>
                <w:rFonts w:hint="eastAsia" w:ascii="Times New Roman" w:hAnsi="Times New Roman" w:eastAsia="宋体" w:cs="Times New Roman"/>
                <w:b/>
                <w:bCs/>
                <w:snapToGrid w:val="0"/>
                <w:color w:val="000000" w:themeColor="text1"/>
                <w:kern w:val="0"/>
                <w:sz w:val="24"/>
                <w14:textFill>
                  <w14:solidFill>
                    <w14:schemeClr w14:val="tx1"/>
                  </w14:solidFill>
                </w14:textFill>
              </w:rPr>
              <w:t xml:space="preserve"> </w:t>
            </w:r>
            <w:r>
              <w:rPr>
                <w:rFonts w:hint="eastAsia" w:ascii="Times New Roman" w:hAnsi="Times New Roman" w:eastAsia="宋体" w:cs="Times New Roman"/>
                <w:b/>
                <w:bCs/>
                <w:snapToGrid w:val="0"/>
                <w:color w:val="000000" w:themeColor="text1"/>
                <w:kern w:val="0"/>
                <w:sz w:val="24"/>
                <w:lang w:val="zh-CN"/>
                <w14:textFill>
                  <w14:solidFill>
                    <w14:schemeClr w14:val="tx1"/>
                  </w14:solidFill>
                </w14:textFill>
              </w:rPr>
              <w:t>表</w:t>
            </w:r>
            <w:r>
              <w:rPr>
                <w:rFonts w:hint="eastAsia" w:ascii="Times New Roman" w:hAnsi="Times New Roman" w:eastAsia="宋体" w:cs="Times New Roman"/>
                <w:b/>
                <w:bCs/>
                <w:snapToGrid w:val="0"/>
                <w:color w:val="000000" w:themeColor="text1"/>
                <w:kern w:val="0"/>
                <w:sz w:val="24"/>
                <w14:textFill>
                  <w14:solidFill>
                    <w14:schemeClr w14:val="tx1"/>
                  </w14:solidFill>
                </w14:textFill>
              </w:rPr>
              <w:t>4-27  本</w:t>
            </w:r>
            <w:r>
              <w:rPr>
                <w:rFonts w:hint="eastAsia" w:ascii="Times New Roman" w:hAnsi="Times New Roman" w:eastAsia="宋体" w:cs="Times New Roman"/>
                <w:b/>
                <w:bCs/>
                <w:snapToGrid w:val="0"/>
                <w:color w:val="000000" w:themeColor="text1"/>
                <w:kern w:val="0"/>
                <w:sz w:val="24"/>
                <w:lang w:val="zh-CN"/>
                <w14:textFill>
                  <w14:solidFill>
                    <w14:schemeClr w14:val="tx1"/>
                  </w14:solidFill>
                </w14:textFill>
              </w:rPr>
              <w:t>项目</w:t>
            </w:r>
            <w:r>
              <w:rPr>
                <w:rFonts w:hint="eastAsia" w:ascii="Times New Roman" w:hAnsi="Times New Roman" w:eastAsia="宋体" w:cs="Times New Roman"/>
                <w:b/>
                <w:bCs/>
                <w:snapToGrid w:val="0"/>
                <w:color w:val="000000" w:themeColor="text1"/>
                <w:kern w:val="0"/>
                <w:sz w:val="24"/>
                <w14:textFill>
                  <w14:solidFill>
                    <w14:schemeClr w14:val="tx1"/>
                  </w14:solidFill>
                </w14:textFill>
              </w:rPr>
              <w:t>生活污水</w:t>
            </w:r>
            <w:r>
              <w:rPr>
                <w:rFonts w:hint="eastAsia" w:ascii="Times New Roman" w:hAnsi="Times New Roman" w:eastAsia="宋体" w:cs="Times New Roman"/>
                <w:b/>
                <w:bCs/>
                <w:snapToGrid w:val="0"/>
                <w:color w:val="000000" w:themeColor="text1"/>
                <w:kern w:val="0"/>
                <w:sz w:val="24"/>
                <w:lang w:val="zh-CN"/>
                <w14:textFill>
                  <w14:solidFill>
                    <w14:schemeClr w14:val="tx1"/>
                  </w14:solidFill>
                </w14:textFill>
              </w:rPr>
              <w:t>主要污染物产排情况一览表</w:t>
            </w:r>
          </w:p>
          <w:tbl>
            <w:tblPr>
              <w:tblStyle w:val="76"/>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2"/>
              <w:gridCol w:w="680"/>
              <w:gridCol w:w="378"/>
              <w:gridCol w:w="559"/>
              <w:gridCol w:w="564"/>
              <w:gridCol w:w="546"/>
              <w:gridCol w:w="385"/>
              <w:gridCol w:w="572"/>
              <w:gridCol w:w="657"/>
              <w:gridCol w:w="374"/>
              <w:gridCol w:w="546"/>
              <w:gridCol w:w="591"/>
              <w:gridCol w:w="750"/>
              <w:gridCol w:w="420"/>
              <w:gridCol w:w="557"/>
            </w:tblGrid>
            <w:tr w14:paraId="1C34D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94" w:type="pct"/>
                  <w:vMerge w:val="restart"/>
                  <w:tcBorders>
                    <w:tl2br w:val="nil"/>
                    <w:tr2bl w:val="nil"/>
                  </w:tcBorders>
                  <w:vAlign w:val="center"/>
                </w:tcPr>
                <w:p w14:paraId="563C0629">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废</w:t>
                  </w:r>
                </w:p>
                <w:p w14:paraId="57C535A6">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水</w:t>
                  </w:r>
                </w:p>
                <w:p w14:paraId="43A80A94">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源</w:t>
                  </w:r>
                </w:p>
              </w:tc>
              <w:tc>
                <w:tcPr>
                  <w:tcW w:w="1693" w:type="pct"/>
                  <w:gridSpan w:val="5"/>
                  <w:tcBorders>
                    <w:tl2br w:val="nil"/>
                    <w:tr2bl w:val="nil"/>
                  </w:tcBorders>
                  <w:vAlign w:val="center"/>
                </w:tcPr>
                <w:p w14:paraId="20AAB179">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污染物产生</w:t>
                  </w:r>
                </w:p>
              </w:tc>
              <w:tc>
                <w:tcPr>
                  <w:tcW w:w="594" w:type="pct"/>
                  <w:gridSpan w:val="2"/>
                  <w:tcBorders>
                    <w:tl2br w:val="nil"/>
                    <w:tr2bl w:val="nil"/>
                  </w:tcBorders>
                  <w:vAlign w:val="center"/>
                </w:tcPr>
                <w:p w14:paraId="4F674367">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治理</w:t>
                  </w:r>
                </w:p>
                <w:p w14:paraId="47919518">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措施</w:t>
                  </w:r>
                </w:p>
              </w:tc>
              <w:tc>
                <w:tcPr>
                  <w:tcW w:w="1812" w:type="pct"/>
                  <w:gridSpan w:val="5"/>
                  <w:tcBorders>
                    <w:tl2br w:val="nil"/>
                    <w:tr2bl w:val="nil"/>
                  </w:tcBorders>
                  <w:vAlign w:val="center"/>
                </w:tcPr>
                <w:p w14:paraId="371188EB">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污染物排放</w:t>
                  </w:r>
                </w:p>
              </w:tc>
              <w:tc>
                <w:tcPr>
                  <w:tcW w:w="261" w:type="pct"/>
                  <w:vMerge w:val="restart"/>
                  <w:tcBorders>
                    <w:tl2br w:val="nil"/>
                    <w:tr2bl w:val="nil"/>
                  </w:tcBorders>
                  <w:vAlign w:val="center"/>
                </w:tcPr>
                <w:p w14:paraId="36BE78FC">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排  放  时  间/h</w:t>
                  </w:r>
                </w:p>
              </w:tc>
              <w:tc>
                <w:tcPr>
                  <w:tcW w:w="344" w:type="pct"/>
                  <w:vMerge w:val="restart"/>
                  <w:tcBorders>
                    <w:tl2br w:val="nil"/>
                    <w:tr2bl w:val="nil"/>
                  </w:tcBorders>
                  <w:vAlign w:val="center"/>
                </w:tcPr>
                <w:p w14:paraId="44343EAD">
                  <w:pPr>
                    <w:adjustRightInd w:val="0"/>
                    <w:spacing w:line="240" w:lineRule="exact"/>
                    <w:jc w:val="center"/>
                    <w:textAlignment w:val="baseline"/>
                    <w:rPr>
                      <w:rFonts w:ascii="Times New Roman" w:hAnsi="Times New Roman" w:eastAsia="宋体" w:cs="Times New Roman"/>
                      <w:b/>
                      <w:bCs/>
                      <w:szCs w:val="21"/>
                    </w:rPr>
                  </w:pPr>
                </w:p>
                <w:p w14:paraId="2355589A">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去向</w:t>
                  </w:r>
                </w:p>
              </w:tc>
            </w:tr>
            <w:tr w14:paraId="46F8D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94" w:type="pct"/>
                  <w:vMerge w:val="continue"/>
                  <w:tcBorders>
                    <w:tl2br w:val="nil"/>
                    <w:tr2bl w:val="nil"/>
                  </w:tcBorders>
                  <w:vAlign w:val="center"/>
                </w:tcPr>
                <w:p w14:paraId="327777AE">
                  <w:pPr>
                    <w:adjustRightInd w:val="0"/>
                    <w:spacing w:line="240" w:lineRule="exact"/>
                    <w:jc w:val="center"/>
                    <w:textAlignment w:val="baseline"/>
                    <w:rPr>
                      <w:rFonts w:ascii="Times New Roman" w:hAnsi="Times New Roman" w:eastAsia="宋体" w:cs="Times New Roman"/>
                      <w:szCs w:val="21"/>
                    </w:rPr>
                  </w:pPr>
                </w:p>
              </w:tc>
              <w:tc>
                <w:tcPr>
                  <w:tcW w:w="422" w:type="pct"/>
                  <w:tcBorders>
                    <w:tl2br w:val="nil"/>
                    <w:tr2bl w:val="nil"/>
                  </w:tcBorders>
                  <w:vAlign w:val="center"/>
                </w:tcPr>
                <w:p w14:paraId="2C370B47">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污染物</w:t>
                  </w:r>
                </w:p>
              </w:tc>
              <w:tc>
                <w:tcPr>
                  <w:tcW w:w="235" w:type="pct"/>
                  <w:tcBorders>
                    <w:tl2br w:val="nil"/>
                    <w:tr2bl w:val="nil"/>
                  </w:tcBorders>
                  <w:vAlign w:val="center"/>
                </w:tcPr>
                <w:p w14:paraId="56B87E0E">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 xml:space="preserve">核算方法 </w:t>
                  </w:r>
                </w:p>
              </w:tc>
              <w:tc>
                <w:tcPr>
                  <w:tcW w:w="347" w:type="pct"/>
                  <w:tcBorders>
                    <w:tl2br w:val="nil"/>
                    <w:tr2bl w:val="nil"/>
                  </w:tcBorders>
                  <w:vAlign w:val="center"/>
                </w:tcPr>
                <w:p w14:paraId="7EC8C210">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废水产生 量 m</w:t>
                  </w:r>
                  <w:r>
                    <w:rPr>
                      <w:rFonts w:hint="eastAsia" w:ascii="Times New Roman" w:hAnsi="Times New Roman" w:eastAsia="宋体" w:cs="Times New Roman"/>
                      <w:b/>
                      <w:bCs/>
                      <w:szCs w:val="21"/>
                      <w:vertAlign w:val="superscript"/>
                    </w:rPr>
                    <w:t>3</w:t>
                  </w:r>
                  <w:r>
                    <w:rPr>
                      <w:rFonts w:hint="eastAsia" w:ascii="Times New Roman" w:hAnsi="Times New Roman" w:eastAsia="宋体" w:cs="Times New Roman"/>
                      <w:b/>
                      <w:bCs/>
                      <w:szCs w:val="21"/>
                    </w:rPr>
                    <w:t>/a</w:t>
                  </w:r>
                </w:p>
              </w:tc>
              <w:tc>
                <w:tcPr>
                  <w:tcW w:w="350" w:type="pct"/>
                  <w:tcBorders>
                    <w:tl2br w:val="nil"/>
                    <w:tr2bl w:val="nil"/>
                  </w:tcBorders>
                  <w:vAlign w:val="center"/>
                </w:tcPr>
                <w:p w14:paraId="76C9DDFD">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产生浓度 mg/L</w:t>
                  </w:r>
                </w:p>
              </w:tc>
              <w:tc>
                <w:tcPr>
                  <w:tcW w:w="337" w:type="pct"/>
                  <w:tcBorders>
                    <w:tl2br w:val="nil"/>
                    <w:tr2bl w:val="nil"/>
                  </w:tcBorders>
                  <w:vAlign w:val="center"/>
                </w:tcPr>
                <w:p w14:paraId="39562E9E">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产生量</w:t>
                  </w:r>
                </w:p>
                <w:p w14:paraId="3A47390B">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t/a</w:t>
                  </w:r>
                </w:p>
              </w:tc>
              <w:tc>
                <w:tcPr>
                  <w:tcW w:w="239" w:type="pct"/>
                  <w:tcBorders>
                    <w:tl2br w:val="nil"/>
                    <w:tr2bl w:val="nil"/>
                  </w:tcBorders>
                  <w:vAlign w:val="center"/>
                </w:tcPr>
                <w:p w14:paraId="59642613">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治理措施</w:t>
                  </w:r>
                </w:p>
              </w:tc>
              <w:tc>
                <w:tcPr>
                  <w:tcW w:w="354" w:type="pct"/>
                  <w:tcBorders>
                    <w:tl2br w:val="nil"/>
                    <w:tr2bl w:val="nil"/>
                  </w:tcBorders>
                  <w:vAlign w:val="center"/>
                </w:tcPr>
                <w:p w14:paraId="721580E3">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效率 /%</w:t>
                  </w:r>
                </w:p>
              </w:tc>
              <w:tc>
                <w:tcPr>
                  <w:tcW w:w="408" w:type="pct"/>
                  <w:tcBorders>
                    <w:tl2br w:val="nil"/>
                    <w:tr2bl w:val="nil"/>
                  </w:tcBorders>
                  <w:vAlign w:val="center"/>
                </w:tcPr>
                <w:p w14:paraId="3DFE8A70">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污染物</w:t>
                  </w:r>
                </w:p>
              </w:tc>
              <w:tc>
                <w:tcPr>
                  <w:tcW w:w="232" w:type="pct"/>
                  <w:tcBorders>
                    <w:tl2br w:val="nil"/>
                    <w:tr2bl w:val="nil"/>
                  </w:tcBorders>
                  <w:vAlign w:val="center"/>
                </w:tcPr>
                <w:p w14:paraId="6911BBD5">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 xml:space="preserve">核算方法 </w:t>
                  </w:r>
                </w:p>
              </w:tc>
              <w:tc>
                <w:tcPr>
                  <w:tcW w:w="339" w:type="pct"/>
                  <w:tcBorders>
                    <w:tl2br w:val="nil"/>
                    <w:tr2bl w:val="nil"/>
                  </w:tcBorders>
                  <w:vAlign w:val="center"/>
                </w:tcPr>
                <w:p w14:paraId="685FCFB7">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排放废水量  m</w:t>
                  </w:r>
                  <w:r>
                    <w:rPr>
                      <w:rFonts w:hint="eastAsia" w:ascii="Times New Roman" w:hAnsi="Times New Roman" w:eastAsia="宋体" w:cs="Times New Roman"/>
                      <w:b/>
                      <w:bCs/>
                      <w:szCs w:val="21"/>
                      <w:vertAlign w:val="superscript"/>
                    </w:rPr>
                    <w:t>3</w:t>
                  </w:r>
                  <w:r>
                    <w:rPr>
                      <w:rFonts w:hint="eastAsia" w:ascii="Times New Roman" w:hAnsi="Times New Roman" w:eastAsia="宋体" w:cs="Times New Roman"/>
                      <w:b/>
                      <w:bCs/>
                      <w:szCs w:val="21"/>
                    </w:rPr>
                    <w:t>/a</w:t>
                  </w:r>
                </w:p>
              </w:tc>
              <w:tc>
                <w:tcPr>
                  <w:tcW w:w="367" w:type="pct"/>
                  <w:tcBorders>
                    <w:tl2br w:val="nil"/>
                    <w:tr2bl w:val="nil"/>
                  </w:tcBorders>
                  <w:vAlign w:val="center"/>
                </w:tcPr>
                <w:p w14:paraId="3EB08A8E">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排放浓度 mg/L</w:t>
                  </w:r>
                </w:p>
              </w:tc>
              <w:tc>
                <w:tcPr>
                  <w:tcW w:w="465" w:type="pct"/>
                  <w:tcBorders>
                    <w:tl2br w:val="nil"/>
                    <w:tr2bl w:val="nil"/>
                  </w:tcBorders>
                  <w:vAlign w:val="center"/>
                </w:tcPr>
                <w:p w14:paraId="15C032B8">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排放量 t/a</w:t>
                  </w:r>
                </w:p>
              </w:tc>
              <w:tc>
                <w:tcPr>
                  <w:tcW w:w="261" w:type="pct"/>
                  <w:vMerge w:val="continue"/>
                  <w:tcBorders>
                    <w:tl2br w:val="nil"/>
                    <w:tr2bl w:val="nil"/>
                  </w:tcBorders>
                  <w:vAlign w:val="center"/>
                </w:tcPr>
                <w:p w14:paraId="09667B1D">
                  <w:pPr>
                    <w:adjustRightInd w:val="0"/>
                    <w:spacing w:line="240" w:lineRule="exact"/>
                    <w:jc w:val="center"/>
                    <w:textAlignment w:val="baseline"/>
                    <w:rPr>
                      <w:rFonts w:ascii="Times New Roman" w:hAnsi="Times New Roman" w:eastAsia="宋体" w:cs="Times New Roman"/>
                      <w:szCs w:val="21"/>
                    </w:rPr>
                  </w:pPr>
                </w:p>
              </w:tc>
              <w:tc>
                <w:tcPr>
                  <w:tcW w:w="344" w:type="pct"/>
                  <w:vMerge w:val="continue"/>
                  <w:tcBorders>
                    <w:tl2br w:val="nil"/>
                    <w:tr2bl w:val="nil"/>
                  </w:tcBorders>
                  <w:vAlign w:val="center"/>
                </w:tcPr>
                <w:p w14:paraId="3B8DB8D7">
                  <w:pPr>
                    <w:adjustRightInd w:val="0"/>
                    <w:spacing w:line="240" w:lineRule="exact"/>
                    <w:jc w:val="center"/>
                    <w:textAlignment w:val="baseline"/>
                    <w:rPr>
                      <w:rFonts w:ascii="Times New Roman" w:hAnsi="Times New Roman" w:eastAsia="宋体" w:cs="Times New Roman"/>
                      <w:szCs w:val="21"/>
                    </w:rPr>
                  </w:pPr>
                </w:p>
              </w:tc>
            </w:tr>
            <w:tr w14:paraId="4C63F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94" w:type="pct"/>
                  <w:vMerge w:val="restart"/>
                  <w:tcBorders>
                    <w:tl2br w:val="nil"/>
                    <w:tr2bl w:val="nil"/>
                  </w:tcBorders>
                  <w:vAlign w:val="center"/>
                </w:tcPr>
                <w:p w14:paraId="53709A6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生活 污水、食堂废水</w:t>
                  </w:r>
                </w:p>
              </w:tc>
              <w:tc>
                <w:tcPr>
                  <w:tcW w:w="422" w:type="pct"/>
                  <w:tcBorders>
                    <w:tl2br w:val="nil"/>
                    <w:tr2bl w:val="nil"/>
                  </w:tcBorders>
                  <w:vAlign w:val="center"/>
                </w:tcPr>
                <w:p w14:paraId="21E024C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COD</w:t>
                  </w:r>
                </w:p>
              </w:tc>
              <w:tc>
                <w:tcPr>
                  <w:tcW w:w="235" w:type="pct"/>
                  <w:vMerge w:val="restart"/>
                  <w:tcBorders>
                    <w:tl2br w:val="nil"/>
                    <w:tr2bl w:val="nil"/>
                  </w:tcBorders>
                  <w:vAlign w:val="center"/>
                </w:tcPr>
                <w:p w14:paraId="2EEFCB7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产污系数法、类比法</w:t>
                  </w:r>
                </w:p>
              </w:tc>
              <w:tc>
                <w:tcPr>
                  <w:tcW w:w="347" w:type="pct"/>
                  <w:vMerge w:val="restart"/>
                  <w:tcBorders>
                    <w:tl2br w:val="nil"/>
                    <w:tr2bl w:val="nil"/>
                  </w:tcBorders>
                  <w:vAlign w:val="center"/>
                </w:tcPr>
                <w:p w14:paraId="405CB67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68.4</w:t>
                  </w:r>
                </w:p>
              </w:tc>
              <w:tc>
                <w:tcPr>
                  <w:tcW w:w="350" w:type="pct"/>
                  <w:tcBorders>
                    <w:tl2br w:val="nil"/>
                    <w:tr2bl w:val="nil"/>
                  </w:tcBorders>
                  <w:vAlign w:val="center"/>
                </w:tcPr>
                <w:p w14:paraId="3FD1F70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460</w:t>
                  </w:r>
                </w:p>
              </w:tc>
              <w:tc>
                <w:tcPr>
                  <w:tcW w:w="337" w:type="pct"/>
                  <w:tcBorders>
                    <w:tl2br w:val="nil"/>
                    <w:tr2bl w:val="nil"/>
                  </w:tcBorders>
                  <w:vAlign w:val="center"/>
                </w:tcPr>
                <w:p w14:paraId="74FFDAE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0.031</w:t>
                  </w:r>
                </w:p>
              </w:tc>
              <w:tc>
                <w:tcPr>
                  <w:tcW w:w="239" w:type="pct"/>
                  <w:vMerge w:val="restart"/>
                  <w:tcBorders>
                    <w:tl2br w:val="nil"/>
                    <w:tr2bl w:val="nil"/>
                  </w:tcBorders>
                  <w:vAlign w:val="center"/>
                </w:tcPr>
                <w:p w14:paraId="167CE12D">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szCs w:val="21"/>
                    </w:rPr>
                    <w:t>化粪池、隔油池</w:t>
                  </w:r>
                </w:p>
              </w:tc>
              <w:tc>
                <w:tcPr>
                  <w:tcW w:w="354" w:type="pct"/>
                  <w:tcBorders>
                    <w:tl2br w:val="nil"/>
                    <w:tr2bl w:val="nil"/>
                  </w:tcBorders>
                  <w:vAlign w:val="center"/>
                </w:tcPr>
                <w:p w14:paraId="4FD7438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20</w:t>
                  </w:r>
                </w:p>
              </w:tc>
              <w:tc>
                <w:tcPr>
                  <w:tcW w:w="408" w:type="pct"/>
                  <w:tcBorders>
                    <w:tl2br w:val="nil"/>
                    <w:tr2bl w:val="nil"/>
                  </w:tcBorders>
                  <w:vAlign w:val="center"/>
                </w:tcPr>
                <w:p w14:paraId="104582A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COD</w:t>
                  </w:r>
                </w:p>
              </w:tc>
              <w:tc>
                <w:tcPr>
                  <w:tcW w:w="232" w:type="pct"/>
                  <w:vMerge w:val="restart"/>
                  <w:tcBorders>
                    <w:tl2br w:val="nil"/>
                    <w:tr2bl w:val="nil"/>
                  </w:tcBorders>
                  <w:vAlign w:val="center"/>
                </w:tcPr>
                <w:p w14:paraId="55B1415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339" w:type="pct"/>
                  <w:vMerge w:val="restart"/>
                  <w:tcBorders>
                    <w:tl2br w:val="nil"/>
                    <w:tr2bl w:val="nil"/>
                  </w:tcBorders>
                  <w:vAlign w:val="center"/>
                </w:tcPr>
                <w:p w14:paraId="0C2575B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68.4</w:t>
                  </w:r>
                </w:p>
              </w:tc>
              <w:tc>
                <w:tcPr>
                  <w:tcW w:w="367" w:type="pct"/>
                  <w:tcBorders>
                    <w:tl2br w:val="nil"/>
                    <w:tr2bl w:val="nil"/>
                  </w:tcBorders>
                  <w:vAlign w:val="center"/>
                </w:tcPr>
                <w:p w14:paraId="14209FC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368</w:t>
                  </w:r>
                </w:p>
              </w:tc>
              <w:tc>
                <w:tcPr>
                  <w:tcW w:w="465" w:type="pct"/>
                  <w:tcBorders>
                    <w:tl2br w:val="nil"/>
                    <w:tr2bl w:val="nil"/>
                  </w:tcBorders>
                  <w:vAlign w:val="center"/>
                </w:tcPr>
                <w:p w14:paraId="429F648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0.0252</w:t>
                  </w:r>
                </w:p>
              </w:tc>
              <w:tc>
                <w:tcPr>
                  <w:tcW w:w="261" w:type="pct"/>
                  <w:vMerge w:val="restart"/>
                  <w:tcBorders>
                    <w:tl2br w:val="nil"/>
                    <w:tr2bl w:val="nil"/>
                  </w:tcBorders>
                  <w:vAlign w:val="center"/>
                </w:tcPr>
                <w:p w14:paraId="77E0357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1440</w:t>
                  </w:r>
                </w:p>
              </w:tc>
              <w:tc>
                <w:tcPr>
                  <w:tcW w:w="344" w:type="pct"/>
                  <w:vMerge w:val="restart"/>
                  <w:tcBorders>
                    <w:tl2br w:val="nil"/>
                    <w:tr2bl w:val="nil"/>
                  </w:tcBorders>
                  <w:vAlign w:val="center"/>
                </w:tcPr>
                <w:p w14:paraId="6F70907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凹凸棒石初级加工园区污水处理厂</w:t>
                  </w:r>
                </w:p>
              </w:tc>
            </w:tr>
            <w:tr w14:paraId="40DC1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94" w:type="pct"/>
                  <w:vMerge w:val="continue"/>
                  <w:tcBorders>
                    <w:tl2br w:val="nil"/>
                    <w:tr2bl w:val="nil"/>
                  </w:tcBorders>
                  <w:vAlign w:val="center"/>
                </w:tcPr>
                <w:p w14:paraId="3346ECFE">
                  <w:pPr>
                    <w:adjustRightInd w:val="0"/>
                    <w:spacing w:line="240" w:lineRule="exact"/>
                    <w:jc w:val="center"/>
                    <w:textAlignment w:val="baseline"/>
                    <w:rPr>
                      <w:rFonts w:ascii="Times New Roman" w:hAnsi="Times New Roman" w:eastAsia="宋体" w:cs="Times New Roman"/>
                      <w:szCs w:val="21"/>
                    </w:rPr>
                  </w:pPr>
                </w:p>
              </w:tc>
              <w:tc>
                <w:tcPr>
                  <w:tcW w:w="422" w:type="pct"/>
                  <w:tcBorders>
                    <w:tl2br w:val="nil"/>
                    <w:tr2bl w:val="nil"/>
                  </w:tcBorders>
                  <w:vAlign w:val="center"/>
                </w:tcPr>
                <w:p w14:paraId="42FE9DF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SS</w:t>
                  </w:r>
                </w:p>
              </w:tc>
              <w:tc>
                <w:tcPr>
                  <w:tcW w:w="235" w:type="pct"/>
                  <w:vMerge w:val="continue"/>
                  <w:tcBorders>
                    <w:tl2br w:val="nil"/>
                    <w:tr2bl w:val="nil"/>
                  </w:tcBorders>
                  <w:vAlign w:val="center"/>
                </w:tcPr>
                <w:p w14:paraId="3CFE264E">
                  <w:pPr>
                    <w:adjustRightInd w:val="0"/>
                    <w:spacing w:line="240" w:lineRule="exact"/>
                    <w:jc w:val="center"/>
                    <w:textAlignment w:val="baseline"/>
                    <w:rPr>
                      <w:rFonts w:ascii="Times New Roman" w:hAnsi="Times New Roman" w:eastAsia="宋体" w:cs="Times New Roman"/>
                      <w:szCs w:val="21"/>
                    </w:rPr>
                  </w:pPr>
                </w:p>
              </w:tc>
              <w:tc>
                <w:tcPr>
                  <w:tcW w:w="347" w:type="pct"/>
                  <w:vMerge w:val="continue"/>
                  <w:tcBorders>
                    <w:tl2br w:val="nil"/>
                    <w:tr2bl w:val="nil"/>
                  </w:tcBorders>
                  <w:vAlign w:val="center"/>
                </w:tcPr>
                <w:p w14:paraId="7D104C8F">
                  <w:pPr>
                    <w:adjustRightInd w:val="0"/>
                    <w:spacing w:line="240" w:lineRule="exact"/>
                    <w:jc w:val="center"/>
                    <w:textAlignment w:val="baseline"/>
                    <w:rPr>
                      <w:rFonts w:ascii="Times New Roman" w:hAnsi="Times New Roman" w:eastAsia="宋体" w:cs="Times New Roman"/>
                      <w:szCs w:val="21"/>
                    </w:rPr>
                  </w:pPr>
                </w:p>
              </w:tc>
              <w:tc>
                <w:tcPr>
                  <w:tcW w:w="350" w:type="pct"/>
                  <w:tcBorders>
                    <w:tl2br w:val="nil"/>
                    <w:tr2bl w:val="nil"/>
                  </w:tcBorders>
                  <w:vAlign w:val="center"/>
                </w:tcPr>
                <w:p w14:paraId="7555FC1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200</w:t>
                  </w:r>
                </w:p>
              </w:tc>
              <w:tc>
                <w:tcPr>
                  <w:tcW w:w="337" w:type="pct"/>
                  <w:tcBorders>
                    <w:tl2br w:val="nil"/>
                    <w:tr2bl w:val="nil"/>
                  </w:tcBorders>
                  <w:vAlign w:val="center"/>
                </w:tcPr>
                <w:p w14:paraId="7EB3E43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0.014</w:t>
                  </w:r>
                </w:p>
              </w:tc>
              <w:tc>
                <w:tcPr>
                  <w:tcW w:w="239" w:type="pct"/>
                  <w:vMerge w:val="continue"/>
                  <w:tcBorders>
                    <w:tl2br w:val="nil"/>
                    <w:tr2bl w:val="nil"/>
                  </w:tcBorders>
                  <w:vAlign w:val="center"/>
                </w:tcPr>
                <w:p w14:paraId="56476CFF">
                  <w:pPr>
                    <w:adjustRightInd w:val="0"/>
                    <w:spacing w:line="240" w:lineRule="exact"/>
                    <w:jc w:val="center"/>
                    <w:textAlignment w:val="baseline"/>
                    <w:rPr>
                      <w:rFonts w:ascii="Times New Roman" w:hAnsi="Times New Roman" w:eastAsia="宋体" w:cs="Times New Roman"/>
                      <w:szCs w:val="21"/>
                    </w:rPr>
                  </w:pPr>
                </w:p>
              </w:tc>
              <w:tc>
                <w:tcPr>
                  <w:tcW w:w="354" w:type="pct"/>
                  <w:tcBorders>
                    <w:tl2br w:val="nil"/>
                    <w:tr2bl w:val="nil"/>
                  </w:tcBorders>
                  <w:vAlign w:val="center"/>
                </w:tcPr>
                <w:p w14:paraId="0D2D4A1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45</w:t>
                  </w:r>
                </w:p>
              </w:tc>
              <w:tc>
                <w:tcPr>
                  <w:tcW w:w="408" w:type="pct"/>
                  <w:tcBorders>
                    <w:tl2br w:val="nil"/>
                    <w:tr2bl w:val="nil"/>
                  </w:tcBorders>
                  <w:vAlign w:val="center"/>
                </w:tcPr>
                <w:p w14:paraId="1D7FBA2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SS</w:t>
                  </w:r>
                </w:p>
              </w:tc>
              <w:tc>
                <w:tcPr>
                  <w:tcW w:w="232" w:type="pct"/>
                  <w:vMerge w:val="continue"/>
                  <w:tcBorders>
                    <w:tl2br w:val="nil"/>
                    <w:tr2bl w:val="nil"/>
                  </w:tcBorders>
                  <w:vAlign w:val="center"/>
                </w:tcPr>
                <w:p w14:paraId="48146E29">
                  <w:pPr>
                    <w:adjustRightInd w:val="0"/>
                    <w:spacing w:line="240" w:lineRule="exact"/>
                    <w:jc w:val="center"/>
                    <w:textAlignment w:val="baseline"/>
                    <w:rPr>
                      <w:rFonts w:ascii="Times New Roman" w:hAnsi="Times New Roman" w:eastAsia="宋体" w:cs="Times New Roman"/>
                      <w:szCs w:val="21"/>
                    </w:rPr>
                  </w:pPr>
                </w:p>
              </w:tc>
              <w:tc>
                <w:tcPr>
                  <w:tcW w:w="339" w:type="pct"/>
                  <w:vMerge w:val="continue"/>
                  <w:tcBorders>
                    <w:tl2br w:val="nil"/>
                    <w:tr2bl w:val="nil"/>
                  </w:tcBorders>
                  <w:vAlign w:val="center"/>
                </w:tcPr>
                <w:p w14:paraId="52D3037E">
                  <w:pPr>
                    <w:adjustRightInd w:val="0"/>
                    <w:spacing w:line="240" w:lineRule="exact"/>
                    <w:jc w:val="center"/>
                    <w:textAlignment w:val="baseline"/>
                    <w:rPr>
                      <w:rFonts w:ascii="Times New Roman" w:hAnsi="Times New Roman" w:eastAsia="宋体" w:cs="Times New Roman"/>
                      <w:szCs w:val="21"/>
                    </w:rPr>
                  </w:pPr>
                </w:p>
              </w:tc>
              <w:tc>
                <w:tcPr>
                  <w:tcW w:w="367" w:type="pct"/>
                  <w:tcBorders>
                    <w:tl2br w:val="nil"/>
                    <w:tr2bl w:val="nil"/>
                  </w:tcBorders>
                  <w:vAlign w:val="center"/>
                </w:tcPr>
                <w:p w14:paraId="0439E87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110</w:t>
                  </w:r>
                </w:p>
              </w:tc>
              <w:tc>
                <w:tcPr>
                  <w:tcW w:w="465" w:type="pct"/>
                  <w:tcBorders>
                    <w:tl2br w:val="nil"/>
                    <w:tr2bl w:val="nil"/>
                  </w:tcBorders>
                  <w:vAlign w:val="center"/>
                </w:tcPr>
                <w:p w14:paraId="3C98FCF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0.0075</w:t>
                  </w:r>
                </w:p>
              </w:tc>
              <w:tc>
                <w:tcPr>
                  <w:tcW w:w="261" w:type="pct"/>
                  <w:vMerge w:val="continue"/>
                  <w:tcBorders>
                    <w:tl2br w:val="nil"/>
                    <w:tr2bl w:val="nil"/>
                  </w:tcBorders>
                  <w:vAlign w:val="center"/>
                </w:tcPr>
                <w:p w14:paraId="542C9B37">
                  <w:pPr>
                    <w:jc w:val="center"/>
                    <w:rPr>
                      <w:rFonts w:ascii="Times New Roman" w:hAnsi="Times New Roman" w:eastAsia="宋体" w:cs="Times New Roman"/>
                      <w:color w:val="000000"/>
                      <w:szCs w:val="21"/>
                    </w:rPr>
                  </w:pPr>
                </w:p>
              </w:tc>
              <w:tc>
                <w:tcPr>
                  <w:tcW w:w="344" w:type="pct"/>
                  <w:vMerge w:val="continue"/>
                  <w:tcBorders>
                    <w:tl2br w:val="nil"/>
                    <w:tr2bl w:val="nil"/>
                  </w:tcBorders>
                  <w:vAlign w:val="center"/>
                </w:tcPr>
                <w:p w14:paraId="4E4B7BE0">
                  <w:pPr>
                    <w:jc w:val="center"/>
                    <w:rPr>
                      <w:rFonts w:ascii="Times New Roman" w:hAnsi="Times New Roman" w:eastAsia="宋体" w:cs="Times New Roman"/>
                      <w:color w:val="000000"/>
                      <w:szCs w:val="21"/>
                    </w:rPr>
                  </w:pPr>
                </w:p>
              </w:tc>
            </w:tr>
            <w:tr w14:paraId="34890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94" w:type="pct"/>
                  <w:vMerge w:val="continue"/>
                  <w:tcBorders>
                    <w:tl2br w:val="nil"/>
                    <w:tr2bl w:val="nil"/>
                  </w:tcBorders>
                  <w:vAlign w:val="center"/>
                </w:tcPr>
                <w:p w14:paraId="55E98D08">
                  <w:pPr>
                    <w:adjustRightInd w:val="0"/>
                    <w:spacing w:line="240" w:lineRule="exact"/>
                    <w:jc w:val="center"/>
                    <w:textAlignment w:val="baseline"/>
                    <w:rPr>
                      <w:rFonts w:ascii="Times New Roman" w:hAnsi="Times New Roman" w:eastAsia="宋体" w:cs="Times New Roman"/>
                      <w:szCs w:val="21"/>
                    </w:rPr>
                  </w:pPr>
                </w:p>
              </w:tc>
              <w:tc>
                <w:tcPr>
                  <w:tcW w:w="422" w:type="pct"/>
                  <w:tcBorders>
                    <w:tl2br w:val="nil"/>
                    <w:tr2bl w:val="nil"/>
                  </w:tcBorders>
                  <w:vAlign w:val="center"/>
                </w:tcPr>
                <w:p w14:paraId="7BD456A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NH</w:t>
                  </w:r>
                  <w:r>
                    <w:rPr>
                      <w:rFonts w:hint="eastAsia" w:ascii="Times New Roman" w:hAnsi="Times New Roman" w:eastAsia="宋体" w:cs="Times New Roman"/>
                      <w:szCs w:val="21"/>
                      <w:vertAlign w:val="subscript"/>
                    </w:rPr>
                    <w:t>3</w:t>
                  </w:r>
                  <w:r>
                    <w:rPr>
                      <w:rFonts w:hint="eastAsia" w:ascii="Times New Roman" w:hAnsi="Times New Roman" w:eastAsia="宋体" w:cs="Times New Roman"/>
                      <w:szCs w:val="21"/>
                    </w:rPr>
                    <w:t>-N</w:t>
                  </w:r>
                </w:p>
              </w:tc>
              <w:tc>
                <w:tcPr>
                  <w:tcW w:w="235" w:type="pct"/>
                  <w:vMerge w:val="continue"/>
                  <w:tcBorders>
                    <w:tl2br w:val="nil"/>
                    <w:tr2bl w:val="nil"/>
                  </w:tcBorders>
                  <w:vAlign w:val="center"/>
                </w:tcPr>
                <w:p w14:paraId="1C0E24D5">
                  <w:pPr>
                    <w:adjustRightInd w:val="0"/>
                    <w:spacing w:line="240" w:lineRule="exact"/>
                    <w:jc w:val="center"/>
                    <w:textAlignment w:val="baseline"/>
                    <w:rPr>
                      <w:rFonts w:ascii="Times New Roman" w:hAnsi="Times New Roman" w:eastAsia="宋体" w:cs="Times New Roman"/>
                      <w:szCs w:val="21"/>
                    </w:rPr>
                  </w:pPr>
                </w:p>
              </w:tc>
              <w:tc>
                <w:tcPr>
                  <w:tcW w:w="347" w:type="pct"/>
                  <w:vMerge w:val="continue"/>
                  <w:tcBorders>
                    <w:tl2br w:val="nil"/>
                    <w:tr2bl w:val="nil"/>
                  </w:tcBorders>
                  <w:vAlign w:val="center"/>
                </w:tcPr>
                <w:p w14:paraId="65A7CE20">
                  <w:pPr>
                    <w:adjustRightInd w:val="0"/>
                    <w:spacing w:line="240" w:lineRule="exact"/>
                    <w:jc w:val="center"/>
                    <w:textAlignment w:val="baseline"/>
                    <w:rPr>
                      <w:rFonts w:ascii="Times New Roman" w:hAnsi="Times New Roman" w:eastAsia="宋体" w:cs="Times New Roman"/>
                      <w:szCs w:val="21"/>
                    </w:rPr>
                  </w:pPr>
                </w:p>
              </w:tc>
              <w:tc>
                <w:tcPr>
                  <w:tcW w:w="350" w:type="pct"/>
                  <w:tcBorders>
                    <w:tl2br w:val="nil"/>
                    <w:tr2bl w:val="nil"/>
                  </w:tcBorders>
                  <w:vAlign w:val="center"/>
                </w:tcPr>
                <w:p w14:paraId="719B9E2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40</w:t>
                  </w:r>
                </w:p>
              </w:tc>
              <w:tc>
                <w:tcPr>
                  <w:tcW w:w="337" w:type="pct"/>
                  <w:tcBorders>
                    <w:tl2br w:val="nil"/>
                    <w:tr2bl w:val="nil"/>
                  </w:tcBorders>
                  <w:vAlign w:val="center"/>
                </w:tcPr>
                <w:p w14:paraId="7A0F3A0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0.003</w:t>
                  </w:r>
                </w:p>
              </w:tc>
              <w:tc>
                <w:tcPr>
                  <w:tcW w:w="239" w:type="pct"/>
                  <w:vMerge w:val="continue"/>
                  <w:tcBorders>
                    <w:tl2br w:val="nil"/>
                    <w:tr2bl w:val="nil"/>
                  </w:tcBorders>
                  <w:vAlign w:val="center"/>
                </w:tcPr>
                <w:p w14:paraId="3531DBC3">
                  <w:pPr>
                    <w:adjustRightInd w:val="0"/>
                    <w:spacing w:line="240" w:lineRule="exact"/>
                    <w:jc w:val="center"/>
                    <w:textAlignment w:val="baseline"/>
                    <w:rPr>
                      <w:rFonts w:ascii="Times New Roman" w:hAnsi="Times New Roman" w:eastAsia="宋体" w:cs="Times New Roman"/>
                      <w:szCs w:val="21"/>
                    </w:rPr>
                  </w:pPr>
                </w:p>
              </w:tc>
              <w:tc>
                <w:tcPr>
                  <w:tcW w:w="354" w:type="pct"/>
                  <w:tcBorders>
                    <w:tl2br w:val="nil"/>
                    <w:tr2bl w:val="nil"/>
                  </w:tcBorders>
                  <w:vAlign w:val="center"/>
                </w:tcPr>
                <w:p w14:paraId="54C88AC0">
                  <w:pPr>
                    <w:adjustRightInd w:val="0"/>
                    <w:spacing w:line="240" w:lineRule="exact"/>
                    <w:jc w:val="center"/>
                    <w:textAlignment w:val="baseline"/>
                  </w:pPr>
                  <w:r>
                    <w:rPr>
                      <w:rFonts w:hint="eastAsia" w:ascii="Times New Roman" w:hAnsi="Times New Roman" w:eastAsia="宋体" w:cs="Times New Roman"/>
                      <w:szCs w:val="21"/>
                    </w:rPr>
                    <w:t>0</w:t>
                  </w:r>
                </w:p>
              </w:tc>
              <w:tc>
                <w:tcPr>
                  <w:tcW w:w="408" w:type="pct"/>
                  <w:tcBorders>
                    <w:tl2br w:val="nil"/>
                    <w:tr2bl w:val="nil"/>
                  </w:tcBorders>
                  <w:vAlign w:val="center"/>
                </w:tcPr>
                <w:p w14:paraId="2C7FC97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NH</w:t>
                  </w:r>
                  <w:r>
                    <w:rPr>
                      <w:rFonts w:hint="eastAsia" w:ascii="Times New Roman" w:hAnsi="Times New Roman" w:eastAsia="宋体" w:cs="Times New Roman"/>
                      <w:szCs w:val="21"/>
                      <w:vertAlign w:val="subscript"/>
                    </w:rPr>
                    <w:t>3</w:t>
                  </w:r>
                  <w:r>
                    <w:rPr>
                      <w:rFonts w:hint="eastAsia" w:ascii="Times New Roman" w:hAnsi="Times New Roman" w:eastAsia="宋体" w:cs="Times New Roman"/>
                      <w:szCs w:val="21"/>
                    </w:rPr>
                    <w:t>-N</w:t>
                  </w:r>
                </w:p>
              </w:tc>
              <w:tc>
                <w:tcPr>
                  <w:tcW w:w="232" w:type="pct"/>
                  <w:vMerge w:val="continue"/>
                  <w:tcBorders>
                    <w:tl2br w:val="nil"/>
                    <w:tr2bl w:val="nil"/>
                  </w:tcBorders>
                  <w:vAlign w:val="center"/>
                </w:tcPr>
                <w:p w14:paraId="3D6061F3">
                  <w:pPr>
                    <w:adjustRightInd w:val="0"/>
                    <w:spacing w:line="240" w:lineRule="exact"/>
                    <w:jc w:val="center"/>
                    <w:textAlignment w:val="baseline"/>
                    <w:rPr>
                      <w:rFonts w:ascii="Times New Roman" w:hAnsi="Times New Roman" w:eastAsia="宋体" w:cs="Times New Roman"/>
                      <w:szCs w:val="21"/>
                    </w:rPr>
                  </w:pPr>
                </w:p>
              </w:tc>
              <w:tc>
                <w:tcPr>
                  <w:tcW w:w="339" w:type="pct"/>
                  <w:vMerge w:val="continue"/>
                  <w:tcBorders>
                    <w:tl2br w:val="nil"/>
                    <w:tr2bl w:val="nil"/>
                  </w:tcBorders>
                  <w:vAlign w:val="center"/>
                </w:tcPr>
                <w:p w14:paraId="359A75F4">
                  <w:pPr>
                    <w:adjustRightInd w:val="0"/>
                    <w:spacing w:line="240" w:lineRule="exact"/>
                    <w:jc w:val="center"/>
                    <w:textAlignment w:val="baseline"/>
                    <w:rPr>
                      <w:rFonts w:ascii="Times New Roman" w:hAnsi="Times New Roman" w:eastAsia="宋体" w:cs="Times New Roman"/>
                      <w:szCs w:val="21"/>
                    </w:rPr>
                  </w:pPr>
                </w:p>
              </w:tc>
              <w:tc>
                <w:tcPr>
                  <w:tcW w:w="367" w:type="pct"/>
                  <w:tcBorders>
                    <w:tl2br w:val="nil"/>
                    <w:tr2bl w:val="nil"/>
                  </w:tcBorders>
                  <w:vAlign w:val="center"/>
                </w:tcPr>
                <w:p w14:paraId="01ABE0D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40</w:t>
                  </w:r>
                </w:p>
              </w:tc>
              <w:tc>
                <w:tcPr>
                  <w:tcW w:w="465" w:type="pct"/>
                  <w:tcBorders>
                    <w:tl2br w:val="nil"/>
                    <w:tr2bl w:val="nil"/>
                  </w:tcBorders>
                  <w:vAlign w:val="center"/>
                </w:tcPr>
                <w:p w14:paraId="39DD71B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0.003</w:t>
                  </w:r>
                </w:p>
              </w:tc>
              <w:tc>
                <w:tcPr>
                  <w:tcW w:w="261" w:type="pct"/>
                  <w:vMerge w:val="continue"/>
                  <w:tcBorders>
                    <w:tl2br w:val="nil"/>
                    <w:tr2bl w:val="nil"/>
                  </w:tcBorders>
                  <w:vAlign w:val="center"/>
                </w:tcPr>
                <w:p w14:paraId="7F6082F9">
                  <w:pPr>
                    <w:jc w:val="center"/>
                    <w:rPr>
                      <w:rFonts w:ascii="Times New Roman" w:hAnsi="Times New Roman" w:eastAsia="宋体" w:cs="Times New Roman"/>
                      <w:color w:val="000000"/>
                      <w:szCs w:val="21"/>
                    </w:rPr>
                  </w:pPr>
                </w:p>
              </w:tc>
              <w:tc>
                <w:tcPr>
                  <w:tcW w:w="344" w:type="pct"/>
                  <w:vMerge w:val="continue"/>
                  <w:tcBorders>
                    <w:tl2br w:val="nil"/>
                    <w:tr2bl w:val="nil"/>
                  </w:tcBorders>
                  <w:vAlign w:val="center"/>
                </w:tcPr>
                <w:p w14:paraId="348D8737">
                  <w:pPr>
                    <w:jc w:val="center"/>
                    <w:rPr>
                      <w:rFonts w:ascii="Times New Roman" w:hAnsi="Times New Roman" w:eastAsia="宋体" w:cs="Times New Roman"/>
                      <w:color w:val="000000"/>
                      <w:szCs w:val="21"/>
                    </w:rPr>
                  </w:pPr>
                </w:p>
              </w:tc>
            </w:tr>
            <w:tr w14:paraId="535DF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94" w:type="pct"/>
                  <w:vMerge w:val="continue"/>
                  <w:tcBorders>
                    <w:tl2br w:val="nil"/>
                    <w:tr2bl w:val="nil"/>
                  </w:tcBorders>
                  <w:vAlign w:val="center"/>
                </w:tcPr>
                <w:p w14:paraId="08C80978">
                  <w:pPr>
                    <w:adjustRightInd w:val="0"/>
                    <w:spacing w:line="240" w:lineRule="exact"/>
                    <w:jc w:val="center"/>
                    <w:textAlignment w:val="baseline"/>
                    <w:rPr>
                      <w:rFonts w:ascii="Times New Roman" w:hAnsi="Times New Roman" w:eastAsia="宋体" w:cs="Times New Roman"/>
                      <w:szCs w:val="21"/>
                    </w:rPr>
                  </w:pPr>
                </w:p>
              </w:tc>
              <w:tc>
                <w:tcPr>
                  <w:tcW w:w="422" w:type="pct"/>
                  <w:tcBorders>
                    <w:bottom w:val="single" w:color="auto" w:sz="4" w:space="0"/>
                    <w:tl2br w:val="nil"/>
                    <w:tr2bl w:val="nil"/>
                  </w:tcBorders>
                  <w:vAlign w:val="center"/>
                </w:tcPr>
                <w:p w14:paraId="7D1FF976">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TN</w:t>
                  </w:r>
                </w:p>
              </w:tc>
              <w:tc>
                <w:tcPr>
                  <w:tcW w:w="235" w:type="pct"/>
                  <w:vMerge w:val="continue"/>
                  <w:tcBorders>
                    <w:tl2br w:val="nil"/>
                    <w:tr2bl w:val="nil"/>
                  </w:tcBorders>
                  <w:vAlign w:val="center"/>
                </w:tcPr>
                <w:p w14:paraId="4EB21EE6">
                  <w:pPr>
                    <w:adjustRightInd w:val="0"/>
                    <w:spacing w:line="240" w:lineRule="exact"/>
                    <w:jc w:val="center"/>
                    <w:textAlignment w:val="baseline"/>
                    <w:rPr>
                      <w:rFonts w:ascii="Times New Roman" w:hAnsi="Times New Roman" w:eastAsia="宋体" w:cs="Times New Roman"/>
                      <w:szCs w:val="21"/>
                    </w:rPr>
                  </w:pPr>
                </w:p>
              </w:tc>
              <w:tc>
                <w:tcPr>
                  <w:tcW w:w="347" w:type="pct"/>
                  <w:vMerge w:val="continue"/>
                  <w:tcBorders>
                    <w:tl2br w:val="nil"/>
                    <w:tr2bl w:val="nil"/>
                  </w:tcBorders>
                  <w:vAlign w:val="center"/>
                </w:tcPr>
                <w:p w14:paraId="22584149">
                  <w:pPr>
                    <w:adjustRightInd w:val="0"/>
                    <w:spacing w:line="240" w:lineRule="exact"/>
                    <w:jc w:val="center"/>
                    <w:textAlignment w:val="baseline"/>
                    <w:rPr>
                      <w:rFonts w:ascii="Times New Roman" w:hAnsi="Times New Roman" w:eastAsia="宋体" w:cs="Times New Roman"/>
                      <w:szCs w:val="21"/>
                    </w:rPr>
                  </w:pPr>
                </w:p>
              </w:tc>
              <w:tc>
                <w:tcPr>
                  <w:tcW w:w="350" w:type="pct"/>
                  <w:tcBorders>
                    <w:bottom w:val="single" w:color="auto" w:sz="4" w:space="0"/>
                    <w:tl2br w:val="nil"/>
                    <w:tr2bl w:val="nil"/>
                  </w:tcBorders>
                  <w:vAlign w:val="center"/>
                </w:tcPr>
                <w:p w14:paraId="2ECD5E4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63</w:t>
                  </w:r>
                </w:p>
              </w:tc>
              <w:tc>
                <w:tcPr>
                  <w:tcW w:w="337" w:type="pct"/>
                  <w:tcBorders>
                    <w:bottom w:val="single" w:color="auto" w:sz="4" w:space="0"/>
                    <w:tl2br w:val="nil"/>
                    <w:tr2bl w:val="nil"/>
                  </w:tcBorders>
                  <w:vAlign w:val="center"/>
                </w:tcPr>
                <w:p w14:paraId="17A735B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0.0043</w:t>
                  </w:r>
                </w:p>
              </w:tc>
              <w:tc>
                <w:tcPr>
                  <w:tcW w:w="239" w:type="pct"/>
                  <w:vMerge w:val="continue"/>
                  <w:tcBorders>
                    <w:tl2br w:val="nil"/>
                    <w:tr2bl w:val="nil"/>
                  </w:tcBorders>
                  <w:vAlign w:val="center"/>
                </w:tcPr>
                <w:p w14:paraId="04C59358">
                  <w:pPr>
                    <w:adjustRightInd w:val="0"/>
                    <w:spacing w:line="240" w:lineRule="exact"/>
                    <w:jc w:val="center"/>
                    <w:textAlignment w:val="baseline"/>
                    <w:rPr>
                      <w:rFonts w:ascii="Times New Roman" w:hAnsi="Times New Roman" w:eastAsia="宋体" w:cs="Times New Roman"/>
                      <w:szCs w:val="21"/>
                    </w:rPr>
                  </w:pPr>
                </w:p>
              </w:tc>
              <w:tc>
                <w:tcPr>
                  <w:tcW w:w="354" w:type="pct"/>
                  <w:tcBorders>
                    <w:bottom w:val="single" w:color="auto" w:sz="4" w:space="0"/>
                    <w:tl2br w:val="nil"/>
                    <w:tr2bl w:val="nil"/>
                  </w:tcBorders>
                  <w:vAlign w:val="center"/>
                </w:tcPr>
                <w:p w14:paraId="2AB237D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w:t>
                  </w:r>
                </w:p>
              </w:tc>
              <w:tc>
                <w:tcPr>
                  <w:tcW w:w="408" w:type="pct"/>
                  <w:tcBorders>
                    <w:bottom w:val="single" w:color="auto" w:sz="4" w:space="0"/>
                    <w:tl2br w:val="nil"/>
                    <w:tr2bl w:val="nil"/>
                  </w:tcBorders>
                  <w:vAlign w:val="center"/>
                </w:tcPr>
                <w:p w14:paraId="1215E929">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TN</w:t>
                  </w:r>
                </w:p>
              </w:tc>
              <w:tc>
                <w:tcPr>
                  <w:tcW w:w="232" w:type="pct"/>
                  <w:vMerge w:val="continue"/>
                  <w:tcBorders>
                    <w:tl2br w:val="nil"/>
                    <w:tr2bl w:val="nil"/>
                  </w:tcBorders>
                  <w:vAlign w:val="center"/>
                </w:tcPr>
                <w:p w14:paraId="6D9E957F">
                  <w:pPr>
                    <w:adjustRightInd w:val="0"/>
                    <w:spacing w:line="240" w:lineRule="exact"/>
                    <w:jc w:val="center"/>
                    <w:textAlignment w:val="baseline"/>
                    <w:rPr>
                      <w:rFonts w:ascii="Times New Roman" w:hAnsi="Times New Roman" w:eastAsia="宋体" w:cs="Times New Roman"/>
                      <w:szCs w:val="21"/>
                    </w:rPr>
                  </w:pPr>
                </w:p>
              </w:tc>
              <w:tc>
                <w:tcPr>
                  <w:tcW w:w="339" w:type="pct"/>
                  <w:vMerge w:val="continue"/>
                  <w:tcBorders>
                    <w:tl2br w:val="nil"/>
                    <w:tr2bl w:val="nil"/>
                  </w:tcBorders>
                  <w:vAlign w:val="center"/>
                </w:tcPr>
                <w:p w14:paraId="77DA0D8A">
                  <w:pPr>
                    <w:adjustRightInd w:val="0"/>
                    <w:spacing w:line="240" w:lineRule="exact"/>
                    <w:jc w:val="center"/>
                    <w:textAlignment w:val="baseline"/>
                    <w:rPr>
                      <w:rFonts w:ascii="Times New Roman" w:hAnsi="Times New Roman" w:eastAsia="宋体" w:cs="Times New Roman"/>
                      <w:szCs w:val="21"/>
                    </w:rPr>
                  </w:pPr>
                </w:p>
              </w:tc>
              <w:tc>
                <w:tcPr>
                  <w:tcW w:w="367" w:type="pct"/>
                  <w:tcBorders>
                    <w:bottom w:val="single" w:color="auto" w:sz="4" w:space="0"/>
                    <w:tl2br w:val="nil"/>
                    <w:tr2bl w:val="nil"/>
                  </w:tcBorders>
                  <w:vAlign w:val="center"/>
                </w:tcPr>
                <w:p w14:paraId="0346504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63</w:t>
                  </w:r>
                </w:p>
              </w:tc>
              <w:tc>
                <w:tcPr>
                  <w:tcW w:w="465" w:type="pct"/>
                  <w:tcBorders>
                    <w:bottom w:val="single" w:color="auto" w:sz="4" w:space="0"/>
                    <w:tl2br w:val="nil"/>
                    <w:tr2bl w:val="nil"/>
                  </w:tcBorders>
                  <w:vAlign w:val="center"/>
                </w:tcPr>
                <w:p w14:paraId="3B81C7D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0.0043</w:t>
                  </w:r>
                </w:p>
              </w:tc>
              <w:tc>
                <w:tcPr>
                  <w:tcW w:w="261" w:type="pct"/>
                  <w:vMerge w:val="continue"/>
                  <w:tcBorders>
                    <w:tl2br w:val="nil"/>
                    <w:tr2bl w:val="nil"/>
                  </w:tcBorders>
                  <w:vAlign w:val="center"/>
                </w:tcPr>
                <w:p w14:paraId="7CDBA6F1">
                  <w:pPr>
                    <w:jc w:val="center"/>
                    <w:rPr>
                      <w:rFonts w:ascii="Times New Roman" w:hAnsi="Times New Roman" w:eastAsia="宋体" w:cs="Times New Roman"/>
                      <w:color w:val="000000"/>
                      <w:szCs w:val="21"/>
                    </w:rPr>
                  </w:pPr>
                </w:p>
              </w:tc>
              <w:tc>
                <w:tcPr>
                  <w:tcW w:w="344" w:type="pct"/>
                  <w:vMerge w:val="continue"/>
                  <w:tcBorders>
                    <w:tl2br w:val="nil"/>
                    <w:tr2bl w:val="nil"/>
                  </w:tcBorders>
                  <w:vAlign w:val="center"/>
                </w:tcPr>
                <w:p w14:paraId="11A072B9">
                  <w:pPr>
                    <w:jc w:val="center"/>
                    <w:rPr>
                      <w:rFonts w:ascii="Times New Roman" w:hAnsi="Times New Roman" w:eastAsia="宋体" w:cs="Times New Roman"/>
                      <w:color w:val="000000"/>
                      <w:szCs w:val="21"/>
                    </w:rPr>
                  </w:pPr>
                </w:p>
              </w:tc>
            </w:tr>
            <w:tr w14:paraId="6B12F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94" w:type="pct"/>
                  <w:vMerge w:val="continue"/>
                  <w:tcBorders>
                    <w:tl2br w:val="nil"/>
                    <w:tr2bl w:val="nil"/>
                  </w:tcBorders>
                  <w:vAlign w:val="center"/>
                </w:tcPr>
                <w:p w14:paraId="55EA1C3D">
                  <w:pPr>
                    <w:adjustRightInd w:val="0"/>
                    <w:spacing w:line="240" w:lineRule="exact"/>
                    <w:jc w:val="center"/>
                    <w:textAlignment w:val="baseline"/>
                    <w:rPr>
                      <w:rFonts w:ascii="Times New Roman" w:hAnsi="Times New Roman" w:eastAsia="宋体" w:cs="Times New Roman"/>
                      <w:szCs w:val="21"/>
                    </w:rPr>
                  </w:pPr>
                </w:p>
              </w:tc>
              <w:tc>
                <w:tcPr>
                  <w:tcW w:w="422" w:type="pct"/>
                  <w:tcBorders>
                    <w:top w:val="single" w:color="auto" w:sz="4" w:space="0"/>
                    <w:tl2br w:val="nil"/>
                    <w:tr2bl w:val="nil"/>
                  </w:tcBorders>
                  <w:vAlign w:val="center"/>
                </w:tcPr>
                <w:p w14:paraId="114A413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TP</w:t>
                  </w:r>
                </w:p>
              </w:tc>
              <w:tc>
                <w:tcPr>
                  <w:tcW w:w="235" w:type="pct"/>
                  <w:vMerge w:val="continue"/>
                  <w:tcBorders>
                    <w:tl2br w:val="nil"/>
                    <w:tr2bl w:val="nil"/>
                  </w:tcBorders>
                  <w:vAlign w:val="center"/>
                </w:tcPr>
                <w:p w14:paraId="68B52B94">
                  <w:pPr>
                    <w:adjustRightInd w:val="0"/>
                    <w:spacing w:line="240" w:lineRule="exact"/>
                    <w:jc w:val="center"/>
                    <w:textAlignment w:val="baseline"/>
                    <w:rPr>
                      <w:rFonts w:ascii="Times New Roman" w:hAnsi="Times New Roman" w:eastAsia="宋体" w:cs="Times New Roman"/>
                      <w:szCs w:val="21"/>
                    </w:rPr>
                  </w:pPr>
                </w:p>
              </w:tc>
              <w:tc>
                <w:tcPr>
                  <w:tcW w:w="347" w:type="pct"/>
                  <w:vMerge w:val="continue"/>
                  <w:tcBorders>
                    <w:tl2br w:val="nil"/>
                    <w:tr2bl w:val="nil"/>
                  </w:tcBorders>
                  <w:vAlign w:val="center"/>
                </w:tcPr>
                <w:p w14:paraId="0955C0FC">
                  <w:pPr>
                    <w:adjustRightInd w:val="0"/>
                    <w:spacing w:line="240" w:lineRule="exact"/>
                    <w:jc w:val="center"/>
                    <w:textAlignment w:val="baseline"/>
                    <w:rPr>
                      <w:rFonts w:ascii="Times New Roman" w:hAnsi="Times New Roman" w:eastAsia="宋体" w:cs="Times New Roman"/>
                      <w:szCs w:val="21"/>
                    </w:rPr>
                  </w:pPr>
                </w:p>
              </w:tc>
              <w:tc>
                <w:tcPr>
                  <w:tcW w:w="350" w:type="pct"/>
                  <w:tcBorders>
                    <w:top w:val="single" w:color="auto" w:sz="4" w:space="0"/>
                    <w:tl2br w:val="nil"/>
                    <w:tr2bl w:val="nil"/>
                  </w:tcBorders>
                  <w:vAlign w:val="center"/>
                </w:tcPr>
                <w:p w14:paraId="39D92C7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5.12</w:t>
                  </w:r>
                </w:p>
              </w:tc>
              <w:tc>
                <w:tcPr>
                  <w:tcW w:w="337" w:type="pct"/>
                  <w:tcBorders>
                    <w:top w:val="single" w:color="auto" w:sz="4" w:space="0"/>
                    <w:tl2br w:val="nil"/>
                    <w:tr2bl w:val="nil"/>
                  </w:tcBorders>
                  <w:vAlign w:val="center"/>
                </w:tcPr>
                <w:p w14:paraId="5B8B651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0.00035</w:t>
                  </w:r>
                </w:p>
              </w:tc>
              <w:tc>
                <w:tcPr>
                  <w:tcW w:w="239" w:type="pct"/>
                  <w:vMerge w:val="continue"/>
                  <w:tcBorders>
                    <w:tl2br w:val="nil"/>
                    <w:tr2bl w:val="nil"/>
                  </w:tcBorders>
                  <w:vAlign w:val="center"/>
                </w:tcPr>
                <w:p w14:paraId="0DB1DC01">
                  <w:pPr>
                    <w:adjustRightInd w:val="0"/>
                    <w:spacing w:line="240" w:lineRule="exact"/>
                    <w:jc w:val="center"/>
                    <w:textAlignment w:val="baseline"/>
                    <w:rPr>
                      <w:rFonts w:ascii="Times New Roman" w:hAnsi="Times New Roman" w:eastAsia="宋体" w:cs="Times New Roman"/>
                      <w:szCs w:val="21"/>
                    </w:rPr>
                  </w:pPr>
                </w:p>
              </w:tc>
              <w:tc>
                <w:tcPr>
                  <w:tcW w:w="354" w:type="pct"/>
                  <w:tcBorders>
                    <w:top w:val="single" w:color="auto" w:sz="4" w:space="0"/>
                    <w:tl2br w:val="nil"/>
                    <w:tr2bl w:val="nil"/>
                  </w:tcBorders>
                  <w:vAlign w:val="center"/>
                </w:tcPr>
                <w:p w14:paraId="7B51D22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w:t>
                  </w:r>
                </w:p>
              </w:tc>
              <w:tc>
                <w:tcPr>
                  <w:tcW w:w="408" w:type="pct"/>
                  <w:tcBorders>
                    <w:top w:val="single" w:color="auto" w:sz="4" w:space="0"/>
                    <w:tl2br w:val="nil"/>
                    <w:tr2bl w:val="nil"/>
                  </w:tcBorders>
                  <w:vAlign w:val="center"/>
                </w:tcPr>
                <w:p w14:paraId="0CF7059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TP</w:t>
                  </w:r>
                </w:p>
              </w:tc>
              <w:tc>
                <w:tcPr>
                  <w:tcW w:w="232" w:type="pct"/>
                  <w:vMerge w:val="continue"/>
                  <w:tcBorders>
                    <w:tl2br w:val="nil"/>
                    <w:tr2bl w:val="nil"/>
                  </w:tcBorders>
                  <w:vAlign w:val="center"/>
                </w:tcPr>
                <w:p w14:paraId="7B9D73E6">
                  <w:pPr>
                    <w:adjustRightInd w:val="0"/>
                    <w:spacing w:line="240" w:lineRule="exact"/>
                    <w:jc w:val="center"/>
                    <w:textAlignment w:val="baseline"/>
                    <w:rPr>
                      <w:rFonts w:ascii="Times New Roman" w:hAnsi="Times New Roman" w:eastAsia="宋体" w:cs="Times New Roman"/>
                      <w:szCs w:val="21"/>
                    </w:rPr>
                  </w:pPr>
                </w:p>
              </w:tc>
              <w:tc>
                <w:tcPr>
                  <w:tcW w:w="339" w:type="pct"/>
                  <w:vMerge w:val="continue"/>
                  <w:tcBorders>
                    <w:tl2br w:val="nil"/>
                    <w:tr2bl w:val="nil"/>
                  </w:tcBorders>
                  <w:vAlign w:val="center"/>
                </w:tcPr>
                <w:p w14:paraId="627431CB">
                  <w:pPr>
                    <w:adjustRightInd w:val="0"/>
                    <w:spacing w:line="240" w:lineRule="exact"/>
                    <w:jc w:val="center"/>
                    <w:textAlignment w:val="baseline"/>
                    <w:rPr>
                      <w:rFonts w:ascii="Times New Roman" w:hAnsi="Times New Roman" w:eastAsia="宋体" w:cs="Times New Roman"/>
                      <w:szCs w:val="21"/>
                    </w:rPr>
                  </w:pPr>
                </w:p>
              </w:tc>
              <w:tc>
                <w:tcPr>
                  <w:tcW w:w="367" w:type="pct"/>
                  <w:tcBorders>
                    <w:top w:val="single" w:color="auto" w:sz="4" w:space="0"/>
                    <w:tl2br w:val="nil"/>
                    <w:tr2bl w:val="nil"/>
                  </w:tcBorders>
                  <w:vAlign w:val="center"/>
                </w:tcPr>
                <w:p w14:paraId="1EA720A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5.12</w:t>
                  </w:r>
                </w:p>
              </w:tc>
              <w:tc>
                <w:tcPr>
                  <w:tcW w:w="465" w:type="pct"/>
                  <w:tcBorders>
                    <w:top w:val="single" w:color="auto" w:sz="4" w:space="0"/>
                    <w:tl2br w:val="nil"/>
                    <w:tr2bl w:val="nil"/>
                  </w:tcBorders>
                  <w:vAlign w:val="center"/>
                </w:tcPr>
                <w:p w14:paraId="0C9D3DD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0.00035</w:t>
                  </w:r>
                </w:p>
              </w:tc>
              <w:tc>
                <w:tcPr>
                  <w:tcW w:w="261" w:type="pct"/>
                  <w:vMerge w:val="continue"/>
                  <w:tcBorders>
                    <w:tl2br w:val="nil"/>
                    <w:tr2bl w:val="nil"/>
                  </w:tcBorders>
                  <w:vAlign w:val="center"/>
                </w:tcPr>
                <w:p w14:paraId="075AA619">
                  <w:pPr>
                    <w:jc w:val="center"/>
                    <w:rPr>
                      <w:rFonts w:ascii="Times New Roman" w:hAnsi="Times New Roman" w:eastAsia="宋体" w:cs="Times New Roman"/>
                      <w:color w:val="000000"/>
                      <w:szCs w:val="21"/>
                    </w:rPr>
                  </w:pPr>
                </w:p>
              </w:tc>
              <w:tc>
                <w:tcPr>
                  <w:tcW w:w="344" w:type="pct"/>
                  <w:vMerge w:val="continue"/>
                  <w:tcBorders>
                    <w:tl2br w:val="nil"/>
                    <w:tr2bl w:val="nil"/>
                  </w:tcBorders>
                  <w:vAlign w:val="center"/>
                </w:tcPr>
                <w:p w14:paraId="3BA2AEA7">
                  <w:pPr>
                    <w:jc w:val="center"/>
                    <w:rPr>
                      <w:rFonts w:ascii="Times New Roman" w:hAnsi="Times New Roman" w:eastAsia="宋体" w:cs="Times New Roman"/>
                      <w:color w:val="000000"/>
                      <w:szCs w:val="21"/>
                    </w:rPr>
                  </w:pPr>
                </w:p>
              </w:tc>
            </w:tr>
            <w:tr w14:paraId="7131E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94" w:type="pct"/>
                  <w:vMerge w:val="continue"/>
                  <w:tcBorders>
                    <w:tl2br w:val="nil"/>
                    <w:tr2bl w:val="nil"/>
                  </w:tcBorders>
                  <w:vAlign w:val="center"/>
                </w:tcPr>
                <w:p w14:paraId="52BB7448">
                  <w:pPr>
                    <w:adjustRightInd w:val="0"/>
                    <w:spacing w:line="240" w:lineRule="exact"/>
                    <w:jc w:val="center"/>
                    <w:textAlignment w:val="baseline"/>
                    <w:rPr>
                      <w:rFonts w:ascii="Times New Roman" w:hAnsi="Times New Roman" w:eastAsia="宋体" w:cs="Times New Roman"/>
                      <w:szCs w:val="21"/>
                    </w:rPr>
                  </w:pPr>
                </w:p>
              </w:tc>
              <w:tc>
                <w:tcPr>
                  <w:tcW w:w="422" w:type="pct"/>
                  <w:tcBorders>
                    <w:tl2br w:val="nil"/>
                    <w:tr2bl w:val="nil"/>
                  </w:tcBorders>
                  <w:vAlign w:val="center"/>
                </w:tcPr>
                <w:p w14:paraId="7C68D61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LAS</w:t>
                  </w:r>
                </w:p>
              </w:tc>
              <w:tc>
                <w:tcPr>
                  <w:tcW w:w="235" w:type="pct"/>
                  <w:vMerge w:val="continue"/>
                  <w:tcBorders>
                    <w:tl2br w:val="nil"/>
                    <w:tr2bl w:val="nil"/>
                  </w:tcBorders>
                  <w:vAlign w:val="center"/>
                </w:tcPr>
                <w:p w14:paraId="5CE9BAFE">
                  <w:pPr>
                    <w:adjustRightInd w:val="0"/>
                    <w:spacing w:line="240" w:lineRule="exact"/>
                    <w:jc w:val="center"/>
                    <w:textAlignment w:val="baseline"/>
                    <w:rPr>
                      <w:rFonts w:ascii="Times New Roman" w:hAnsi="Times New Roman" w:eastAsia="宋体" w:cs="Times New Roman"/>
                      <w:szCs w:val="21"/>
                    </w:rPr>
                  </w:pPr>
                </w:p>
              </w:tc>
              <w:tc>
                <w:tcPr>
                  <w:tcW w:w="347" w:type="pct"/>
                  <w:vMerge w:val="continue"/>
                  <w:tcBorders>
                    <w:tl2br w:val="nil"/>
                    <w:tr2bl w:val="nil"/>
                  </w:tcBorders>
                  <w:vAlign w:val="center"/>
                </w:tcPr>
                <w:p w14:paraId="0DB79AB0">
                  <w:pPr>
                    <w:adjustRightInd w:val="0"/>
                    <w:spacing w:line="240" w:lineRule="exact"/>
                    <w:jc w:val="center"/>
                    <w:textAlignment w:val="baseline"/>
                    <w:rPr>
                      <w:rFonts w:ascii="Times New Roman" w:hAnsi="Times New Roman" w:eastAsia="宋体" w:cs="Times New Roman"/>
                      <w:szCs w:val="21"/>
                    </w:rPr>
                  </w:pPr>
                </w:p>
              </w:tc>
              <w:tc>
                <w:tcPr>
                  <w:tcW w:w="350" w:type="pct"/>
                  <w:tcBorders>
                    <w:tl2br w:val="nil"/>
                    <w:tr2bl w:val="nil"/>
                  </w:tcBorders>
                  <w:vAlign w:val="center"/>
                </w:tcPr>
                <w:p w14:paraId="57B6017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15</w:t>
                  </w:r>
                </w:p>
              </w:tc>
              <w:tc>
                <w:tcPr>
                  <w:tcW w:w="337" w:type="pct"/>
                  <w:tcBorders>
                    <w:tl2br w:val="nil"/>
                    <w:tr2bl w:val="nil"/>
                  </w:tcBorders>
                  <w:vAlign w:val="center"/>
                </w:tcPr>
                <w:p w14:paraId="7C622C0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0.001</w:t>
                  </w:r>
                </w:p>
              </w:tc>
              <w:tc>
                <w:tcPr>
                  <w:tcW w:w="239" w:type="pct"/>
                  <w:vMerge w:val="continue"/>
                  <w:tcBorders>
                    <w:tl2br w:val="nil"/>
                    <w:tr2bl w:val="nil"/>
                  </w:tcBorders>
                  <w:vAlign w:val="center"/>
                </w:tcPr>
                <w:p w14:paraId="5D4022E5">
                  <w:pPr>
                    <w:adjustRightInd w:val="0"/>
                    <w:spacing w:line="240" w:lineRule="exact"/>
                    <w:jc w:val="center"/>
                    <w:textAlignment w:val="baseline"/>
                    <w:rPr>
                      <w:rFonts w:ascii="Times New Roman" w:hAnsi="Times New Roman" w:eastAsia="宋体" w:cs="Times New Roman"/>
                      <w:szCs w:val="21"/>
                    </w:rPr>
                  </w:pPr>
                </w:p>
              </w:tc>
              <w:tc>
                <w:tcPr>
                  <w:tcW w:w="354" w:type="pct"/>
                  <w:tcBorders>
                    <w:tl2br w:val="nil"/>
                    <w:tr2bl w:val="nil"/>
                  </w:tcBorders>
                  <w:vAlign w:val="center"/>
                </w:tcPr>
                <w:p w14:paraId="00878BE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w:t>
                  </w:r>
                </w:p>
              </w:tc>
              <w:tc>
                <w:tcPr>
                  <w:tcW w:w="408" w:type="pct"/>
                  <w:tcBorders>
                    <w:tl2br w:val="nil"/>
                    <w:tr2bl w:val="nil"/>
                  </w:tcBorders>
                  <w:vAlign w:val="center"/>
                </w:tcPr>
                <w:p w14:paraId="6B0FC9A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LAS</w:t>
                  </w:r>
                </w:p>
              </w:tc>
              <w:tc>
                <w:tcPr>
                  <w:tcW w:w="232" w:type="pct"/>
                  <w:vMerge w:val="continue"/>
                  <w:tcBorders>
                    <w:tl2br w:val="nil"/>
                    <w:tr2bl w:val="nil"/>
                  </w:tcBorders>
                  <w:vAlign w:val="center"/>
                </w:tcPr>
                <w:p w14:paraId="57B8F619">
                  <w:pPr>
                    <w:adjustRightInd w:val="0"/>
                    <w:spacing w:line="240" w:lineRule="exact"/>
                    <w:jc w:val="center"/>
                    <w:textAlignment w:val="baseline"/>
                    <w:rPr>
                      <w:rFonts w:ascii="Times New Roman" w:hAnsi="Times New Roman" w:eastAsia="宋体" w:cs="Times New Roman"/>
                      <w:szCs w:val="21"/>
                    </w:rPr>
                  </w:pPr>
                </w:p>
              </w:tc>
              <w:tc>
                <w:tcPr>
                  <w:tcW w:w="339" w:type="pct"/>
                  <w:vMerge w:val="continue"/>
                  <w:tcBorders>
                    <w:tl2br w:val="nil"/>
                    <w:tr2bl w:val="nil"/>
                  </w:tcBorders>
                  <w:vAlign w:val="center"/>
                </w:tcPr>
                <w:p w14:paraId="6DC5F306">
                  <w:pPr>
                    <w:adjustRightInd w:val="0"/>
                    <w:spacing w:line="240" w:lineRule="exact"/>
                    <w:jc w:val="center"/>
                    <w:textAlignment w:val="baseline"/>
                    <w:rPr>
                      <w:rFonts w:ascii="Times New Roman" w:hAnsi="Times New Roman" w:eastAsia="宋体" w:cs="Times New Roman"/>
                      <w:szCs w:val="21"/>
                    </w:rPr>
                  </w:pPr>
                </w:p>
              </w:tc>
              <w:tc>
                <w:tcPr>
                  <w:tcW w:w="367" w:type="pct"/>
                  <w:tcBorders>
                    <w:tl2br w:val="nil"/>
                    <w:tr2bl w:val="nil"/>
                  </w:tcBorders>
                  <w:vAlign w:val="center"/>
                </w:tcPr>
                <w:p w14:paraId="5E09142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14.25</w:t>
                  </w:r>
                </w:p>
              </w:tc>
              <w:tc>
                <w:tcPr>
                  <w:tcW w:w="465" w:type="pct"/>
                  <w:tcBorders>
                    <w:tl2br w:val="nil"/>
                    <w:tr2bl w:val="nil"/>
                  </w:tcBorders>
                  <w:vAlign w:val="center"/>
                </w:tcPr>
                <w:p w14:paraId="1D56260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0.001</w:t>
                  </w:r>
                </w:p>
              </w:tc>
              <w:tc>
                <w:tcPr>
                  <w:tcW w:w="261" w:type="pct"/>
                  <w:vMerge w:val="continue"/>
                  <w:tcBorders>
                    <w:tl2br w:val="nil"/>
                    <w:tr2bl w:val="nil"/>
                  </w:tcBorders>
                  <w:vAlign w:val="center"/>
                </w:tcPr>
                <w:p w14:paraId="0CFCE369">
                  <w:pPr>
                    <w:jc w:val="center"/>
                    <w:rPr>
                      <w:rFonts w:ascii="Times New Roman" w:hAnsi="Times New Roman" w:eastAsia="宋体" w:cs="Times New Roman"/>
                      <w:color w:val="000000"/>
                      <w:szCs w:val="21"/>
                    </w:rPr>
                  </w:pPr>
                </w:p>
              </w:tc>
              <w:tc>
                <w:tcPr>
                  <w:tcW w:w="344" w:type="pct"/>
                  <w:vMerge w:val="continue"/>
                  <w:tcBorders>
                    <w:tl2br w:val="nil"/>
                    <w:tr2bl w:val="nil"/>
                  </w:tcBorders>
                  <w:vAlign w:val="center"/>
                </w:tcPr>
                <w:p w14:paraId="5CACEDF6">
                  <w:pPr>
                    <w:jc w:val="center"/>
                    <w:rPr>
                      <w:rFonts w:ascii="Times New Roman" w:hAnsi="Times New Roman" w:eastAsia="宋体" w:cs="Times New Roman"/>
                      <w:color w:val="000000"/>
                      <w:szCs w:val="21"/>
                    </w:rPr>
                  </w:pPr>
                </w:p>
              </w:tc>
            </w:tr>
            <w:tr w14:paraId="04F72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94" w:type="pct"/>
                  <w:vMerge w:val="continue"/>
                  <w:tcBorders>
                    <w:tl2br w:val="nil"/>
                    <w:tr2bl w:val="nil"/>
                  </w:tcBorders>
                  <w:vAlign w:val="center"/>
                </w:tcPr>
                <w:p w14:paraId="226E8C00">
                  <w:pPr>
                    <w:adjustRightInd w:val="0"/>
                    <w:spacing w:line="240" w:lineRule="exact"/>
                    <w:jc w:val="center"/>
                    <w:textAlignment w:val="baseline"/>
                    <w:rPr>
                      <w:rFonts w:ascii="Times New Roman" w:hAnsi="Times New Roman" w:eastAsia="宋体" w:cs="Times New Roman"/>
                      <w:szCs w:val="21"/>
                    </w:rPr>
                  </w:pPr>
                </w:p>
              </w:tc>
              <w:tc>
                <w:tcPr>
                  <w:tcW w:w="422" w:type="pct"/>
                  <w:tcBorders>
                    <w:tl2br w:val="nil"/>
                    <w:tr2bl w:val="nil"/>
                  </w:tcBorders>
                  <w:vAlign w:val="center"/>
                </w:tcPr>
                <w:p w14:paraId="05FDA8A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动植</w:t>
                  </w:r>
                </w:p>
                <w:p w14:paraId="6F3BE18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物油</w:t>
                  </w:r>
                </w:p>
              </w:tc>
              <w:tc>
                <w:tcPr>
                  <w:tcW w:w="235" w:type="pct"/>
                  <w:vMerge w:val="continue"/>
                  <w:tcBorders>
                    <w:tl2br w:val="nil"/>
                    <w:tr2bl w:val="nil"/>
                  </w:tcBorders>
                  <w:vAlign w:val="center"/>
                </w:tcPr>
                <w:p w14:paraId="674840EC">
                  <w:pPr>
                    <w:adjustRightInd w:val="0"/>
                    <w:spacing w:line="240" w:lineRule="exact"/>
                    <w:jc w:val="center"/>
                    <w:textAlignment w:val="baseline"/>
                    <w:rPr>
                      <w:rFonts w:ascii="Times New Roman" w:hAnsi="Times New Roman" w:eastAsia="宋体" w:cs="Times New Roman"/>
                      <w:szCs w:val="21"/>
                    </w:rPr>
                  </w:pPr>
                </w:p>
              </w:tc>
              <w:tc>
                <w:tcPr>
                  <w:tcW w:w="347" w:type="pct"/>
                  <w:vMerge w:val="continue"/>
                  <w:tcBorders>
                    <w:tl2br w:val="nil"/>
                    <w:tr2bl w:val="nil"/>
                  </w:tcBorders>
                  <w:vAlign w:val="center"/>
                </w:tcPr>
                <w:p w14:paraId="59EF9D30">
                  <w:pPr>
                    <w:adjustRightInd w:val="0"/>
                    <w:spacing w:line="240" w:lineRule="exact"/>
                    <w:jc w:val="center"/>
                    <w:textAlignment w:val="baseline"/>
                    <w:rPr>
                      <w:rFonts w:ascii="Times New Roman" w:hAnsi="Times New Roman" w:eastAsia="宋体" w:cs="Times New Roman"/>
                      <w:szCs w:val="21"/>
                    </w:rPr>
                  </w:pPr>
                </w:p>
              </w:tc>
              <w:tc>
                <w:tcPr>
                  <w:tcW w:w="350" w:type="pct"/>
                  <w:tcBorders>
                    <w:tl2br w:val="nil"/>
                    <w:tr2bl w:val="nil"/>
                  </w:tcBorders>
                  <w:vAlign w:val="center"/>
                </w:tcPr>
                <w:p w14:paraId="586E132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100</w:t>
                  </w:r>
                </w:p>
              </w:tc>
              <w:tc>
                <w:tcPr>
                  <w:tcW w:w="337" w:type="pct"/>
                  <w:tcBorders>
                    <w:tl2br w:val="nil"/>
                    <w:tr2bl w:val="nil"/>
                  </w:tcBorders>
                  <w:vAlign w:val="center"/>
                </w:tcPr>
                <w:p w14:paraId="11E19B6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0.0068</w:t>
                  </w:r>
                </w:p>
              </w:tc>
              <w:tc>
                <w:tcPr>
                  <w:tcW w:w="239" w:type="pct"/>
                  <w:vMerge w:val="continue"/>
                  <w:tcBorders>
                    <w:tl2br w:val="nil"/>
                    <w:tr2bl w:val="nil"/>
                  </w:tcBorders>
                  <w:vAlign w:val="center"/>
                </w:tcPr>
                <w:p w14:paraId="1713AF43">
                  <w:pPr>
                    <w:adjustRightInd w:val="0"/>
                    <w:spacing w:line="240" w:lineRule="exact"/>
                    <w:jc w:val="center"/>
                    <w:textAlignment w:val="baseline"/>
                    <w:rPr>
                      <w:rFonts w:ascii="Times New Roman" w:hAnsi="Times New Roman" w:eastAsia="宋体" w:cs="Times New Roman"/>
                      <w:szCs w:val="21"/>
                    </w:rPr>
                  </w:pPr>
                </w:p>
              </w:tc>
              <w:tc>
                <w:tcPr>
                  <w:tcW w:w="354" w:type="pct"/>
                  <w:tcBorders>
                    <w:tl2br w:val="nil"/>
                    <w:tr2bl w:val="nil"/>
                  </w:tcBorders>
                  <w:vAlign w:val="center"/>
                </w:tcPr>
                <w:p w14:paraId="693765F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50</w:t>
                  </w:r>
                </w:p>
              </w:tc>
              <w:tc>
                <w:tcPr>
                  <w:tcW w:w="408" w:type="pct"/>
                  <w:tcBorders>
                    <w:tl2br w:val="nil"/>
                    <w:tr2bl w:val="nil"/>
                  </w:tcBorders>
                  <w:vAlign w:val="center"/>
                </w:tcPr>
                <w:p w14:paraId="0D4ECF2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动植</w:t>
                  </w:r>
                </w:p>
                <w:p w14:paraId="236CF32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物油</w:t>
                  </w:r>
                </w:p>
              </w:tc>
              <w:tc>
                <w:tcPr>
                  <w:tcW w:w="232" w:type="pct"/>
                  <w:vMerge w:val="continue"/>
                  <w:tcBorders>
                    <w:tl2br w:val="nil"/>
                    <w:tr2bl w:val="nil"/>
                  </w:tcBorders>
                  <w:vAlign w:val="center"/>
                </w:tcPr>
                <w:p w14:paraId="25B870DD">
                  <w:pPr>
                    <w:adjustRightInd w:val="0"/>
                    <w:spacing w:line="240" w:lineRule="exact"/>
                    <w:jc w:val="center"/>
                    <w:textAlignment w:val="baseline"/>
                    <w:rPr>
                      <w:rFonts w:ascii="Times New Roman" w:hAnsi="Times New Roman" w:eastAsia="宋体" w:cs="Times New Roman"/>
                      <w:szCs w:val="21"/>
                    </w:rPr>
                  </w:pPr>
                </w:p>
              </w:tc>
              <w:tc>
                <w:tcPr>
                  <w:tcW w:w="339" w:type="pct"/>
                  <w:vMerge w:val="continue"/>
                  <w:tcBorders>
                    <w:tl2br w:val="nil"/>
                    <w:tr2bl w:val="nil"/>
                  </w:tcBorders>
                  <w:vAlign w:val="center"/>
                </w:tcPr>
                <w:p w14:paraId="2FCE9E63">
                  <w:pPr>
                    <w:adjustRightInd w:val="0"/>
                    <w:spacing w:line="240" w:lineRule="exact"/>
                    <w:jc w:val="center"/>
                    <w:textAlignment w:val="baseline"/>
                    <w:rPr>
                      <w:rFonts w:ascii="Times New Roman" w:hAnsi="Times New Roman" w:eastAsia="宋体" w:cs="Times New Roman"/>
                      <w:szCs w:val="21"/>
                    </w:rPr>
                  </w:pPr>
                </w:p>
              </w:tc>
              <w:tc>
                <w:tcPr>
                  <w:tcW w:w="367" w:type="pct"/>
                  <w:tcBorders>
                    <w:tl2br w:val="nil"/>
                    <w:tr2bl w:val="nil"/>
                  </w:tcBorders>
                  <w:vAlign w:val="center"/>
                </w:tcPr>
                <w:p w14:paraId="249EF61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50</w:t>
                  </w:r>
                </w:p>
              </w:tc>
              <w:tc>
                <w:tcPr>
                  <w:tcW w:w="465" w:type="pct"/>
                  <w:tcBorders>
                    <w:tl2br w:val="nil"/>
                    <w:tr2bl w:val="nil"/>
                  </w:tcBorders>
                  <w:vAlign w:val="center"/>
                </w:tcPr>
                <w:p w14:paraId="0154683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0.0034</w:t>
                  </w:r>
                </w:p>
              </w:tc>
              <w:tc>
                <w:tcPr>
                  <w:tcW w:w="261" w:type="pct"/>
                  <w:vMerge w:val="continue"/>
                  <w:tcBorders>
                    <w:tl2br w:val="nil"/>
                    <w:tr2bl w:val="nil"/>
                  </w:tcBorders>
                  <w:vAlign w:val="center"/>
                </w:tcPr>
                <w:p w14:paraId="1E2EC9DE">
                  <w:pPr>
                    <w:jc w:val="center"/>
                    <w:rPr>
                      <w:rFonts w:ascii="Times New Roman" w:hAnsi="Times New Roman" w:eastAsia="宋体" w:cs="Times New Roman"/>
                      <w:color w:val="000000"/>
                      <w:szCs w:val="21"/>
                    </w:rPr>
                  </w:pPr>
                </w:p>
              </w:tc>
              <w:tc>
                <w:tcPr>
                  <w:tcW w:w="344" w:type="pct"/>
                  <w:vMerge w:val="continue"/>
                  <w:tcBorders>
                    <w:tl2br w:val="nil"/>
                    <w:tr2bl w:val="nil"/>
                  </w:tcBorders>
                  <w:vAlign w:val="center"/>
                </w:tcPr>
                <w:p w14:paraId="040312DC">
                  <w:pPr>
                    <w:jc w:val="center"/>
                    <w:rPr>
                      <w:rFonts w:ascii="Times New Roman" w:hAnsi="Times New Roman" w:eastAsia="宋体" w:cs="Times New Roman"/>
                      <w:color w:val="000000"/>
                      <w:szCs w:val="21"/>
                    </w:rPr>
                  </w:pPr>
                </w:p>
              </w:tc>
            </w:tr>
            <w:tr w14:paraId="0A9FA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94" w:type="pct"/>
                  <w:vMerge w:val="continue"/>
                  <w:tcBorders>
                    <w:tl2br w:val="nil"/>
                    <w:tr2bl w:val="nil"/>
                  </w:tcBorders>
                  <w:vAlign w:val="center"/>
                </w:tcPr>
                <w:p w14:paraId="196B1B71">
                  <w:pPr>
                    <w:adjustRightInd w:val="0"/>
                    <w:spacing w:line="240" w:lineRule="exact"/>
                    <w:jc w:val="center"/>
                    <w:textAlignment w:val="baseline"/>
                    <w:rPr>
                      <w:rFonts w:ascii="Times New Roman" w:hAnsi="Times New Roman" w:eastAsia="宋体" w:cs="Times New Roman"/>
                      <w:szCs w:val="21"/>
                    </w:rPr>
                  </w:pPr>
                </w:p>
              </w:tc>
              <w:tc>
                <w:tcPr>
                  <w:tcW w:w="422" w:type="pct"/>
                  <w:tcBorders>
                    <w:tl2br w:val="nil"/>
                    <w:tr2bl w:val="nil"/>
                  </w:tcBorders>
                  <w:vAlign w:val="center"/>
                </w:tcPr>
                <w:p w14:paraId="3D08863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BOD</w:t>
                  </w:r>
                  <w:r>
                    <w:rPr>
                      <w:rFonts w:hint="eastAsia" w:ascii="Times New Roman" w:hAnsi="Times New Roman" w:eastAsia="宋体" w:cs="Times New Roman"/>
                      <w:szCs w:val="21"/>
                      <w:vertAlign w:val="subscript"/>
                    </w:rPr>
                    <w:t>5</w:t>
                  </w:r>
                </w:p>
              </w:tc>
              <w:tc>
                <w:tcPr>
                  <w:tcW w:w="235" w:type="pct"/>
                  <w:vMerge w:val="continue"/>
                  <w:tcBorders>
                    <w:tl2br w:val="nil"/>
                    <w:tr2bl w:val="nil"/>
                  </w:tcBorders>
                  <w:vAlign w:val="center"/>
                </w:tcPr>
                <w:p w14:paraId="0B12E5F6">
                  <w:pPr>
                    <w:adjustRightInd w:val="0"/>
                    <w:spacing w:line="240" w:lineRule="exact"/>
                    <w:jc w:val="center"/>
                    <w:textAlignment w:val="baseline"/>
                    <w:rPr>
                      <w:rFonts w:ascii="Times New Roman" w:hAnsi="Times New Roman" w:eastAsia="宋体" w:cs="Times New Roman"/>
                      <w:szCs w:val="21"/>
                    </w:rPr>
                  </w:pPr>
                </w:p>
              </w:tc>
              <w:tc>
                <w:tcPr>
                  <w:tcW w:w="347" w:type="pct"/>
                  <w:vMerge w:val="continue"/>
                  <w:tcBorders>
                    <w:tl2br w:val="nil"/>
                    <w:tr2bl w:val="nil"/>
                  </w:tcBorders>
                  <w:vAlign w:val="center"/>
                </w:tcPr>
                <w:p w14:paraId="6F0CB9AC">
                  <w:pPr>
                    <w:adjustRightInd w:val="0"/>
                    <w:spacing w:line="240" w:lineRule="exact"/>
                    <w:jc w:val="center"/>
                    <w:textAlignment w:val="baseline"/>
                    <w:rPr>
                      <w:rFonts w:ascii="Times New Roman" w:hAnsi="Times New Roman" w:eastAsia="宋体" w:cs="Times New Roman"/>
                      <w:szCs w:val="21"/>
                    </w:rPr>
                  </w:pPr>
                </w:p>
              </w:tc>
              <w:tc>
                <w:tcPr>
                  <w:tcW w:w="350" w:type="pct"/>
                  <w:tcBorders>
                    <w:tl2br w:val="nil"/>
                    <w:tr2bl w:val="nil"/>
                  </w:tcBorders>
                  <w:vAlign w:val="center"/>
                </w:tcPr>
                <w:p w14:paraId="563BFB3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220</w:t>
                  </w:r>
                </w:p>
              </w:tc>
              <w:tc>
                <w:tcPr>
                  <w:tcW w:w="337" w:type="pct"/>
                  <w:tcBorders>
                    <w:tl2br w:val="nil"/>
                    <w:tr2bl w:val="nil"/>
                  </w:tcBorders>
                  <w:vAlign w:val="center"/>
                </w:tcPr>
                <w:p w14:paraId="5622217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0.0150</w:t>
                  </w:r>
                </w:p>
              </w:tc>
              <w:tc>
                <w:tcPr>
                  <w:tcW w:w="239" w:type="pct"/>
                  <w:vMerge w:val="continue"/>
                  <w:tcBorders>
                    <w:tl2br w:val="nil"/>
                    <w:tr2bl w:val="nil"/>
                  </w:tcBorders>
                  <w:vAlign w:val="center"/>
                </w:tcPr>
                <w:p w14:paraId="766A7E96">
                  <w:pPr>
                    <w:adjustRightInd w:val="0"/>
                    <w:spacing w:line="240" w:lineRule="exact"/>
                    <w:jc w:val="center"/>
                    <w:textAlignment w:val="baseline"/>
                    <w:rPr>
                      <w:rFonts w:ascii="Times New Roman" w:hAnsi="Times New Roman" w:eastAsia="宋体" w:cs="Times New Roman"/>
                      <w:szCs w:val="21"/>
                    </w:rPr>
                  </w:pPr>
                </w:p>
              </w:tc>
              <w:tc>
                <w:tcPr>
                  <w:tcW w:w="354" w:type="pct"/>
                  <w:tcBorders>
                    <w:tl2br w:val="nil"/>
                    <w:tr2bl w:val="nil"/>
                  </w:tcBorders>
                  <w:vAlign w:val="center"/>
                </w:tcPr>
                <w:p w14:paraId="6E872EB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20</w:t>
                  </w:r>
                </w:p>
              </w:tc>
              <w:tc>
                <w:tcPr>
                  <w:tcW w:w="408" w:type="pct"/>
                  <w:tcBorders>
                    <w:tl2br w:val="nil"/>
                    <w:tr2bl w:val="nil"/>
                  </w:tcBorders>
                  <w:vAlign w:val="center"/>
                </w:tcPr>
                <w:p w14:paraId="5317DD7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BOD</w:t>
                  </w:r>
                  <w:r>
                    <w:rPr>
                      <w:rFonts w:hint="eastAsia" w:ascii="Times New Roman" w:hAnsi="Times New Roman" w:eastAsia="宋体" w:cs="Times New Roman"/>
                      <w:szCs w:val="21"/>
                      <w:vertAlign w:val="subscript"/>
                    </w:rPr>
                    <w:t>5</w:t>
                  </w:r>
                </w:p>
              </w:tc>
              <w:tc>
                <w:tcPr>
                  <w:tcW w:w="232" w:type="pct"/>
                  <w:vMerge w:val="continue"/>
                  <w:tcBorders>
                    <w:tl2br w:val="nil"/>
                    <w:tr2bl w:val="nil"/>
                  </w:tcBorders>
                  <w:vAlign w:val="center"/>
                </w:tcPr>
                <w:p w14:paraId="55975CD1">
                  <w:pPr>
                    <w:adjustRightInd w:val="0"/>
                    <w:spacing w:line="240" w:lineRule="exact"/>
                    <w:jc w:val="center"/>
                    <w:textAlignment w:val="baseline"/>
                    <w:rPr>
                      <w:rFonts w:ascii="Times New Roman" w:hAnsi="Times New Roman" w:eastAsia="宋体" w:cs="Times New Roman"/>
                      <w:szCs w:val="21"/>
                    </w:rPr>
                  </w:pPr>
                </w:p>
              </w:tc>
              <w:tc>
                <w:tcPr>
                  <w:tcW w:w="339" w:type="pct"/>
                  <w:vMerge w:val="continue"/>
                  <w:tcBorders>
                    <w:tl2br w:val="nil"/>
                    <w:tr2bl w:val="nil"/>
                  </w:tcBorders>
                  <w:vAlign w:val="center"/>
                </w:tcPr>
                <w:p w14:paraId="2AD0A82D">
                  <w:pPr>
                    <w:adjustRightInd w:val="0"/>
                    <w:spacing w:line="240" w:lineRule="exact"/>
                    <w:jc w:val="center"/>
                    <w:textAlignment w:val="baseline"/>
                    <w:rPr>
                      <w:rFonts w:ascii="Times New Roman" w:hAnsi="Times New Roman" w:eastAsia="宋体" w:cs="Times New Roman"/>
                      <w:szCs w:val="21"/>
                    </w:rPr>
                  </w:pPr>
                </w:p>
              </w:tc>
              <w:tc>
                <w:tcPr>
                  <w:tcW w:w="367" w:type="pct"/>
                  <w:tcBorders>
                    <w:tl2br w:val="nil"/>
                    <w:tr2bl w:val="nil"/>
                  </w:tcBorders>
                  <w:vAlign w:val="center"/>
                </w:tcPr>
                <w:p w14:paraId="21D08F8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176</w:t>
                  </w:r>
                </w:p>
              </w:tc>
              <w:tc>
                <w:tcPr>
                  <w:tcW w:w="465" w:type="pct"/>
                  <w:tcBorders>
                    <w:tl2br w:val="nil"/>
                    <w:tr2bl w:val="nil"/>
                  </w:tcBorders>
                  <w:vAlign w:val="center"/>
                </w:tcPr>
                <w:p w14:paraId="591FFFD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0.0120</w:t>
                  </w:r>
                </w:p>
              </w:tc>
              <w:tc>
                <w:tcPr>
                  <w:tcW w:w="261" w:type="pct"/>
                  <w:vMerge w:val="continue"/>
                  <w:tcBorders>
                    <w:tl2br w:val="nil"/>
                    <w:tr2bl w:val="nil"/>
                  </w:tcBorders>
                  <w:vAlign w:val="center"/>
                </w:tcPr>
                <w:p w14:paraId="3BA5EED6">
                  <w:pPr>
                    <w:jc w:val="center"/>
                    <w:rPr>
                      <w:rFonts w:ascii="Times New Roman" w:hAnsi="Times New Roman" w:eastAsia="宋体" w:cs="Times New Roman"/>
                      <w:color w:val="000000"/>
                      <w:szCs w:val="21"/>
                    </w:rPr>
                  </w:pPr>
                </w:p>
              </w:tc>
              <w:tc>
                <w:tcPr>
                  <w:tcW w:w="344" w:type="pct"/>
                  <w:vMerge w:val="continue"/>
                  <w:tcBorders>
                    <w:tl2br w:val="nil"/>
                    <w:tr2bl w:val="nil"/>
                  </w:tcBorders>
                  <w:vAlign w:val="center"/>
                </w:tcPr>
                <w:p w14:paraId="67C84F85">
                  <w:pPr>
                    <w:jc w:val="center"/>
                    <w:rPr>
                      <w:rFonts w:ascii="Times New Roman" w:hAnsi="Times New Roman" w:eastAsia="宋体" w:cs="Times New Roman"/>
                      <w:color w:val="000000"/>
                      <w:szCs w:val="21"/>
                    </w:rPr>
                  </w:pPr>
                </w:p>
              </w:tc>
            </w:tr>
            <w:tr w14:paraId="2D8DB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000" w:type="pct"/>
                  <w:gridSpan w:val="15"/>
                  <w:tcBorders>
                    <w:tl2br w:val="nil"/>
                    <w:tr2bl w:val="nil"/>
                  </w:tcBorders>
                  <w:vAlign w:val="center"/>
                </w:tcPr>
                <w:p w14:paraId="29157C37">
                  <w:pPr>
                    <w:rPr>
                      <w:rFonts w:ascii="Times New Roman" w:hAnsi="Times New Roman" w:eastAsia="宋体" w:cs="Times New Roman"/>
                      <w:b/>
                      <w:bCs/>
                      <w:color w:val="000000"/>
                      <w:szCs w:val="21"/>
                    </w:rPr>
                  </w:pPr>
                  <w:r>
                    <w:rPr>
                      <w:rFonts w:hint="eastAsia" w:ascii="Times New Roman" w:hAnsi="Times New Roman" w:eastAsia="宋体" w:cs="Times New Roman"/>
                      <w:b/>
                      <w:bCs/>
                      <w:color w:val="000000"/>
                      <w:szCs w:val="21"/>
                    </w:rPr>
                    <w:t>废水中污染物产生浓度的确定依据：</w:t>
                  </w:r>
                </w:p>
                <w:p w14:paraId="384B0AA5">
                  <w:pPr>
                    <w:rPr>
                      <w:rFonts w:ascii="Times New Roman" w:hAnsi="Times New Roman" w:eastAsia="宋体" w:cs="Times New Roman"/>
                      <w:color w:val="000000"/>
                      <w:szCs w:val="21"/>
                    </w:rPr>
                  </w:pPr>
                  <w:r>
                    <w:rPr>
                      <w:rFonts w:ascii="Times New Roman" w:hAnsi="Times New Roman" w:eastAsia="宋体" w:cs="Times New Roman"/>
                      <w:color w:val="000000"/>
                      <w:szCs w:val="21"/>
                    </w:rPr>
                    <w:t>COD</w:t>
                  </w:r>
                  <w:r>
                    <w:rPr>
                      <w:rFonts w:hint="eastAsia" w:ascii="Times New Roman" w:hAnsi="Times New Roman" w:eastAsia="宋体" w:cs="Times New Roman"/>
                      <w:color w:val="000000"/>
                      <w:szCs w:val="21"/>
                    </w:rPr>
                    <w:t>、</w:t>
                  </w:r>
                  <w:r>
                    <w:rPr>
                      <w:rFonts w:ascii="Times New Roman" w:hAnsi="Times New Roman" w:eastAsia="宋体" w:cs="Times New Roman"/>
                      <w:color w:val="000000"/>
                      <w:szCs w:val="21"/>
                    </w:rPr>
                    <w:t>TP</w:t>
                  </w:r>
                  <w:r>
                    <w:rPr>
                      <w:rFonts w:hint="eastAsia" w:ascii="Times New Roman" w:hAnsi="Times New Roman" w:eastAsia="宋体" w:cs="Times New Roman"/>
                      <w:color w:val="000000"/>
                      <w:szCs w:val="21"/>
                    </w:rPr>
                    <w:t>根据“《排放源统计调查产排污核算方法和系数手册》（公告2021年第24号）-附3 生活污染源产排污系数手册—表 1-1 城镇生活源水污染物产生系数 三区”确定产生浓度（产生系数：</w:t>
                  </w:r>
                  <w:r>
                    <w:rPr>
                      <w:rFonts w:ascii="Times New Roman" w:hAnsi="Times New Roman" w:eastAsia="宋体" w:cs="Times New Roman"/>
                      <w:color w:val="000000"/>
                      <w:szCs w:val="21"/>
                    </w:rPr>
                    <w:t>COD</w:t>
                  </w:r>
                  <w:r>
                    <w:rPr>
                      <w:rFonts w:hint="eastAsia" w:ascii="Times New Roman" w:hAnsi="Times New Roman" w:eastAsia="宋体" w:cs="Times New Roman"/>
                      <w:color w:val="000000"/>
                      <w:szCs w:val="21"/>
                    </w:rPr>
                    <w:t>：460mg/</w:t>
                  </w:r>
                  <w:r>
                    <w:rPr>
                      <w:rFonts w:ascii="Times New Roman" w:hAnsi="Times New Roman" w:eastAsia="宋体" w:cs="Times New Roman"/>
                      <w:color w:val="000000"/>
                      <w:szCs w:val="21"/>
                    </w:rPr>
                    <w:t>L</w:t>
                  </w:r>
                  <w:r>
                    <w:rPr>
                      <w:rFonts w:hint="eastAsia" w:ascii="Times New Roman" w:hAnsi="Times New Roman" w:eastAsia="宋体" w:cs="Times New Roman"/>
                      <w:color w:val="000000"/>
                      <w:szCs w:val="21"/>
                    </w:rPr>
                    <w:t>；</w:t>
                  </w:r>
                  <w:r>
                    <w:rPr>
                      <w:rFonts w:ascii="Times New Roman" w:hAnsi="Times New Roman" w:eastAsia="宋体" w:cs="Times New Roman"/>
                      <w:color w:val="000000"/>
                      <w:szCs w:val="21"/>
                    </w:rPr>
                    <w:t>TP</w:t>
                  </w:r>
                  <w:r>
                    <w:rPr>
                      <w:rFonts w:hint="eastAsia" w:ascii="Times New Roman" w:hAnsi="Times New Roman" w:eastAsia="宋体" w:cs="Times New Roman"/>
                      <w:color w:val="000000"/>
                      <w:szCs w:val="21"/>
                    </w:rPr>
                    <w:t>：5.12mg/</w:t>
                  </w:r>
                  <w:r>
                    <w:rPr>
                      <w:rFonts w:ascii="Times New Roman" w:hAnsi="Times New Roman" w:eastAsia="宋体" w:cs="Times New Roman"/>
                      <w:color w:val="000000"/>
                      <w:szCs w:val="21"/>
                    </w:rPr>
                    <w:t>L</w:t>
                  </w:r>
                  <w:r>
                    <w:rPr>
                      <w:rFonts w:hint="eastAsia" w:ascii="Times New Roman" w:hAnsi="Times New Roman" w:eastAsia="宋体" w:cs="Times New Roman"/>
                      <w:color w:val="000000"/>
                      <w:szCs w:val="21"/>
                    </w:rPr>
                    <w:t>）。</w:t>
                  </w:r>
                </w:p>
                <w:p w14:paraId="31E42C6A">
                  <w:pPr>
                    <w:rPr>
                      <w:rFonts w:ascii="Times New Roman" w:hAnsi="Times New Roman" w:eastAsia="宋体" w:cs="Times New Roman"/>
                      <w:color w:val="000000"/>
                      <w:szCs w:val="21"/>
                    </w:rPr>
                  </w:pPr>
                  <w:r>
                    <w:rPr>
                      <w:rFonts w:ascii="Times New Roman" w:hAnsi="Times New Roman" w:eastAsia="宋体" w:cs="Times New Roman"/>
                      <w:color w:val="000000"/>
                      <w:szCs w:val="21"/>
                    </w:rPr>
                    <w:t>BOD</w:t>
                  </w:r>
                  <w:r>
                    <w:rPr>
                      <w:rFonts w:ascii="Times New Roman" w:hAnsi="Times New Roman" w:eastAsia="宋体" w:cs="Times New Roman"/>
                      <w:color w:val="000000"/>
                      <w:szCs w:val="21"/>
                      <w:vertAlign w:val="subscript"/>
                    </w:rPr>
                    <w:t>5</w:t>
                  </w:r>
                  <w:r>
                    <w:rPr>
                      <w:rFonts w:ascii="Times New Roman" w:hAnsi="Times New Roman" w:eastAsia="宋体" w:cs="Times New Roman"/>
                      <w:color w:val="000000"/>
                      <w:szCs w:val="21"/>
                    </w:rPr>
                    <w:t>、SS</w:t>
                  </w:r>
                  <w:r>
                    <w:rPr>
                      <w:rFonts w:hint="eastAsia" w:ascii="Times New Roman" w:hAnsi="Times New Roman" w:eastAsia="宋体" w:cs="Times New Roman"/>
                      <w:color w:val="000000"/>
                      <w:szCs w:val="21"/>
                    </w:rPr>
                    <w:t>、</w:t>
                  </w:r>
                  <w:r>
                    <w:rPr>
                      <w:rFonts w:ascii="Times New Roman" w:hAnsi="Times New Roman" w:eastAsia="宋体" w:cs="Times New Roman"/>
                      <w:color w:val="000000"/>
                      <w:szCs w:val="21"/>
                    </w:rPr>
                    <w:t>TN</w:t>
                  </w:r>
                  <w:r>
                    <w:rPr>
                      <w:rFonts w:hint="eastAsia" w:ascii="Times New Roman" w:hAnsi="Times New Roman" w:eastAsia="宋体" w:cs="Times New Roman"/>
                      <w:color w:val="000000"/>
                      <w:szCs w:val="21"/>
                    </w:rPr>
                    <w:t>参照“《给水排水设计手册（第三版）》第五册 城镇排水中“4.2城镇污水的水质—表4-1典型生活污水水质示例”中等浓度取值（插值法</w:t>
                  </w:r>
                  <w:r>
                    <w:rPr>
                      <w:rFonts w:ascii="Times New Roman" w:hAnsi="Times New Roman" w:eastAsia="宋体" w:cs="Times New Roman"/>
                      <w:color w:val="000000"/>
                      <w:szCs w:val="21"/>
                    </w:rPr>
                    <w:t>TN</w:t>
                  </w:r>
                  <w:r>
                    <w:rPr>
                      <w:rFonts w:hint="eastAsia" w:ascii="Times New Roman" w:hAnsi="Times New Roman" w:eastAsia="宋体" w:cs="Times New Roman"/>
                      <w:color w:val="000000"/>
                      <w:szCs w:val="21"/>
                    </w:rPr>
                    <w:t>取63mg/</w:t>
                  </w:r>
                  <w:r>
                    <w:rPr>
                      <w:rFonts w:ascii="Times New Roman" w:hAnsi="Times New Roman" w:eastAsia="宋体" w:cs="Times New Roman"/>
                      <w:color w:val="000000"/>
                      <w:szCs w:val="21"/>
                    </w:rPr>
                    <w:t>L</w:t>
                  </w:r>
                  <w:r>
                    <w:rPr>
                      <w:rFonts w:hint="eastAsia" w:ascii="Times New Roman" w:hAnsi="Times New Roman" w:eastAsia="宋体" w:cs="Times New Roman"/>
                      <w:color w:val="000000"/>
                      <w:szCs w:val="21"/>
                    </w:rPr>
                    <w:t>）。</w:t>
                  </w:r>
                </w:p>
                <w:p w14:paraId="1988BB7F">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动植物油、</w:t>
                  </w:r>
                  <w:r>
                    <w:rPr>
                      <w:rFonts w:ascii="Times New Roman" w:hAnsi="Times New Roman" w:eastAsia="宋体" w:cs="Times New Roman"/>
                      <w:color w:val="000000"/>
                      <w:szCs w:val="21"/>
                    </w:rPr>
                    <w:t>LAS</w:t>
                  </w:r>
                  <w:r>
                    <w:rPr>
                      <w:rFonts w:hint="eastAsia" w:ascii="Times New Roman" w:hAnsi="Times New Roman" w:eastAsia="宋体" w:cs="Times New Roman"/>
                      <w:color w:val="000000"/>
                      <w:szCs w:val="21"/>
                    </w:rPr>
                    <w:t>、</w:t>
                  </w:r>
                  <w:r>
                    <w:rPr>
                      <w:rFonts w:ascii="Times New Roman" w:hAnsi="Times New Roman" w:eastAsia="宋体" w:cs="Times New Roman"/>
                      <w:color w:val="000000"/>
                      <w:szCs w:val="21"/>
                    </w:rPr>
                    <w:t>NH</w:t>
                  </w:r>
                  <w:r>
                    <w:rPr>
                      <w:rFonts w:ascii="Times New Roman" w:hAnsi="Times New Roman" w:eastAsia="宋体" w:cs="Times New Roman"/>
                      <w:color w:val="000000"/>
                      <w:szCs w:val="21"/>
                      <w:vertAlign w:val="subscript"/>
                    </w:rPr>
                    <w:t>3</w:t>
                  </w:r>
                  <w:r>
                    <w:rPr>
                      <w:rFonts w:ascii="Times New Roman" w:hAnsi="Times New Roman" w:eastAsia="宋体" w:cs="Times New Roman"/>
                      <w:color w:val="000000"/>
                      <w:szCs w:val="21"/>
                    </w:rPr>
                    <w:t>-N</w:t>
                  </w:r>
                  <w:r>
                    <w:rPr>
                      <w:rFonts w:hint="eastAsia" w:ascii="Times New Roman" w:hAnsi="Times New Roman" w:eastAsia="宋体" w:cs="Times New Roman"/>
                      <w:color w:val="000000"/>
                      <w:szCs w:val="21"/>
                    </w:rPr>
                    <w:t>类比同类工程项目确定其产生浓度。</w:t>
                  </w:r>
                </w:p>
              </w:tc>
            </w:tr>
          </w:tbl>
          <w:p w14:paraId="313B5F29">
            <w:pPr>
              <w:wordWrap w:val="0"/>
              <w:topLinePunct/>
              <w:spacing w:line="360" w:lineRule="auto"/>
              <w:ind w:firstLine="482" w:firstLineChars="200"/>
              <w:rPr>
                <w:rFonts w:hint="eastAsia" w:ascii="Times New Roman" w:hAnsi="宋体" w:eastAsia="宋体" w:cs="Times New Roman"/>
                <w:b/>
                <w:sz w:val="24"/>
              </w:rPr>
            </w:pPr>
            <w:r>
              <w:rPr>
                <w:rFonts w:hint="eastAsia" w:ascii="Times New Roman" w:hAnsi="宋体" w:eastAsia="宋体" w:cs="Times New Roman"/>
                <w:b/>
                <w:sz w:val="24"/>
              </w:rPr>
              <w:t>3.2废水治理措施可行性分析及达标排放分析</w:t>
            </w:r>
          </w:p>
          <w:p w14:paraId="4DBE85DB">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（1）生活污水治理措施可行性分析</w:t>
            </w:r>
          </w:p>
          <w:p w14:paraId="60F77324">
            <w:pPr>
              <w:wordWrap w:val="0"/>
              <w:topLinePunct/>
              <w:spacing w:line="360" w:lineRule="auto"/>
              <w:ind w:firstLine="480" w:firstLineChars="200"/>
              <w:rPr>
                <w:rFonts w:hint="eastAsia" w:ascii="Times New Roman" w:hAnsi="Times New Roman" w:eastAsia="宋体" w:cs="Times New Roman"/>
                <w:color w:val="0000FF"/>
                <w:sz w:val="24"/>
                <w:lang w:eastAsia="zh-CN"/>
              </w:rPr>
            </w:pPr>
            <w:r>
              <w:rPr>
                <w:rFonts w:hint="eastAsia" w:ascii="Times New Roman" w:hAnsi="Times New Roman" w:eastAsia="宋体" w:cs="Times New Roman"/>
                <w:color w:val="0000FF"/>
                <w:sz w:val="24"/>
                <w:lang w:val="en-US" w:eastAsia="zh-CN"/>
              </w:rPr>
              <w:t>本项目</w:t>
            </w:r>
            <w:r>
              <w:rPr>
                <w:rFonts w:hint="eastAsia" w:ascii="Times New Roman" w:hAnsi="Times New Roman" w:eastAsia="宋体" w:cs="Times New Roman"/>
                <w:color w:val="0000FF"/>
                <w:sz w:val="24"/>
              </w:rPr>
              <w:t>生活污水（含食堂废水）经隔油池</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化粪池预处理后，</w:t>
            </w:r>
            <w:r>
              <w:rPr>
                <w:rFonts w:hint="eastAsia" w:ascii="Times New Roman" w:hAnsi="Times New Roman" w:eastAsia="宋体" w:cs="Times New Roman"/>
                <w:color w:val="0000FF"/>
                <w:sz w:val="24"/>
                <w:lang w:val="en-US" w:eastAsia="zh-CN"/>
              </w:rPr>
              <w:t>暂</w:t>
            </w:r>
            <w:r>
              <w:rPr>
                <w:rFonts w:hint="eastAsia" w:ascii="Times New Roman" w:hAnsi="Times New Roman" w:eastAsia="宋体" w:cs="Times New Roman"/>
                <w:color w:val="0000FF"/>
                <w:sz w:val="24"/>
              </w:rPr>
              <w:t>定期委托专业吸污车进行抽吸清运</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lang w:val="en-US" w:eastAsia="zh-CN"/>
              </w:rPr>
              <w:t>签订清运处置协议，并跟踪去向</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待凹凸棒石初级加工园区污水处理厂投入</w:t>
            </w:r>
            <w:r>
              <w:rPr>
                <w:rFonts w:hint="eastAsia" w:ascii="Times New Roman" w:hAnsi="Times New Roman" w:eastAsia="宋体" w:cs="Times New Roman"/>
                <w:color w:val="0000FF"/>
                <w:sz w:val="24"/>
                <w:lang w:val="en-US" w:eastAsia="zh-CN"/>
              </w:rPr>
              <w:t>稳定</w:t>
            </w:r>
            <w:r>
              <w:rPr>
                <w:rFonts w:hint="eastAsia" w:ascii="Times New Roman" w:hAnsi="Times New Roman" w:eastAsia="宋体" w:cs="Times New Roman"/>
                <w:color w:val="0000FF"/>
                <w:sz w:val="24"/>
              </w:rPr>
              <w:t>运行后，排入该污水处理厂进行处理</w:t>
            </w:r>
            <w:r>
              <w:rPr>
                <w:rFonts w:hint="eastAsia" w:ascii="Times New Roman" w:hAnsi="Times New Roman" w:eastAsia="宋体" w:cs="Times New Roman"/>
                <w:color w:val="0000FF"/>
                <w:sz w:val="24"/>
                <w:lang w:eastAsia="zh-CN"/>
              </w:rPr>
              <w:t>。</w:t>
            </w:r>
          </w:p>
          <w:p w14:paraId="7E1F84EE">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color w:val="0000FF"/>
                <w:sz w:val="24"/>
              </w:rPr>
              <w:t>本项目生活污水（含食堂废水）</w:t>
            </w:r>
            <w:r>
              <w:rPr>
                <w:rFonts w:hint="eastAsia" w:ascii="Times New Roman" w:hAnsi="Times New Roman" w:eastAsia="宋体" w:cs="Times New Roman"/>
                <w:color w:val="0000FF"/>
                <w:sz w:val="24"/>
                <w:lang w:val="en-US" w:eastAsia="zh-CN"/>
              </w:rPr>
              <w:t>后期进入凹凸棒石初级加工园区污水处理厂处理时，需</w:t>
            </w:r>
            <w:r>
              <w:rPr>
                <w:rFonts w:hint="eastAsia" w:ascii="Times New Roman" w:hAnsi="Times New Roman" w:eastAsia="宋体" w:cs="Times New Roman"/>
                <w:color w:val="0000FF"/>
                <w:sz w:val="24"/>
              </w:rPr>
              <w:t>经隔油池、化粪池进行预处理，达到《污水综合排放标准》（GB8978-1996）中三级标准限值且同时满足凹凸棒石初级加工园区污水处理厂接管标准后，进入园区污水管网，最终由凹凸棒石初级加工园区污水处理厂处理。</w:t>
            </w:r>
          </w:p>
          <w:p w14:paraId="2E94F579">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（2）依托凹凸棒石初级加工园区污水处理厂可行性分析</w:t>
            </w:r>
          </w:p>
          <w:p w14:paraId="2399DF6D">
            <w:pPr>
              <w:wordWrap w:val="0"/>
              <w:topLinePunct/>
              <w:spacing w:line="360" w:lineRule="auto"/>
              <w:ind w:firstLine="480" w:firstLineChars="200"/>
              <w:rPr>
                <w:rFonts w:ascii="Times New Roman" w:hAnsi="Times New Roman" w:eastAsia="宋体" w:cs="Times New Roman"/>
                <w:color w:val="FF0000"/>
                <w:sz w:val="24"/>
              </w:rPr>
            </w:pPr>
            <w:r>
              <w:rPr>
                <w:rFonts w:hint="eastAsia" w:ascii="Times New Roman" w:hAnsi="Times New Roman" w:eastAsia="宋体" w:cs="Times New Roman"/>
                <w:sz w:val="24"/>
              </w:rPr>
              <w:t>根据《临泽县凹凸棒石产业园区污水处理厂及中水回用管网工程环境影响报告书》，临泽县凹凸棒石产业园区污水处理厂（即凹凸棒石初级加工园区污水处理厂）服务范围为园区内所有的生产废水及生活污水。本项目位于临泽工业园区(产业功能区)-凹凸棒石新材料产业园（初级加工区），该污水处理厂位于本项目西南侧约150m处，属于该污水处理厂服务范围。</w:t>
            </w:r>
          </w:p>
          <w:p w14:paraId="611D227A">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临泽县凹凸棒石产业园区污水处理厂及中水回用管网工程（即凹凸棒石初级加工园区污水处理厂）近期污水处理规模为2000m</w:t>
            </w:r>
            <w:r>
              <w:rPr>
                <w:rFonts w:hint="eastAsia" w:ascii="Times New Roman" w:hAnsi="Times New Roman" w:eastAsia="宋体" w:cs="Times New Roman"/>
                <w:sz w:val="24"/>
                <w:vertAlign w:val="superscript"/>
              </w:rPr>
              <w:t>3</w:t>
            </w:r>
            <w:r>
              <w:rPr>
                <w:rFonts w:hint="eastAsia" w:ascii="Times New Roman" w:hAnsi="Times New Roman" w:eastAsia="宋体" w:cs="Times New Roman"/>
                <w:sz w:val="24"/>
              </w:rPr>
              <w:t>/d，远期污水处理规模为4000m</w:t>
            </w:r>
            <w:r>
              <w:rPr>
                <w:rFonts w:hint="eastAsia" w:ascii="Times New Roman" w:hAnsi="Times New Roman" w:eastAsia="宋体" w:cs="Times New Roman"/>
                <w:sz w:val="24"/>
                <w:vertAlign w:val="superscript"/>
              </w:rPr>
              <w:t>3</w:t>
            </w:r>
            <w:r>
              <w:rPr>
                <w:rFonts w:hint="eastAsia" w:ascii="Times New Roman" w:hAnsi="Times New Roman" w:eastAsia="宋体" w:cs="Times New Roman"/>
                <w:sz w:val="24"/>
              </w:rPr>
              <w:t>/d，污水处理工艺采用“A2O+高密沉淀池+反硝化深床滤池+次氯酸钠消毒”工艺，设计出水水质达到《城镇污水处理厂污染物排放标准》（GB18918-2002）修改单（公告2025年第24号）一级A标准，同时满足《城市污水再生利用 城市杂用水水质》（GB/T 18920-2020）和《城市污水再生利用 工业用水水质》（GB/T19923-2024）的水质标准要求后进行中水回用。</w:t>
            </w:r>
          </w:p>
          <w:p w14:paraId="35C07FE8">
            <w:pPr>
              <w:wordWrap w:val="0"/>
              <w:topLinePunct/>
              <w:spacing w:line="360" w:lineRule="auto"/>
              <w:ind w:firstLine="480" w:firstLineChars="200"/>
              <w:rPr>
                <w:rFonts w:hint="eastAsia" w:ascii="华文楷体" w:hAnsi="华文楷体" w:eastAsia="华文楷体" w:cs="华文楷体"/>
                <w:sz w:val="24"/>
              </w:rPr>
            </w:pPr>
            <w:r>
              <w:rPr>
                <w:rFonts w:hint="eastAsia" w:ascii="华文楷体" w:hAnsi="华文楷体" w:eastAsia="华文楷体" w:cs="华文楷体"/>
                <w:sz w:val="24"/>
              </w:rPr>
              <w:t>注：上述标准规范文件编号已按照现行文件进行更新。</w:t>
            </w:r>
          </w:p>
          <w:p w14:paraId="34F7BC1A">
            <w:pPr>
              <w:wordWrap w:val="0"/>
              <w:topLinePunct/>
              <w:spacing w:line="360" w:lineRule="auto"/>
              <w:ind w:firstLine="480" w:firstLineChars="200"/>
              <w:rPr>
                <w:rFonts w:ascii="Times New Roman" w:hAnsi="Times New Roman" w:eastAsia="宋体" w:cs="Times New Roman"/>
                <w:color w:val="FF0000"/>
                <w:sz w:val="24"/>
              </w:rPr>
            </w:pPr>
            <w:r>
              <w:rPr>
                <w:rFonts w:hint="eastAsia" w:ascii="Times New Roman" w:hAnsi="Times New Roman" w:eastAsia="宋体" w:cs="Times New Roman"/>
                <w:sz w:val="24"/>
              </w:rPr>
              <w:t>本项目废水中主要污染物为COD、BOD</w:t>
            </w:r>
            <w:r>
              <w:rPr>
                <w:rFonts w:hint="eastAsia" w:ascii="Times New Roman" w:hAnsi="Times New Roman" w:eastAsia="宋体" w:cs="Times New Roman"/>
                <w:sz w:val="24"/>
                <w:vertAlign w:val="subscript"/>
              </w:rPr>
              <w:t>5</w:t>
            </w:r>
            <w:r>
              <w:rPr>
                <w:rFonts w:hint="eastAsia" w:ascii="Times New Roman" w:hAnsi="Times New Roman" w:eastAsia="宋体" w:cs="Times New Roman"/>
                <w:sz w:val="24"/>
              </w:rPr>
              <w:t>、SS、NH</w:t>
            </w:r>
            <w:r>
              <w:rPr>
                <w:rFonts w:hint="eastAsia" w:ascii="Times New Roman" w:hAnsi="Times New Roman" w:eastAsia="宋体" w:cs="Times New Roman"/>
                <w:sz w:val="24"/>
                <w:vertAlign w:val="subscript"/>
              </w:rPr>
              <w:t>3</w:t>
            </w:r>
            <w:r>
              <w:rPr>
                <w:rFonts w:hint="eastAsia" w:ascii="Times New Roman" w:hAnsi="Times New Roman" w:eastAsia="宋体" w:cs="Times New Roman"/>
                <w:sz w:val="24"/>
              </w:rPr>
              <w:t>-N、TP、</w:t>
            </w:r>
            <w:r>
              <w:rPr>
                <w:rFonts w:ascii="Times New Roman" w:hAnsi="Times New Roman" w:eastAsia="宋体" w:cs="Times New Roman"/>
                <w:sz w:val="24"/>
              </w:rPr>
              <w:t>TN</w:t>
            </w:r>
            <w:r>
              <w:rPr>
                <w:rFonts w:hint="eastAsia" w:ascii="Times New Roman" w:hAnsi="Times New Roman" w:eastAsia="宋体" w:cs="Times New Roman"/>
                <w:sz w:val="24"/>
              </w:rPr>
              <w:t>等，经过化粪池、隔油池预处理后，出水水质能够满足凹凸棒石初级加工园区污水处理厂设计进水水质的要求。</w:t>
            </w:r>
          </w:p>
          <w:p w14:paraId="1EF7FC9A">
            <w:pPr>
              <w:widowControl/>
              <w:wordWrap w:val="0"/>
              <w:topLinePunct/>
              <w:spacing w:line="360" w:lineRule="auto"/>
              <w:jc w:val="center"/>
              <w:rPr>
                <w:rFonts w:ascii="Times New Roman" w:hAnsi="Times New Roman" w:eastAsia="宋体" w:cs="宋体-PUA"/>
                <w:b/>
                <w:color w:val="FF0000"/>
                <w:sz w:val="24"/>
                <w:shd w:val="clear" w:color="auto" w:fill="FFFFFF"/>
                <w:lang w:val="zh-CN"/>
              </w:rPr>
            </w:pPr>
            <w:r>
              <w:rPr>
                <w:rFonts w:hint="eastAsia" w:ascii="Times New Roman" w:hAnsi="Times New Roman" w:eastAsia="宋体" w:cs="宋体-PUA"/>
                <w:b/>
                <w:color w:val="FF0000"/>
                <w:sz w:val="24"/>
                <w:shd w:val="clear" w:color="auto" w:fill="FFFFFF"/>
              </w:rPr>
              <w:t xml:space="preserve"> </w:t>
            </w:r>
            <w:r>
              <w:rPr>
                <w:rFonts w:hint="eastAsia" w:ascii="Times New Roman" w:hAnsi="Times New Roman" w:eastAsia="宋体" w:cs="宋体-PUA"/>
                <w:b/>
                <w:color w:val="FF0000"/>
                <w:sz w:val="24"/>
                <w:shd w:val="clear" w:color="auto" w:fill="FFFFFF"/>
                <w:lang w:val="zh-CN"/>
              </w:rPr>
              <w:t>表4-</w:t>
            </w:r>
            <w:r>
              <w:rPr>
                <w:rFonts w:hint="eastAsia" w:ascii="Times New Roman" w:hAnsi="Times New Roman" w:eastAsia="宋体" w:cs="宋体-PUA"/>
                <w:b/>
                <w:color w:val="FF0000"/>
                <w:sz w:val="24"/>
                <w:shd w:val="clear" w:color="auto" w:fill="FFFFFF"/>
              </w:rPr>
              <w:t xml:space="preserve">28 </w:t>
            </w:r>
            <w:r>
              <w:rPr>
                <w:rFonts w:hint="eastAsia" w:ascii="Times New Roman" w:hAnsi="Times New Roman" w:eastAsia="宋体" w:cs="宋体-PUA"/>
                <w:b/>
                <w:color w:val="FF0000"/>
                <w:sz w:val="24"/>
                <w:shd w:val="clear" w:color="auto" w:fill="FFFFFF"/>
                <w:lang w:val="zh-CN"/>
              </w:rPr>
              <w:t>与凹凸棒石初级加工园区污水处理厂进水水质对比一览表</w:t>
            </w:r>
          </w:p>
          <w:tbl>
            <w:tblPr>
              <w:tblStyle w:val="28"/>
              <w:tblW w:w="8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9"/>
              <w:gridCol w:w="881"/>
              <w:gridCol w:w="909"/>
              <w:gridCol w:w="842"/>
              <w:gridCol w:w="909"/>
              <w:gridCol w:w="679"/>
              <w:gridCol w:w="680"/>
              <w:gridCol w:w="695"/>
              <w:gridCol w:w="731"/>
            </w:tblGrid>
            <w:tr w14:paraId="311C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130" w:type="pct"/>
                  <w:tcBorders>
                    <w:tl2br w:val="nil"/>
                    <w:tr2bl w:val="nil"/>
                  </w:tcBorders>
                  <w:vAlign w:val="center"/>
                </w:tcPr>
                <w:p w14:paraId="2AA25A8A">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项目</w:t>
                  </w:r>
                </w:p>
              </w:tc>
              <w:tc>
                <w:tcPr>
                  <w:tcW w:w="538" w:type="pct"/>
                  <w:tcBorders>
                    <w:tl2br w:val="nil"/>
                    <w:tr2bl w:val="nil"/>
                  </w:tcBorders>
                  <w:vAlign w:val="center"/>
                </w:tcPr>
                <w:p w14:paraId="31783B9F">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color w:val="FF0000"/>
                      <w:szCs w:val="21"/>
                    </w:rPr>
                    <w:t>COD</w:t>
                  </w:r>
                  <w:r>
                    <w:rPr>
                      <w:rFonts w:hint="eastAsia" w:ascii="Times New Roman" w:hAnsi="Times New Roman" w:eastAsia="宋体" w:cs="Times New Roman"/>
                      <w:b/>
                      <w:bCs/>
                      <w:color w:val="FF0000"/>
                      <w:szCs w:val="21"/>
                      <w:vertAlign w:val="subscript"/>
                    </w:rPr>
                    <w:t>cr</w:t>
                  </w:r>
                </w:p>
              </w:tc>
              <w:tc>
                <w:tcPr>
                  <w:tcW w:w="555" w:type="pct"/>
                  <w:tcBorders>
                    <w:tl2br w:val="nil"/>
                    <w:tr2bl w:val="nil"/>
                  </w:tcBorders>
                  <w:vAlign w:val="center"/>
                </w:tcPr>
                <w:p w14:paraId="6C941448">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color w:val="FF0000"/>
                      <w:szCs w:val="21"/>
                    </w:rPr>
                    <w:t>BOD</w:t>
                  </w:r>
                  <w:r>
                    <w:rPr>
                      <w:rFonts w:hint="eastAsia" w:ascii="Times New Roman" w:hAnsi="Times New Roman" w:eastAsia="宋体" w:cs="Times New Roman"/>
                      <w:b/>
                      <w:bCs/>
                      <w:color w:val="FF0000"/>
                      <w:szCs w:val="21"/>
                      <w:vertAlign w:val="subscript"/>
                    </w:rPr>
                    <w:t>5</w:t>
                  </w:r>
                </w:p>
              </w:tc>
              <w:tc>
                <w:tcPr>
                  <w:tcW w:w="514" w:type="pct"/>
                  <w:tcBorders>
                    <w:tl2br w:val="nil"/>
                    <w:tr2bl w:val="nil"/>
                  </w:tcBorders>
                  <w:vAlign w:val="center"/>
                </w:tcPr>
                <w:p w14:paraId="07DAFFFA">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color w:val="FF0000"/>
                      <w:szCs w:val="21"/>
                    </w:rPr>
                    <w:t>SS</w:t>
                  </w:r>
                </w:p>
              </w:tc>
              <w:tc>
                <w:tcPr>
                  <w:tcW w:w="555" w:type="pct"/>
                  <w:tcBorders>
                    <w:tl2br w:val="nil"/>
                    <w:tr2bl w:val="nil"/>
                  </w:tcBorders>
                  <w:vAlign w:val="center"/>
                </w:tcPr>
                <w:p w14:paraId="779AC9FF">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color w:val="FF0000"/>
                      <w:szCs w:val="21"/>
                    </w:rPr>
                    <w:t>NH</w:t>
                  </w:r>
                  <w:r>
                    <w:rPr>
                      <w:rFonts w:hint="eastAsia" w:ascii="Times New Roman" w:hAnsi="Times New Roman" w:eastAsia="宋体" w:cs="Times New Roman"/>
                      <w:b/>
                      <w:bCs/>
                      <w:color w:val="FF0000"/>
                      <w:szCs w:val="21"/>
                      <w:vertAlign w:val="subscript"/>
                    </w:rPr>
                    <w:t>3</w:t>
                  </w:r>
                  <w:r>
                    <w:rPr>
                      <w:rFonts w:hint="eastAsia" w:ascii="Times New Roman" w:hAnsi="Times New Roman" w:eastAsia="宋体" w:cs="Times New Roman"/>
                      <w:b/>
                      <w:bCs/>
                      <w:color w:val="FF0000"/>
                      <w:szCs w:val="21"/>
                    </w:rPr>
                    <w:t>-N</w:t>
                  </w:r>
                </w:p>
              </w:tc>
              <w:tc>
                <w:tcPr>
                  <w:tcW w:w="415" w:type="pct"/>
                  <w:tcBorders>
                    <w:tl2br w:val="nil"/>
                    <w:tr2bl w:val="nil"/>
                  </w:tcBorders>
                  <w:vAlign w:val="center"/>
                </w:tcPr>
                <w:p w14:paraId="084433FA">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color w:val="FF0000"/>
                      <w:szCs w:val="21"/>
                    </w:rPr>
                    <w:t>TP</w:t>
                  </w:r>
                </w:p>
              </w:tc>
              <w:tc>
                <w:tcPr>
                  <w:tcW w:w="416" w:type="pct"/>
                  <w:tcBorders>
                    <w:tl2br w:val="nil"/>
                    <w:tr2bl w:val="nil"/>
                  </w:tcBorders>
                  <w:vAlign w:val="center"/>
                </w:tcPr>
                <w:p w14:paraId="3B8AA682">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color w:val="FF0000"/>
                      <w:szCs w:val="21"/>
                    </w:rPr>
                    <w:t>TN</w:t>
                  </w:r>
                </w:p>
              </w:tc>
              <w:tc>
                <w:tcPr>
                  <w:tcW w:w="425" w:type="pct"/>
                  <w:tcBorders>
                    <w:tl2br w:val="nil"/>
                    <w:tr2bl w:val="nil"/>
                  </w:tcBorders>
                  <w:vAlign w:val="center"/>
                </w:tcPr>
                <w:p w14:paraId="512294E7">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FF0000"/>
                      <w:szCs w:val="21"/>
                    </w:rPr>
                    <w:t>LAS</w:t>
                  </w:r>
                </w:p>
              </w:tc>
              <w:tc>
                <w:tcPr>
                  <w:tcW w:w="447" w:type="pct"/>
                  <w:tcBorders>
                    <w:tl2br w:val="nil"/>
                    <w:tr2bl w:val="nil"/>
                  </w:tcBorders>
                  <w:vAlign w:val="center"/>
                </w:tcPr>
                <w:p w14:paraId="36B74D4B">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FF0000"/>
                      <w:szCs w:val="21"/>
                    </w:rPr>
                    <w:t>动植物油</w:t>
                  </w:r>
                </w:p>
              </w:tc>
            </w:tr>
            <w:tr w14:paraId="2E51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130" w:type="pct"/>
                  <w:tcBorders>
                    <w:tl2br w:val="nil"/>
                    <w:tr2bl w:val="nil"/>
                  </w:tcBorders>
                  <w:vAlign w:val="center"/>
                </w:tcPr>
                <w:p w14:paraId="3EEB7C9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FF0000"/>
                      <w:szCs w:val="21"/>
                    </w:rPr>
                    <w:t>凹凸棒石初级加工园区污水处理厂设计进水水质</w:t>
                  </w:r>
                </w:p>
              </w:tc>
              <w:tc>
                <w:tcPr>
                  <w:tcW w:w="538" w:type="pct"/>
                  <w:tcBorders>
                    <w:tl2br w:val="nil"/>
                    <w:tr2bl w:val="nil"/>
                  </w:tcBorders>
                  <w:vAlign w:val="center"/>
                </w:tcPr>
                <w:p w14:paraId="6B1845D6">
                  <w:pPr>
                    <w:adjustRightInd w:val="0"/>
                    <w:spacing w:line="240" w:lineRule="exact"/>
                    <w:jc w:val="center"/>
                    <w:textAlignment w:val="baseline"/>
                    <w:rPr>
                      <w:rFonts w:ascii="Times New Roman" w:hAnsi="Times New Roman"/>
                      <w:color w:val="FF0000"/>
                      <w:szCs w:val="21"/>
                    </w:rPr>
                  </w:pPr>
                  <w:r>
                    <w:rPr>
                      <w:rFonts w:hint="eastAsia" w:ascii="Times New Roman" w:hAnsi="Times New Roman"/>
                      <w:color w:val="FF0000"/>
                      <w:szCs w:val="21"/>
                    </w:rPr>
                    <w:t>475</w:t>
                  </w:r>
                </w:p>
                <w:p w14:paraId="1D3C026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color w:val="FF0000"/>
                      <w:szCs w:val="21"/>
                    </w:rPr>
                    <w:t>mg/L</w:t>
                  </w:r>
                </w:p>
              </w:tc>
              <w:tc>
                <w:tcPr>
                  <w:tcW w:w="555" w:type="pct"/>
                  <w:tcBorders>
                    <w:tl2br w:val="nil"/>
                    <w:tr2bl w:val="nil"/>
                  </w:tcBorders>
                  <w:vAlign w:val="center"/>
                </w:tcPr>
                <w:p w14:paraId="2235E7CA">
                  <w:pPr>
                    <w:adjustRightInd w:val="0"/>
                    <w:spacing w:line="240" w:lineRule="exact"/>
                    <w:jc w:val="center"/>
                    <w:textAlignment w:val="baseline"/>
                    <w:rPr>
                      <w:rFonts w:ascii="Times New Roman" w:hAnsi="Times New Roman"/>
                      <w:color w:val="FF0000"/>
                      <w:szCs w:val="21"/>
                    </w:rPr>
                  </w:pPr>
                  <w:r>
                    <w:rPr>
                      <w:rFonts w:hint="eastAsia" w:ascii="Times New Roman" w:hAnsi="Times New Roman"/>
                      <w:color w:val="FF0000"/>
                      <w:szCs w:val="21"/>
                    </w:rPr>
                    <w:t>275</w:t>
                  </w:r>
                </w:p>
                <w:p w14:paraId="090A023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color w:val="FF0000"/>
                      <w:szCs w:val="21"/>
                    </w:rPr>
                    <w:t>mg/L</w:t>
                  </w:r>
                </w:p>
              </w:tc>
              <w:tc>
                <w:tcPr>
                  <w:tcW w:w="514" w:type="pct"/>
                  <w:tcBorders>
                    <w:tl2br w:val="nil"/>
                    <w:tr2bl w:val="nil"/>
                  </w:tcBorders>
                  <w:vAlign w:val="center"/>
                </w:tcPr>
                <w:p w14:paraId="60036C37">
                  <w:pPr>
                    <w:adjustRightInd w:val="0"/>
                    <w:spacing w:line="240" w:lineRule="exact"/>
                    <w:jc w:val="center"/>
                    <w:textAlignment w:val="baseline"/>
                    <w:rPr>
                      <w:rFonts w:ascii="Times New Roman" w:hAnsi="Times New Roman"/>
                      <w:color w:val="FF0000"/>
                      <w:szCs w:val="21"/>
                    </w:rPr>
                  </w:pPr>
                  <w:r>
                    <w:rPr>
                      <w:rFonts w:hint="eastAsia" w:ascii="Times New Roman" w:hAnsi="Times New Roman"/>
                      <w:color w:val="FF0000"/>
                      <w:szCs w:val="21"/>
                    </w:rPr>
                    <w:t>350</w:t>
                  </w:r>
                </w:p>
                <w:p w14:paraId="7E5B665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color w:val="FF0000"/>
                      <w:szCs w:val="21"/>
                    </w:rPr>
                    <w:t>mg/L</w:t>
                  </w:r>
                </w:p>
              </w:tc>
              <w:tc>
                <w:tcPr>
                  <w:tcW w:w="555" w:type="pct"/>
                  <w:tcBorders>
                    <w:tl2br w:val="nil"/>
                    <w:tr2bl w:val="nil"/>
                  </w:tcBorders>
                  <w:vAlign w:val="center"/>
                </w:tcPr>
                <w:p w14:paraId="13717105">
                  <w:pPr>
                    <w:adjustRightInd w:val="0"/>
                    <w:spacing w:line="240" w:lineRule="exact"/>
                    <w:jc w:val="center"/>
                    <w:textAlignment w:val="baseline"/>
                    <w:rPr>
                      <w:rFonts w:ascii="Times New Roman" w:hAnsi="Times New Roman"/>
                      <w:color w:val="FF0000"/>
                      <w:szCs w:val="21"/>
                    </w:rPr>
                  </w:pPr>
                  <w:r>
                    <w:rPr>
                      <w:rFonts w:hint="eastAsia" w:ascii="Times New Roman" w:hAnsi="Times New Roman"/>
                      <w:color w:val="FF0000"/>
                      <w:szCs w:val="21"/>
                    </w:rPr>
                    <w:t>40</w:t>
                  </w:r>
                </w:p>
                <w:p w14:paraId="020991D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color w:val="FF0000"/>
                      <w:szCs w:val="21"/>
                    </w:rPr>
                    <w:t>mg/L</w:t>
                  </w:r>
                </w:p>
              </w:tc>
              <w:tc>
                <w:tcPr>
                  <w:tcW w:w="415" w:type="pct"/>
                  <w:tcBorders>
                    <w:tl2br w:val="nil"/>
                    <w:tr2bl w:val="nil"/>
                  </w:tcBorders>
                  <w:vAlign w:val="center"/>
                </w:tcPr>
                <w:p w14:paraId="442C30A8">
                  <w:pPr>
                    <w:adjustRightInd w:val="0"/>
                    <w:spacing w:line="240" w:lineRule="exact"/>
                    <w:jc w:val="center"/>
                    <w:textAlignment w:val="baseline"/>
                    <w:rPr>
                      <w:rFonts w:ascii="Times New Roman" w:hAnsi="Times New Roman"/>
                      <w:color w:val="FF0000"/>
                      <w:szCs w:val="21"/>
                    </w:rPr>
                  </w:pPr>
                  <w:r>
                    <w:rPr>
                      <w:rFonts w:hint="eastAsia" w:ascii="Times New Roman" w:hAnsi="Times New Roman"/>
                      <w:color w:val="FF0000"/>
                      <w:szCs w:val="21"/>
                    </w:rPr>
                    <w:t>8</w:t>
                  </w:r>
                </w:p>
                <w:p w14:paraId="6E53712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color w:val="FF0000"/>
                      <w:szCs w:val="21"/>
                    </w:rPr>
                    <w:t>mg/L</w:t>
                  </w:r>
                </w:p>
              </w:tc>
              <w:tc>
                <w:tcPr>
                  <w:tcW w:w="416" w:type="pct"/>
                  <w:tcBorders>
                    <w:tl2br w:val="nil"/>
                    <w:tr2bl w:val="nil"/>
                  </w:tcBorders>
                  <w:vAlign w:val="center"/>
                </w:tcPr>
                <w:p w14:paraId="1229BB85">
                  <w:pPr>
                    <w:adjustRightInd w:val="0"/>
                    <w:spacing w:line="240" w:lineRule="exact"/>
                    <w:jc w:val="center"/>
                    <w:textAlignment w:val="baseline"/>
                    <w:rPr>
                      <w:rFonts w:ascii="Times New Roman" w:hAnsi="Times New Roman"/>
                      <w:color w:val="FF0000"/>
                      <w:szCs w:val="21"/>
                    </w:rPr>
                  </w:pPr>
                  <w:r>
                    <w:rPr>
                      <w:rFonts w:hint="eastAsia" w:ascii="Times New Roman" w:hAnsi="Times New Roman"/>
                      <w:color w:val="FF0000"/>
                      <w:szCs w:val="21"/>
                    </w:rPr>
                    <w:t>65</w:t>
                  </w:r>
                </w:p>
                <w:p w14:paraId="660B8DA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color w:val="FF0000"/>
                      <w:szCs w:val="21"/>
                    </w:rPr>
                    <w:t>mg/L</w:t>
                  </w:r>
                </w:p>
              </w:tc>
              <w:tc>
                <w:tcPr>
                  <w:tcW w:w="425" w:type="pct"/>
                  <w:tcBorders>
                    <w:tl2br w:val="nil"/>
                    <w:tr2bl w:val="nil"/>
                  </w:tcBorders>
                  <w:vAlign w:val="center"/>
                </w:tcPr>
                <w:p w14:paraId="6445D2D9">
                  <w:pPr>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宋体" w:cs="Times New Roman"/>
                      <w:color w:val="FF0000"/>
                      <w:szCs w:val="21"/>
                    </w:rPr>
                    <w:t>/</w:t>
                  </w:r>
                </w:p>
              </w:tc>
              <w:tc>
                <w:tcPr>
                  <w:tcW w:w="447" w:type="pct"/>
                  <w:tcBorders>
                    <w:tl2br w:val="nil"/>
                    <w:tr2bl w:val="nil"/>
                  </w:tcBorders>
                  <w:vAlign w:val="center"/>
                </w:tcPr>
                <w:p w14:paraId="65B6BBDA">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w:t>
                  </w:r>
                </w:p>
              </w:tc>
            </w:tr>
            <w:tr w14:paraId="4318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130" w:type="pct"/>
                  <w:tcBorders>
                    <w:tl2br w:val="nil"/>
                    <w:tr2bl w:val="nil"/>
                  </w:tcBorders>
                  <w:vAlign w:val="center"/>
                </w:tcPr>
                <w:p w14:paraId="0783DBEF">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《污水综合排放标准》（GB8978-1996）</w:t>
                  </w:r>
                </w:p>
              </w:tc>
              <w:tc>
                <w:tcPr>
                  <w:tcW w:w="538" w:type="pct"/>
                  <w:tcBorders>
                    <w:tl2br w:val="nil"/>
                    <w:tr2bl w:val="nil"/>
                  </w:tcBorders>
                  <w:vAlign w:val="center"/>
                </w:tcPr>
                <w:p w14:paraId="68991AD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500</w:t>
                  </w:r>
                </w:p>
                <w:p w14:paraId="54A8959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mg/L</w:t>
                  </w:r>
                </w:p>
              </w:tc>
              <w:tc>
                <w:tcPr>
                  <w:tcW w:w="555" w:type="pct"/>
                  <w:tcBorders>
                    <w:tl2br w:val="nil"/>
                    <w:tr2bl w:val="nil"/>
                  </w:tcBorders>
                  <w:vAlign w:val="center"/>
                </w:tcPr>
                <w:p w14:paraId="627F544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300</w:t>
                  </w:r>
                </w:p>
                <w:p w14:paraId="49D1689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mg/L</w:t>
                  </w:r>
                </w:p>
              </w:tc>
              <w:tc>
                <w:tcPr>
                  <w:tcW w:w="514" w:type="pct"/>
                  <w:tcBorders>
                    <w:tl2br w:val="nil"/>
                    <w:tr2bl w:val="nil"/>
                  </w:tcBorders>
                  <w:vAlign w:val="center"/>
                </w:tcPr>
                <w:p w14:paraId="01A603D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400</w:t>
                  </w:r>
                </w:p>
                <w:p w14:paraId="58EDC4D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mg/L</w:t>
                  </w:r>
                </w:p>
              </w:tc>
              <w:tc>
                <w:tcPr>
                  <w:tcW w:w="555" w:type="pct"/>
                  <w:tcBorders>
                    <w:tl2br w:val="nil"/>
                    <w:tr2bl w:val="nil"/>
                  </w:tcBorders>
                  <w:vAlign w:val="center"/>
                </w:tcPr>
                <w:p w14:paraId="34A54A5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415" w:type="pct"/>
                  <w:tcBorders>
                    <w:tl2br w:val="nil"/>
                    <w:tr2bl w:val="nil"/>
                  </w:tcBorders>
                  <w:vAlign w:val="center"/>
                </w:tcPr>
                <w:p w14:paraId="4422CA6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416" w:type="pct"/>
                  <w:tcBorders>
                    <w:tl2br w:val="nil"/>
                    <w:tr2bl w:val="nil"/>
                  </w:tcBorders>
                  <w:vAlign w:val="center"/>
                </w:tcPr>
                <w:p w14:paraId="05BC55A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425" w:type="pct"/>
                  <w:tcBorders>
                    <w:tl2br w:val="nil"/>
                    <w:tr2bl w:val="nil"/>
                  </w:tcBorders>
                  <w:vAlign w:val="center"/>
                </w:tcPr>
                <w:p w14:paraId="252E6E90">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20</w:t>
                  </w:r>
                </w:p>
                <w:p w14:paraId="01545911">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mg/L</w:t>
                  </w:r>
                </w:p>
              </w:tc>
              <w:tc>
                <w:tcPr>
                  <w:tcW w:w="447" w:type="pct"/>
                  <w:tcBorders>
                    <w:tl2br w:val="nil"/>
                    <w:tr2bl w:val="nil"/>
                  </w:tcBorders>
                  <w:vAlign w:val="center"/>
                </w:tcPr>
                <w:p w14:paraId="1BE990FC">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100</w:t>
                  </w:r>
                </w:p>
                <w:p w14:paraId="6A6BC2AD">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mg/L</w:t>
                  </w:r>
                </w:p>
              </w:tc>
            </w:tr>
            <w:tr w14:paraId="2A29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130" w:type="pct"/>
                  <w:tcBorders>
                    <w:tl2br w:val="nil"/>
                    <w:tr2bl w:val="nil"/>
                  </w:tcBorders>
                  <w:vAlign w:val="center"/>
                </w:tcPr>
                <w:p w14:paraId="17A27D0A">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本项目预测废水出水浓度</w:t>
                  </w:r>
                </w:p>
              </w:tc>
              <w:tc>
                <w:tcPr>
                  <w:tcW w:w="538" w:type="pct"/>
                  <w:tcBorders>
                    <w:tl2br w:val="nil"/>
                    <w:tr2bl w:val="nil"/>
                  </w:tcBorders>
                  <w:vAlign w:val="center"/>
                </w:tcPr>
                <w:p w14:paraId="4FA3B13D">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368</w:t>
                  </w:r>
                </w:p>
                <w:p w14:paraId="55D34B5F">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mg/L</w:t>
                  </w:r>
                </w:p>
              </w:tc>
              <w:tc>
                <w:tcPr>
                  <w:tcW w:w="555" w:type="pct"/>
                  <w:tcBorders>
                    <w:tl2br w:val="nil"/>
                    <w:tr2bl w:val="nil"/>
                  </w:tcBorders>
                  <w:vAlign w:val="center"/>
                </w:tcPr>
                <w:p w14:paraId="25FF7007">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176</w:t>
                  </w:r>
                </w:p>
                <w:p w14:paraId="53798154">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mg/L</w:t>
                  </w:r>
                </w:p>
              </w:tc>
              <w:tc>
                <w:tcPr>
                  <w:tcW w:w="514" w:type="pct"/>
                  <w:tcBorders>
                    <w:tl2br w:val="nil"/>
                    <w:tr2bl w:val="nil"/>
                  </w:tcBorders>
                  <w:vAlign w:val="center"/>
                </w:tcPr>
                <w:p w14:paraId="7763439C">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110</w:t>
                  </w:r>
                </w:p>
                <w:p w14:paraId="3625BE8B">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mg/L</w:t>
                  </w:r>
                </w:p>
              </w:tc>
              <w:tc>
                <w:tcPr>
                  <w:tcW w:w="555" w:type="pct"/>
                  <w:tcBorders>
                    <w:tl2br w:val="nil"/>
                    <w:tr2bl w:val="nil"/>
                  </w:tcBorders>
                  <w:vAlign w:val="center"/>
                </w:tcPr>
                <w:p w14:paraId="610BB289">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40</w:t>
                  </w:r>
                </w:p>
                <w:p w14:paraId="18CD1C05">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mg/L</w:t>
                  </w:r>
                </w:p>
              </w:tc>
              <w:tc>
                <w:tcPr>
                  <w:tcW w:w="415" w:type="pct"/>
                  <w:tcBorders>
                    <w:tl2br w:val="nil"/>
                    <w:tr2bl w:val="nil"/>
                  </w:tcBorders>
                  <w:vAlign w:val="center"/>
                </w:tcPr>
                <w:p w14:paraId="0FB8B506">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5.12</w:t>
                  </w:r>
                </w:p>
                <w:p w14:paraId="3C056C6A">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mg/L</w:t>
                  </w:r>
                </w:p>
              </w:tc>
              <w:tc>
                <w:tcPr>
                  <w:tcW w:w="416" w:type="pct"/>
                  <w:tcBorders>
                    <w:tl2br w:val="nil"/>
                    <w:tr2bl w:val="nil"/>
                  </w:tcBorders>
                  <w:vAlign w:val="center"/>
                </w:tcPr>
                <w:p w14:paraId="371CF20E">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63</w:t>
                  </w:r>
                </w:p>
                <w:p w14:paraId="6C7ECADD">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mg/L</w:t>
                  </w:r>
                </w:p>
              </w:tc>
              <w:tc>
                <w:tcPr>
                  <w:tcW w:w="425" w:type="pct"/>
                  <w:tcBorders>
                    <w:tl2br w:val="nil"/>
                    <w:tr2bl w:val="nil"/>
                  </w:tcBorders>
                  <w:vAlign w:val="center"/>
                </w:tcPr>
                <w:p w14:paraId="573980F0">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14.25</w:t>
                  </w:r>
                </w:p>
                <w:p w14:paraId="54144C61">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mg/L</w:t>
                  </w:r>
                </w:p>
              </w:tc>
              <w:tc>
                <w:tcPr>
                  <w:tcW w:w="447" w:type="pct"/>
                  <w:tcBorders>
                    <w:tl2br w:val="nil"/>
                    <w:tr2bl w:val="nil"/>
                  </w:tcBorders>
                  <w:vAlign w:val="center"/>
                </w:tcPr>
                <w:p w14:paraId="29C3133C">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50</w:t>
                  </w:r>
                </w:p>
                <w:p w14:paraId="3BC5B126">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mg/L</w:t>
                  </w:r>
                </w:p>
              </w:tc>
            </w:tr>
            <w:tr w14:paraId="302D8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130" w:type="pct"/>
                  <w:tcBorders>
                    <w:tl2br w:val="nil"/>
                    <w:tr2bl w:val="nil"/>
                  </w:tcBorders>
                  <w:vAlign w:val="center"/>
                </w:tcPr>
                <w:p w14:paraId="22F01D8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是否达标排放</w:t>
                  </w:r>
                </w:p>
              </w:tc>
              <w:tc>
                <w:tcPr>
                  <w:tcW w:w="538" w:type="pct"/>
                  <w:tcBorders>
                    <w:tl2br w:val="nil"/>
                    <w:tr2bl w:val="nil"/>
                  </w:tcBorders>
                  <w:vAlign w:val="center"/>
                </w:tcPr>
                <w:p w14:paraId="70A9E84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5" w:type="pct"/>
                  <w:tcBorders>
                    <w:tl2br w:val="nil"/>
                    <w:tr2bl w:val="nil"/>
                  </w:tcBorders>
                  <w:vAlign w:val="center"/>
                </w:tcPr>
                <w:p w14:paraId="4141185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14" w:type="pct"/>
                  <w:tcBorders>
                    <w:tl2br w:val="nil"/>
                    <w:tr2bl w:val="nil"/>
                  </w:tcBorders>
                  <w:vAlign w:val="center"/>
                </w:tcPr>
                <w:p w14:paraId="79501AD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5" w:type="pct"/>
                  <w:tcBorders>
                    <w:tl2br w:val="nil"/>
                    <w:tr2bl w:val="nil"/>
                  </w:tcBorders>
                  <w:vAlign w:val="center"/>
                </w:tcPr>
                <w:p w14:paraId="1121DA3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415" w:type="pct"/>
                  <w:tcBorders>
                    <w:tl2br w:val="nil"/>
                    <w:tr2bl w:val="nil"/>
                  </w:tcBorders>
                  <w:vAlign w:val="center"/>
                </w:tcPr>
                <w:p w14:paraId="5ABDF1A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416" w:type="pct"/>
                  <w:tcBorders>
                    <w:tl2br w:val="nil"/>
                    <w:tr2bl w:val="nil"/>
                  </w:tcBorders>
                  <w:vAlign w:val="center"/>
                </w:tcPr>
                <w:p w14:paraId="43ECAD4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425" w:type="pct"/>
                  <w:tcBorders>
                    <w:tl2br w:val="nil"/>
                    <w:tr2bl w:val="nil"/>
                  </w:tcBorders>
                  <w:vAlign w:val="center"/>
                </w:tcPr>
                <w:p w14:paraId="69C017D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447" w:type="pct"/>
                  <w:tcBorders>
                    <w:tl2br w:val="nil"/>
                    <w:tr2bl w:val="nil"/>
                  </w:tcBorders>
                  <w:vAlign w:val="center"/>
                </w:tcPr>
                <w:p w14:paraId="095F82E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r>
          </w:tbl>
          <w:p w14:paraId="4159C45B">
            <w:pPr>
              <w:wordWrap w:val="0"/>
              <w:topLinePunct/>
              <w:spacing w:line="360" w:lineRule="auto"/>
              <w:ind w:firstLine="480" w:firstLineChars="200"/>
              <w:rPr>
                <w:rFonts w:hint="eastAsia" w:ascii="Times New Roman" w:hAnsi="Times New Roman" w:eastAsia="宋体" w:cs="Times New Roman"/>
                <w:color w:val="0000FF"/>
                <w:sz w:val="24"/>
                <w:lang w:eastAsia="zh-CN"/>
              </w:rPr>
            </w:pPr>
            <w:r>
              <w:rPr>
                <w:rFonts w:hint="eastAsia" w:ascii="Times New Roman" w:hAnsi="Times New Roman" w:eastAsia="宋体" w:cs="Times New Roman"/>
                <w:color w:val="0000FF"/>
                <w:sz w:val="24"/>
                <w:lang w:val="en-US" w:eastAsia="zh-CN"/>
              </w:rPr>
              <w:t>本项目</w:t>
            </w:r>
            <w:r>
              <w:rPr>
                <w:rFonts w:hint="eastAsia" w:ascii="Times New Roman" w:hAnsi="Times New Roman" w:eastAsia="宋体" w:cs="Times New Roman"/>
                <w:color w:val="0000FF"/>
                <w:sz w:val="24"/>
              </w:rPr>
              <w:t>生活污水（含食堂废水）经隔油池</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化粪池预处理后，</w:t>
            </w:r>
            <w:r>
              <w:rPr>
                <w:rFonts w:hint="eastAsia" w:ascii="Times New Roman" w:hAnsi="Times New Roman" w:eastAsia="宋体" w:cs="Times New Roman"/>
                <w:color w:val="0000FF"/>
                <w:sz w:val="24"/>
                <w:lang w:val="en-US" w:eastAsia="zh-CN"/>
              </w:rPr>
              <w:t>暂</w:t>
            </w:r>
            <w:r>
              <w:rPr>
                <w:rFonts w:hint="eastAsia" w:ascii="Times New Roman" w:hAnsi="Times New Roman" w:eastAsia="宋体" w:cs="Times New Roman"/>
                <w:color w:val="0000FF"/>
                <w:sz w:val="24"/>
              </w:rPr>
              <w:t>定期委托专业吸污车进行抽吸清运</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lang w:val="en-US" w:eastAsia="zh-CN"/>
              </w:rPr>
              <w:t>签订清运处置协议，并跟踪去向</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待凹凸棒石初级加工园区污水处理厂投入</w:t>
            </w:r>
            <w:r>
              <w:rPr>
                <w:rFonts w:hint="eastAsia" w:ascii="Times New Roman" w:hAnsi="Times New Roman" w:eastAsia="宋体" w:cs="Times New Roman"/>
                <w:color w:val="0000FF"/>
                <w:sz w:val="24"/>
                <w:lang w:val="en-US" w:eastAsia="zh-CN"/>
              </w:rPr>
              <w:t>稳定</w:t>
            </w:r>
            <w:r>
              <w:rPr>
                <w:rFonts w:hint="eastAsia" w:ascii="Times New Roman" w:hAnsi="Times New Roman" w:eastAsia="宋体" w:cs="Times New Roman"/>
                <w:color w:val="0000FF"/>
                <w:sz w:val="24"/>
              </w:rPr>
              <w:t>运行后，排入该污水处理厂进行处理</w:t>
            </w:r>
            <w:r>
              <w:rPr>
                <w:rFonts w:hint="eastAsia" w:ascii="Times New Roman" w:hAnsi="Times New Roman" w:eastAsia="宋体" w:cs="Times New Roman"/>
                <w:color w:val="0000FF"/>
                <w:sz w:val="24"/>
                <w:lang w:eastAsia="zh-CN"/>
              </w:rPr>
              <w:t>。</w:t>
            </w:r>
          </w:p>
          <w:p w14:paraId="5E54F2D8">
            <w:pPr>
              <w:widowControl/>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本项目产生的生活污水（含食堂废水）</w:t>
            </w:r>
            <w:r>
              <w:rPr>
                <w:rFonts w:hint="eastAsia" w:ascii="Times New Roman" w:hAnsi="Times New Roman" w:eastAsia="宋体" w:cs="Times New Roman"/>
                <w:color w:val="0000FF"/>
                <w:sz w:val="24"/>
                <w:lang w:val="en-US" w:eastAsia="zh-CN"/>
              </w:rPr>
              <w:t>后期进入凹凸棒石初级加工园区污水处理厂处理时，需</w:t>
            </w:r>
            <w:r>
              <w:rPr>
                <w:rFonts w:hint="eastAsia" w:ascii="Times New Roman" w:hAnsi="Times New Roman" w:eastAsia="宋体" w:cs="Times New Roman"/>
                <w:sz w:val="24"/>
              </w:rPr>
              <w:t>经化粪池、隔油池进行预处理，达到《污水综合排放标准》（GB8978-1996）中三级标准限值且同时满足凹凸棒石初级加工园区污水处理厂接管标准后，进入园区污水管网，最终由凹凸棒石初级加工园区污水处理厂进行深度处理。</w:t>
            </w:r>
          </w:p>
          <w:p w14:paraId="7BF537BC">
            <w:pPr>
              <w:widowControl/>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bCs/>
                <w:sz w:val="24"/>
                <w:lang w:val="zh-CN"/>
              </w:rPr>
              <w:t>本项目生活污水（含食堂废水）日最大排水量不超过</w:t>
            </w:r>
            <w:r>
              <w:rPr>
                <w:rFonts w:hint="eastAsia" w:ascii="Times New Roman" w:hAnsi="Times New Roman" w:eastAsia="宋体" w:cs="Times New Roman"/>
                <w:bCs/>
                <w:sz w:val="24"/>
              </w:rPr>
              <w:t>1</w:t>
            </w:r>
            <w:r>
              <w:rPr>
                <w:rFonts w:hint="eastAsia" w:ascii="Times New Roman" w:hAnsi="Times New Roman" w:eastAsia="宋体" w:cs="Times New Roman"/>
                <w:bCs/>
                <w:sz w:val="24"/>
                <w:lang w:val="zh-CN"/>
              </w:rPr>
              <w:t>m</w:t>
            </w:r>
            <w:r>
              <w:rPr>
                <w:rFonts w:hint="eastAsia" w:ascii="Times New Roman" w:hAnsi="Times New Roman" w:eastAsia="宋体" w:cs="Times New Roman"/>
                <w:bCs/>
                <w:sz w:val="24"/>
                <w:vertAlign w:val="superscript"/>
                <w:lang w:val="zh-CN"/>
              </w:rPr>
              <w:t>3</w:t>
            </w:r>
            <w:r>
              <w:rPr>
                <w:rFonts w:hint="eastAsia" w:ascii="Times New Roman" w:hAnsi="Times New Roman" w:eastAsia="宋体" w:cs="Times New Roman"/>
                <w:bCs/>
                <w:sz w:val="24"/>
                <w:lang w:val="zh-CN"/>
              </w:rPr>
              <w:t>，负荷占比较低，凹凸棒石初级加工园区污水处理厂具备足够消纳能力，项目废水后续处理依托</w:t>
            </w:r>
            <w:r>
              <w:rPr>
                <w:rFonts w:hint="eastAsia" w:ascii="Times New Roman" w:hAnsi="Times New Roman" w:eastAsia="宋体" w:cs="Times New Roman"/>
                <w:sz w:val="24"/>
              </w:rPr>
              <w:t>凹凸棒石初级加工园区污水处理厂</w:t>
            </w:r>
            <w:r>
              <w:rPr>
                <w:rFonts w:hint="eastAsia" w:ascii="Times New Roman" w:hAnsi="Times New Roman" w:eastAsia="宋体" w:cs="Times New Roman"/>
                <w:bCs/>
                <w:sz w:val="24"/>
                <w:lang w:val="zh-CN"/>
              </w:rPr>
              <w:t>可行。</w:t>
            </w:r>
          </w:p>
          <w:p w14:paraId="09681D63">
            <w:pPr>
              <w:widowControl/>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（3）生产废水治理措施可行性分析</w:t>
            </w:r>
          </w:p>
          <w:p w14:paraId="7A3C1CA1">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①洗涤塔废水治理措施可行性分析</w:t>
            </w:r>
          </w:p>
          <w:p w14:paraId="6F233922">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本项目洗涤塔用水经分区沉淀后循环利用，产生的废液、焦油渣作为危险废物委托具备相应资质的危险废物处置单位处置；参考《大气污染控制工程》（第三版）、《排污许可证申请与核发技术规范 石墨及其他非金属矿物制品制造》的要求，洗涤塔废水循环利用符合工业废水“减量化、资源化、循环利用”的刚性要求，且属于可行技术，能够实现废水不外排，措施可行。</w:t>
            </w:r>
          </w:p>
          <w:p w14:paraId="3553B5E1">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②车辆冲洗废水治理措施可行性分析</w:t>
            </w:r>
          </w:p>
          <w:p w14:paraId="67753B33">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车辆冲洗废水经沉淀池沉淀处理后，上清液回用于车辆冲洗，不外排。本项目设计1座2m</w:t>
            </w:r>
            <w:r>
              <w:rPr>
                <w:rFonts w:hint="eastAsia" w:ascii="Times New Roman" w:hAnsi="Times New Roman" w:eastAsia="宋体" w:cs="Times New Roman"/>
                <w:sz w:val="24"/>
                <w:vertAlign w:val="superscript"/>
              </w:rPr>
              <w:t>3</w:t>
            </w:r>
            <w:r>
              <w:rPr>
                <w:rFonts w:hint="eastAsia" w:ascii="Times New Roman" w:hAnsi="Times New Roman" w:eastAsia="宋体" w:cs="Times New Roman"/>
                <w:sz w:val="24"/>
              </w:rPr>
              <w:t>沉淀池，可满足车辆冲洗废水处理需求。冲洗废水成分简单、产生量较低，经沉淀循环回用后可实现废水不外排，措施可行。</w:t>
            </w:r>
          </w:p>
          <w:p w14:paraId="176CF1CA">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③其他</w:t>
            </w:r>
          </w:p>
          <w:p w14:paraId="49849931">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本项目冷料仓上料喷淋降尘用水、运输道路抑尘用水、移动式雾炮抑尘用水、配料用水、绿化用水全部损耗，无废水外排，不会对外环境产生不良影响。</w:t>
            </w:r>
          </w:p>
          <w:p w14:paraId="7EF5B939">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3.3环境影响分析</w:t>
            </w:r>
          </w:p>
          <w:p w14:paraId="33CFCA66">
            <w:pPr>
              <w:wordWrap w:val="0"/>
              <w:topLinePunct/>
              <w:spacing w:line="360" w:lineRule="auto"/>
              <w:ind w:firstLine="480" w:firstLineChars="200"/>
              <w:rPr>
                <w:rFonts w:ascii="Times New Roman" w:hAnsi="Times New Roman" w:eastAsia="宋体" w:cs="Times New Roman"/>
                <w:sz w:val="24"/>
                <w:lang w:val="zh-CN"/>
              </w:rPr>
            </w:pPr>
            <w:r>
              <w:rPr>
                <w:rFonts w:hint="eastAsia" w:ascii="Times New Roman" w:hAnsi="Times New Roman" w:eastAsia="宋体" w:cs="Times New Roman"/>
                <w:sz w:val="24"/>
                <w:lang w:val="zh-CN"/>
              </w:rPr>
              <w:t>根据</w:t>
            </w:r>
            <w:r>
              <w:rPr>
                <w:rFonts w:hint="eastAsia" w:ascii="Times New Roman" w:hAnsi="Times New Roman" w:eastAsia="宋体" w:cs="Times New Roman"/>
                <w:sz w:val="24"/>
              </w:rPr>
              <w:t>上述预测计算与分析</w:t>
            </w:r>
            <w:r>
              <w:rPr>
                <w:rFonts w:hint="eastAsia" w:ascii="Times New Roman" w:hAnsi="Times New Roman" w:eastAsia="宋体" w:cs="Times New Roman"/>
                <w:sz w:val="24"/>
                <w:lang w:val="zh-CN"/>
              </w:rPr>
              <w:t>，</w:t>
            </w:r>
            <w:r>
              <w:rPr>
                <w:rFonts w:hint="eastAsia" w:ascii="Times New Roman" w:hAnsi="Times New Roman" w:eastAsia="宋体" w:cs="Times New Roman"/>
                <w:sz w:val="24"/>
              </w:rPr>
              <w:t>本项目生活污水（含食堂废水）处置去向满足环保要求；本项目生活污水（含食堂废水）经化粪池、隔油池预处理后</w:t>
            </w:r>
            <w:r>
              <w:rPr>
                <w:rFonts w:hint="eastAsia" w:ascii="Times New Roman" w:hAnsi="Times New Roman" w:eastAsia="宋体" w:cs="Times New Roman"/>
                <w:sz w:val="24"/>
                <w:lang w:val="zh-CN"/>
              </w:rPr>
              <w:t>，</w:t>
            </w:r>
            <w:r>
              <w:rPr>
                <w:rFonts w:hint="eastAsia" w:ascii="Times New Roman" w:hAnsi="Times New Roman" w:eastAsia="宋体" w:cs="Times New Roman"/>
                <w:sz w:val="24"/>
              </w:rPr>
              <w:t>出水浓度能够满足《污水综合排放标准》（GB8978-1996）中三级标准限值且同时满足凹凸棒石初级加工园区污水处理厂接管标准，</w:t>
            </w:r>
            <w:r>
              <w:rPr>
                <w:rFonts w:hint="eastAsia" w:ascii="Times New Roman" w:hAnsi="Times New Roman" w:eastAsia="宋体" w:cs="Times New Roman"/>
                <w:color w:val="0000FF"/>
                <w:sz w:val="24"/>
                <w:lang w:val="en-US" w:eastAsia="zh-CN"/>
              </w:rPr>
              <w:t>后期可以</w:t>
            </w:r>
            <w:r>
              <w:rPr>
                <w:rFonts w:hint="eastAsia" w:ascii="Times New Roman" w:hAnsi="Times New Roman" w:eastAsia="宋体" w:cs="Times New Roman"/>
                <w:sz w:val="24"/>
              </w:rPr>
              <w:t>进入凹凸棒石初级加工园区污水处理厂进行深度处理，实现达标排放</w:t>
            </w:r>
            <w:r>
              <w:rPr>
                <w:rFonts w:hint="eastAsia" w:ascii="Times New Roman" w:hAnsi="Times New Roman" w:eastAsia="宋体" w:cs="Times New Roman"/>
                <w:sz w:val="24"/>
                <w:lang w:val="zh-CN"/>
              </w:rPr>
              <w:t>。</w:t>
            </w:r>
          </w:p>
          <w:p w14:paraId="45948D49">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综上所述，本项目废水治理措施均为可行技术，废水均能够实现达标排放，对区域地表水环境影响较小。</w:t>
            </w:r>
          </w:p>
          <w:p w14:paraId="6EFD0860">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color w:val="0000FF"/>
                <w:sz w:val="24"/>
              </w:rPr>
              <w:t>本项目建成</w:t>
            </w:r>
            <w:r>
              <w:rPr>
                <w:rFonts w:hint="eastAsia" w:ascii="Times New Roman" w:hAnsi="Times New Roman" w:eastAsia="宋体" w:cs="Times New Roman"/>
                <w:color w:val="0000FF"/>
                <w:sz w:val="24"/>
                <w:lang w:eastAsia="zh-CN"/>
              </w:rPr>
              <w:t>，</w:t>
            </w:r>
            <w:r>
              <w:rPr>
                <w:rFonts w:hint="eastAsia" w:ascii="Times New Roman" w:hAnsi="Times New Roman" w:eastAsia="宋体" w:cs="Times New Roman"/>
                <w:color w:val="0000FF"/>
                <w:sz w:val="24"/>
              </w:rPr>
              <w:t>凹凸棒石初级加工园区污水处理厂</w:t>
            </w:r>
            <w:r>
              <w:rPr>
                <w:rFonts w:hint="eastAsia" w:ascii="Times New Roman" w:hAnsi="Times New Roman" w:eastAsia="宋体" w:cs="Times New Roman"/>
                <w:color w:val="0000FF"/>
                <w:sz w:val="24"/>
                <w:lang w:val="en-US" w:eastAsia="zh-CN"/>
              </w:rPr>
              <w:t>投入稳定运行</w:t>
            </w:r>
            <w:r>
              <w:rPr>
                <w:rFonts w:hint="eastAsia" w:ascii="Times New Roman" w:hAnsi="Times New Roman" w:eastAsia="宋体" w:cs="Times New Roman"/>
                <w:color w:val="0000FF"/>
                <w:sz w:val="24"/>
              </w:rPr>
              <w:t>后，</w:t>
            </w:r>
            <w:r>
              <w:rPr>
                <w:rFonts w:hint="eastAsia" w:ascii="Times New Roman" w:hAnsi="Times New Roman" w:eastAsia="宋体" w:cs="Times New Roman"/>
                <w:sz w:val="24"/>
              </w:rPr>
              <w:t>建设单位应与凹凸棒石初级加工园区污水处理厂协商确定污水排放细则，按照凹凸棒石初级加工园区污水处理厂的要求执行。</w:t>
            </w:r>
          </w:p>
          <w:p w14:paraId="7C37496D">
            <w:pPr>
              <w:widowControl/>
              <w:wordWrap w:val="0"/>
              <w:topLinePunct/>
              <w:spacing w:line="360" w:lineRule="auto"/>
              <w:jc w:val="center"/>
              <w:rPr>
                <w:rFonts w:ascii="Times New Roman" w:hAnsi="Times New Roman" w:eastAsia="宋体" w:cs="宋体-PUA"/>
                <w:b/>
                <w:sz w:val="24"/>
                <w:shd w:val="clear" w:color="auto" w:fill="FFFFFF"/>
                <w:lang w:val="zh-CN"/>
              </w:rPr>
            </w:pPr>
            <w:r>
              <w:rPr>
                <w:rFonts w:ascii="Times New Roman" w:hAnsi="Times New Roman" w:eastAsia="宋体" w:cs="宋体-PUA"/>
                <w:b/>
                <w:sz w:val="24"/>
                <w:shd w:val="clear" w:color="auto" w:fill="FFFFFF"/>
                <w:lang w:val="zh-CN"/>
              </w:rPr>
              <w:t>表4-</w:t>
            </w:r>
            <w:r>
              <w:rPr>
                <w:rFonts w:hint="eastAsia" w:ascii="Times New Roman" w:hAnsi="Times New Roman" w:eastAsia="宋体" w:cs="宋体-PUA"/>
                <w:b/>
                <w:sz w:val="24"/>
                <w:shd w:val="clear" w:color="auto" w:fill="FFFFFF"/>
              </w:rPr>
              <w:t xml:space="preserve">29 </w:t>
            </w:r>
            <w:r>
              <w:rPr>
                <w:rFonts w:ascii="Times New Roman" w:hAnsi="Times New Roman" w:eastAsia="宋体" w:cs="宋体-PUA"/>
                <w:b/>
                <w:sz w:val="24"/>
                <w:shd w:val="clear" w:color="auto" w:fill="FFFFFF"/>
                <w:lang w:val="zh-CN"/>
              </w:rPr>
              <w:t xml:space="preserve"> 废水排放基本情况表</w:t>
            </w:r>
          </w:p>
          <w:tbl>
            <w:tblPr>
              <w:tblStyle w:val="28"/>
              <w:tblW w:w="8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999"/>
              <w:gridCol w:w="1436"/>
              <w:gridCol w:w="784"/>
              <w:gridCol w:w="756"/>
              <w:gridCol w:w="551"/>
              <w:gridCol w:w="540"/>
              <w:gridCol w:w="816"/>
              <w:gridCol w:w="827"/>
              <w:gridCol w:w="757"/>
            </w:tblGrid>
            <w:tr w14:paraId="7D9B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22" w:type="pct"/>
                  <w:tcBorders>
                    <w:tl2br w:val="nil"/>
                    <w:tr2bl w:val="nil"/>
                  </w:tcBorders>
                  <w:tcMar>
                    <w:left w:w="57" w:type="dxa"/>
                    <w:right w:w="57" w:type="dxa"/>
                  </w:tcMar>
                  <w:vAlign w:val="center"/>
                </w:tcPr>
                <w:p w14:paraId="7008D2DB">
                  <w:pPr>
                    <w:keepLines/>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废水</w:t>
                  </w:r>
                </w:p>
                <w:p w14:paraId="1D8E09EE">
                  <w:pPr>
                    <w:keepLines/>
                    <w:wordWrap w:val="0"/>
                    <w:topLinePunct/>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类别</w:t>
                  </w:r>
                </w:p>
              </w:tc>
              <w:tc>
                <w:tcPr>
                  <w:tcW w:w="612" w:type="pct"/>
                  <w:tcBorders>
                    <w:tl2br w:val="nil"/>
                    <w:tr2bl w:val="nil"/>
                  </w:tcBorders>
                  <w:tcMar>
                    <w:left w:w="57" w:type="dxa"/>
                    <w:right w:w="57" w:type="dxa"/>
                  </w:tcMar>
                  <w:vAlign w:val="center"/>
                </w:tcPr>
                <w:p w14:paraId="6D1FB85D">
                  <w:pPr>
                    <w:keepLines/>
                    <w:wordWrap w:val="0"/>
                    <w:topLinePunct/>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废水排放量m</w:t>
                  </w:r>
                  <w:r>
                    <w:rPr>
                      <w:rFonts w:ascii="Times New Roman" w:hAnsi="Times New Roman" w:eastAsia="宋体" w:cs="Times New Roman"/>
                      <w:b/>
                      <w:bCs/>
                      <w:color w:val="000000" w:themeColor="text1"/>
                      <w:szCs w:val="21"/>
                      <w:vertAlign w:val="superscript"/>
                      <w14:textFill>
                        <w14:solidFill>
                          <w14:schemeClr w14:val="tx1"/>
                        </w14:solidFill>
                      </w14:textFill>
                    </w:rPr>
                    <w:t>3</w:t>
                  </w:r>
                  <w:r>
                    <w:rPr>
                      <w:rFonts w:ascii="Times New Roman" w:hAnsi="Times New Roman" w:eastAsia="宋体" w:cs="Times New Roman"/>
                      <w:b/>
                      <w:bCs/>
                      <w:color w:val="000000" w:themeColor="text1"/>
                      <w:szCs w:val="21"/>
                      <w14:textFill>
                        <w14:solidFill>
                          <w14:schemeClr w14:val="tx1"/>
                        </w14:solidFill>
                      </w14:textFill>
                    </w:rPr>
                    <w:t>/a</w:t>
                  </w:r>
                </w:p>
              </w:tc>
              <w:tc>
                <w:tcPr>
                  <w:tcW w:w="879" w:type="pct"/>
                  <w:tcBorders>
                    <w:tl2br w:val="nil"/>
                    <w:tr2bl w:val="nil"/>
                  </w:tcBorders>
                  <w:tcMar>
                    <w:left w:w="57" w:type="dxa"/>
                    <w:right w:w="57" w:type="dxa"/>
                  </w:tcMar>
                  <w:vAlign w:val="center"/>
                </w:tcPr>
                <w:p w14:paraId="74F0BDDF">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污染物</w:t>
                  </w:r>
                </w:p>
                <w:p w14:paraId="52B0F80A">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种类</w:t>
                  </w:r>
                </w:p>
              </w:tc>
              <w:tc>
                <w:tcPr>
                  <w:tcW w:w="480" w:type="pct"/>
                  <w:tcBorders>
                    <w:tl2br w:val="nil"/>
                    <w:tr2bl w:val="nil"/>
                  </w:tcBorders>
                  <w:tcMar>
                    <w:left w:w="57" w:type="dxa"/>
                    <w:right w:w="57" w:type="dxa"/>
                  </w:tcMar>
                  <w:vAlign w:val="center"/>
                </w:tcPr>
                <w:p w14:paraId="6A28845A">
                  <w:pPr>
                    <w:keepLines/>
                    <w:wordWrap w:val="0"/>
                    <w:topLinePunct/>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污染治理设施</w:t>
                  </w:r>
                </w:p>
              </w:tc>
              <w:tc>
                <w:tcPr>
                  <w:tcW w:w="463" w:type="pct"/>
                  <w:tcBorders>
                    <w:tl2br w:val="nil"/>
                    <w:tr2bl w:val="nil"/>
                  </w:tcBorders>
                  <w:tcMar>
                    <w:left w:w="57" w:type="dxa"/>
                    <w:right w:w="57" w:type="dxa"/>
                  </w:tcMar>
                  <w:vAlign w:val="center"/>
                </w:tcPr>
                <w:p w14:paraId="2F6A600A">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排放</w:t>
                  </w:r>
                </w:p>
                <w:p w14:paraId="1EF33654">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去向</w:t>
                  </w:r>
                </w:p>
              </w:tc>
              <w:tc>
                <w:tcPr>
                  <w:tcW w:w="338" w:type="pct"/>
                  <w:tcBorders>
                    <w:tl2br w:val="nil"/>
                    <w:tr2bl w:val="nil"/>
                  </w:tcBorders>
                  <w:tcMar>
                    <w:left w:w="57" w:type="dxa"/>
                    <w:right w:w="57" w:type="dxa"/>
                  </w:tcMar>
                  <w:vAlign w:val="center"/>
                </w:tcPr>
                <w:p w14:paraId="7377EE0F">
                  <w:pPr>
                    <w:keepLines/>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排放</w:t>
                  </w:r>
                </w:p>
                <w:p w14:paraId="5AF4A278">
                  <w:pPr>
                    <w:keepLines/>
                    <w:wordWrap w:val="0"/>
                    <w:topLinePunct/>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规律</w:t>
                  </w:r>
                </w:p>
              </w:tc>
              <w:tc>
                <w:tcPr>
                  <w:tcW w:w="331" w:type="pct"/>
                  <w:tcBorders>
                    <w:tl2br w:val="nil"/>
                    <w:tr2bl w:val="nil"/>
                  </w:tcBorders>
                  <w:tcMar>
                    <w:left w:w="57" w:type="dxa"/>
                    <w:right w:w="57" w:type="dxa"/>
                  </w:tcMar>
                  <w:vAlign w:val="center"/>
                </w:tcPr>
                <w:p w14:paraId="7609BA85">
                  <w:pPr>
                    <w:keepLines/>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排放</w:t>
                  </w:r>
                </w:p>
                <w:p w14:paraId="6E4573DA">
                  <w:pPr>
                    <w:keepLines/>
                    <w:wordWrap w:val="0"/>
                    <w:topLinePunct/>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时段</w:t>
                  </w:r>
                </w:p>
              </w:tc>
              <w:tc>
                <w:tcPr>
                  <w:tcW w:w="500" w:type="pct"/>
                  <w:tcBorders>
                    <w:tl2br w:val="nil"/>
                    <w:tr2bl w:val="nil"/>
                  </w:tcBorders>
                  <w:tcMar>
                    <w:left w:w="57" w:type="dxa"/>
                    <w:right w:w="57" w:type="dxa"/>
                  </w:tcMar>
                  <w:vAlign w:val="center"/>
                </w:tcPr>
                <w:p w14:paraId="797A75FE">
                  <w:pPr>
                    <w:keepLines/>
                    <w:wordWrap w:val="0"/>
                    <w:topLinePunct/>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排放口编号</w:t>
                  </w:r>
                </w:p>
              </w:tc>
              <w:tc>
                <w:tcPr>
                  <w:tcW w:w="507" w:type="pct"/>
                  <w:tcBorders>
                    <w:tl2br w:val="nil"/>
                    <w:tr2bl w:val="nil"/>
                  </w:tcBorders>
                  <w:tcMar>
                    <w:left w:w="57" w:type="dxa"/>
                    <w:right w:w="57" w:type="dxa"/>
                  </w:tcMar>
                  <w:vAlign w:val="center"/>
                </w:tcPr>
                <w:p w14:paraId="6A0D7E97">
                  <w:pPr>
                    <w:keepLines/>
                    <w:wordWrap w:val="0"/>
                    <w:topLinePunct/>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排放口设置是否符合要求</w:t>
                  </w:r>
                </w:p>
              </w:tc>
              <w:tc>
                <w:tcPr>
                  <w:tcW w:w="464" w:type="pct"/>
                  <w:tcBorders>
                    <w:tl2br w:val="nil"/>
                    <w:tr2bl w:val="nil"/>
                  </w:tcBorders>
                  <w:tcMar>
                    <w:left w:w="57" w:type="dxa"/>
                    <w:right w:w="57" w:type="dxa"/>
                  </w:tcMar>
                  <w:vAlign w:val="center"/>
                </w:tcPr>
                <w:p w14:paraId="22BE67A9">
                  <w:pPr>
                    <w:keepLines/>
                    <w:wordWrap w:val="0"/>
                    <w:topLinePunct/>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受纳对象信息</w:t>
                  </w:r>
                </w:p>
              </w:tc>
            </w:tr>
            <w:tr w14:paraId="0925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422" w:type="pct"/>
                  <w:tcBorders>
                    <w:tl2br w:val="nil"/>
                    <w:tr2bl w:val="nil"/>
                  </w:tcBorders>
                  <w:tcMar>
                    <w:left w:w="57" w:type="dxa"/>
                    <w:right w:w="57" w:type="dxa"/>
                  </w:tcMar>
                  <w:vAlign w:val="center"/>
                </w:tcPr>
                <w:p w14:paraId="50CDD9C7">
                  <w:pPr>
                    <w:keepLines/>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生活</w:t>
                  </w:r>
                </w:p>
                <w:p w14:paraId="04287898">
                  <w:pPr>
                    <w:keepLines/>
                    <w:wordWrap w:val="0"/>
                    <w:topLinePunct/>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污水</w:t>
                  </w:r>
                </w:p>
              </w:tc>
              <w:tc>
                <w:tcPr>
                  <w:tcW w:w="612" w:type="pct"/>
                  <w:tcBorders>
                    <w:tl2br w:val="nil"/>
                    <w:tr2bl w:val="nil"/>
                  </w:tcBorders>
                  <w:tcMar>
                    <w:left w:w="57" w:type="dxa"/>
                    <w:right w:w="57" w:type="dxa"/>
                  </w:tcMar>
                  <w:vAlign w:val="center"/>
                </w:tcPr>
                <w:p w14:paraId="1FA715C5">
                  <w:pPr>
                    <w:keepLines/>
                    <w:wordWrap w:val="0"/>
                    <w:topLinePunct/>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68.4</w:t>
                  </w:r>
                </w:p>
              </w:tc>
              <w:tc>
                <w:tcPr>
                  <w:tcW w:w="879" w:type="pct"/>
                  <w:tcBorders>
                    <w:tl2br w:val="nil"/>
                    <w:tr2bl w:val="nil"/>
                  </w:tcBorders>
                  <w:tcMar>
                    <w:left w:w="57" w:type="dxa"/>
                    <w:right w:w="57" w:type="dxa"/>
                  </w:tcMar>
                  <w:vAlign w:val="center"/>
                </w:tcPr>
                <w:p w14:paraId="67FAE308">
                  <w:pPr>
                    <w:keepLines/>
                    <w:wordWrap w:val="0"/>
                    <w:topLinePunct/>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COD、SS、NH</w:t>
                  </w:r>
                  <w:r>
                    <w:rPr>
                      <w:rFonts w:ascii="Times New Roman" w:hAnsi="Times New Roman" w:eastAsia="宋体" w:cs="Times New Roman"/>
                      <w:szCs w:val="21"/>
                      <w:vertAlign w:val="subscript"/>
                    </w:rPr>
                    <w:t>3</w:t>
                  </w:r>
                  <w:r>
                    <w:rPr>
                      <w:rFonts w:ascii="Times New Roman" w:hAnsi="Times New Roman" w:eastAsia="宋体" w:cs="Times New Roman"/>
                      <w:szCs w:val="21"/>
                    </w:rPr>
                    <w:t>-N、TP、TN</w:t>
                  </w:r>
                  <w:r>
                    <w:rPr>
                      <w:rFonts w:hint="eastAsia" w:ascii="Times New Roman" w:hAnsi="Times New Roman" w:eastAsia="宋体" w:cs="Times New Roman"/>
                      <w:szCs w:val="21"/>
                    </w:rPr>
                    <w:t>、</w:t>
                  </w:r>
                  <w:r>
                    <w:rPr>
                      <w:rFonts w:ascii="Times New Roman" w:hAnsi="Times New Roman" w:eastAsia="宋体" w:cs="Times New Roman"/>
                      <w:szCs w:val="21"/>
                    </w:rPr>
                    <w:t>LAS、动植物油、BOD</w:t>
                  </w:r>
                  <w:r>
                    <w:rPr>
                      <w:rFonts w:ascii="Times New Roman" w:hAnsi="Times New Roman" w:eastAsia="宋体" w:cs="Times New Roman"/>
                      <w:szCs w:val="21"/>
                      <w:vertAlign w:val="subscript"/>
                    </w:rPr>
                    <w:t>5</w:t>
                  </w:r>
                </w:p>
              </w:tc>
              <w:tc>
                <w:tcPr>
                  <w:tcW w:w="480" w:type="pct"/>
                  <w:tcBorders>
                    <w:tl2br w:val="nil"/>
                    <w:tr2bl w:val="nil"/>
                  </w:tcBorders>
                  <w:tcMar>
                    <w:left w:w="57" w:type="dxa"/>
                    <w:right w:w="57" w:type="dxa"/>
                  </w:tcMar>
                  <w:vAlign w:val="center"/>
                </w:tcPr>
                <w:p w14:paraId="1EE49A27">
                  <w:pPr>
                    <w:keepLines/>
                    <w:wordWrap w:val="0"/>
                    <w:topLinePunct/>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化粪池、隔油池</w:t>
                  </w:r>
                </w:p>
              </w:tc>
              <w:tc>
                <w:tcPr>
                  <w:tcW w:w="463" w:type="pct"/>
                  <w:tcBorders>
                    <w:tl2br w:val="nil"/>
                    <w:tr2bl w:val="nil"/>
                  </w:tcBorders>
                  <w:tcMar>
                    <w:left w:w="57" w:type="dxa"/>
                    <w:right w:w="57" w:type="dxa"/>
                  </w:tcMar>
                  <w:vAlign w:val="center"/>
                </w:tcPr>
                <w:p w14:paraId="42FA8164">
                  <w:pPr>
                    <w:keepLines/>
                    <w:wordWrap w:val="0"/>
                    <w:topLinePunct/>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园区污水管网</w:t>
                  </w:r>
                </w:p>
              </w:tc>
              <w:tc>
                <w:tcPr>
                  <w:tcW w:w="338" w:type="pct"/>
                  <w:tcBorders>
                    <w:tl2br w:val="nil"/>
                    <w:tr2bl w:val="nil"/>
                  </w:tcBorders>
                  <w:tcMar>
                    <w:left w:w="57" w:type="dxa"/>
                    <w:right w:w="57" w:type="dxa"/>
                  </w:tcMar>
                  <w:vAlign w:val="center"/>
                </w:tcPr>
                <w:p w14:paraId="1F42AE26">
                  <w:pPr>
                    <w:keepLines/>
                    <w:wordWrap w:val="0"/>
                    <w:topLinePunct/>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间断</w:t>
                  </w:r>
                </w:p>
              </w:tc>
              <w:tc>
                <w:tcPr>
                  <w:tcW w:w="331" w:type="pct"/>
                  <w:tcBorders>
                    <w:tl2br w:val="nil"/>
                    <w:tr2bl w:val="nil"/>
                  </w:tcBorders>
                  <w:tcMar>
                    <w:left w:w="57" w:type="dxa"/>
                    <w:right w:w="57" w:type="dxa"/>
                  </w:tcMar>
                  <w:vAlign w:val="center"/>
                </w:tcPr>
                <w:p w14:paraId="5C1FB2F5">
                  <w:pPr>
                    <w:keepLines/>
                    <w:wordWrap w:val="0"/>
                    <w:topLinePunct/>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宋体" w:cs="Times New Roman"/>
                      <w:color w:val="000000" w:themeColor="text1"/>
                      <w:szCs w:val="21"/>
                      <w14:textFill>
                        <w14:solidFill>
                          <w14:schemeClr w14:val="tx1"/>
                        </w14:solidFill>
                      </w14:textFill>
                    </w:rPr>
                    <w:t>日间</w:t>
                  </w:r>
                </w:p>
              </w:tc>
              <w:tc>
                <w:tcPr>
                  <w:tcW w:w="500" w:type="pct"/>
                  <w:tcBorders>
                    <w:tl2br w:val="nil"/>
                    <w:tr2bl w:val="nil"/>
                  </w:tcBorders>
                  <w:tcMar>
                    <w:left w:w="57" w:type="dxa"/>
                    <w:right w:w="57" w:type="dxa"/>
                  </w:tcMar>
                  <w:vAlign w:val="center"/>
                </w:tcPr>
                <w:p w14:paraId="472141F6">
                  <w:pPr>
                    <w:keepLines/>
                    <w:wordWrap w:val="0"/>
                    <w:topLinePunct/>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DW001</w:t>
                  </w:r>
                </w:p>
              </w:tc>
              <w:tc>
                <w:tcPr>
                  <w:tcW w:w="507" w:type="pct"/>
                  <w:tcBorders>
                    <w:tl2br w:val="nil"/>
                    <w:tr2bl w:val="nil"/>
                  </w:tcBorders>
                  <w:tcMar>
                    <w:left w:w="57" w:type="dxa"/>
                    <w:right w:w="57" w:type="dxa"/>
                  </w:tcMar>
                  <w:vAlign w:val="center"/>
                </w:tcPr>
                <w:p w14:paraId="61EC55DA">
                  <w:pPr>
                    <w:keepLines/>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符合</w:t>
                  </w:r>
                </w:p>
              </w:tc>
              <w:tc>
                <w:tcPr>
                  <w:tcW w:w="464" w:type="pct"/>
                  <w:tcBorders>
                    <w:tl2br w:val="nil"/>
                    <w:tr2bl w:val="nil"/>
                  </w:tcBorders>
                  <w:tcMar>
                    <w:left w:w="57" w:type="dxa"/>
                    <w:right w:w="57" w:type="dxa"/>
                  </w:tcMar>
                  <w:vAlign w:val="center"/>
                </w:tcPr>
                <w:p w14:paraId="42A68415">
                  <w:pPr>
                    <w:keepLines/>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凹凸棒石初级加工园区污水处理厂</w:t>
                  </w:r>
                </w:p>
              </w:tc>
            </w:tr>
          </w:tbl>
          <w:p w14:paraId="0DD22D19">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3.4废水自行监测计划</w:t>
            </w:r>
          </w:p>
          <w:p w14:paraId="5318E316">
            <w:pPr>
              <w:wordWrap w:val="0"/>
              <w:topLinePunct/>
              <w:spacing w:line="360" w:lineRule="auto"/>
              <w:ind w:firstLine="480" w:firstLineChars="200"/>
              <w:rPr>
                <w:rFonts w:ascii="Times New Roman" w:eastAsia="宋体"/>
                <w:sz w:val="24"/>
                <w:szCs w:val="20"/>
              </w:rPr>
            </w:pPr>
            <w:r>
              <w:rPr>
                <w:rFonts w:hint="eastAsia" w:ascii="Times New Roman" w:hAnsi="Times New Roman" w:eastAsia="宋体" w:cs="Times New Roman"/>
                <w:sz w:val="24"/>
              </w:rPr>
              <w:t>参照《排污单位自行监测技术指南总则》（HJ819-2017）、《排污许可证申请与核发技术规范 石墨及其他非金属矿物制品制造》（HJ1119-2020），</w:t>
            </w:r>
            <w:r>
              <w:rPr>
                <w:rFonts w:hint="eastAsia" w:ascii="Times New Roman" w:eastAsia="宋体"/>
                <w:sz w:val="24"/>
                <w:szCs w:val="20"/>
              </w:rPr>
              <w:t>确定本项目废水自行监测计划见表4-30。</w:t>
            </w:r>
          </w:p>
          <w:p w14:paraId="7CCC9602">
            <w:pPr>
              <w:widowControl/>
              <w:wordWrap w:val="0"/>
              <w:topLinePunct/>
              <w:spacing w:line="360" w:lineRule="auto"/>
              <w:jc w:val="center"/>
              <w:rPr>
                <w:rFonts w:ascii="Times New Roman" w:hAnsi="Times New Roman" w:eastAsia="宋体" w:cs="宋体-PUA"/>
                <w:b/>
                <w:sz w:val="24"/>
                <w:shd w:val="clear" w:color="auto" w:fill="FFFFFF"/>
                <w:lang w:val="zh-CN"/>
              </w:rPr>
            </w:pPr>
            <w:r>
              <w:rPr>
                <w:rFonts w:hint="eastAsia" w:ascii="Times New Roman" w:hAnsi="Times New Roman" w:eastAsia="宋体" w:cs="宋体-PUA"/>
                <w:b/>
                <w:sz w:val="24"/>
                <w:shd w:val="clear" w:color="auto" w:fill="FFFFFF"/>
                <w:lang w:val="zh-CN"/>
              </w:rPr>
              <w:t>表4-</w:t>
            </w:r>
            <w:r>
              <w:rPr>
                <w:rFonts w:hint="eastAsia" w:ascii="Times New Roman" w:hAnsi="Times New Roman" w:eastAsia="宋体" w:cs="宋体-PUA"/>
                <w:b/>
                <w:sz w:val="24"/>
                <w:shd w:val="clear" w:color="auto" w:fill="FFFFFF"/>
              </w:rPr>
              <w:t xml:space="preserve">30 </w:t>
            </w:r>
            <w:r>
              <w:rPr>
                <w:rFonts w:hint="eastAsia" w:ascii="Times New Roman" w:hAnsi="Times New Roman" w:eastAsia="宋体" w:cs="宋体-PUA"/>
                <w:b/>
                <w:sz w:val="24"/>
                <w:shd w:val="clear" w:color="auto" w:fill="FFFFFF"/>
                <w:lang w:val="zh-CN"/>
              </w:rPr>
              <w:t xml:space="preserve"> 废水自行监测计划一览表</w:t>
            </w:r>
          </w:p>
          <w:tbl>
            <w:tblPr>
              <w:tblStyle w:val="76"/>
              <w:tblW w:w="8080"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2"/>
              <w:gridCol w:w="1214"/>
              <w:gridCol w:w="1076"/>
              <w:gridCol w:w="2109"/>
              <w:gridCol w:w="835"/>
              <w:gridCol w:w="2014"/>
            </w:tblGrid>
            <w:tr w14:paraId="50020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14" w:type="pct"/>
                  <w:tcBorders>
                    <w:tl2br w:val="nil"/>
                    <w:tr2bl w:val="nil"/>
                  </w:tcBorders>
                  <w:vAlign w:val="center"/>
                </w:tcPr>
                <w:p w14:paraId="4FA3D4D2">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排放口</w:t>
                  </w:r>
                </w:p>
                <w:p w14:paraId="5B284D23">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标号</w:t>
                  </w:r>
                </w:p>
              </w:tc>
              <w:tc>
                <w:tcPr>
                  <w:tcW w:w="751" w:type="pct"/>
                  <w:tcBorders>
                    <w:tl2br w:val="nil"/>
                    <w:tr2bl w:val="nil"/>
                  </w:tcBorders>
                  <w:vAlign w:val="center"/>
                </w:tcPr>
                <w:p w14:paraId="3424112E">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排放口</w:t>
                  </w:r>
                </w:p>
                <w:p w14:paraId="66B3E6E7">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名称</w:t>
                  </w:r>
                </w:p>
              </w:tc>
              <w:tc>
                <w:tcPr>
                  <w:tcW w:w="666" w:type="pct"/>
                  <w:tcBorders>
                    <w:tl2br w:val="nil"/>
                    <w:tr2bl w:val="nil"/>
                  </w:tcBorders>
                  <w:vAlign w:val="center"/>
                </w:tcPr>
                <w:p w14:paraId="1EAE19EA">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监测点位</w:t>
                  </w:r>
                </w:p>
              </w:tc>
              <w:tc>
                <w:tcPr>
                  <w:tcW w:w="1304" w:type="pct"/>
                  <w:tcBorders>
                    <w:tl2br w:val="nil"/>
                    <w:tr2bl w:val="nil"/>
                  </w:tcBorders>
                  <w:vAlign w:val="center"/>
                </w:tcPr>
                <w:p w14:paraId="1824F25D">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监测因子</w:t>
                  </w:r>
                </w:p>
              </w:tc>
              <w:tc>
                <w:tcPr>
                  <w:tcW w:w="517" w:type="pct"/>
                  <w:tcBorders>
                    <w:tl2br w:val="nil"/>
                    <w:tr2bl w:val="nil"/>
                  </w:tcBorders>
                  <w:vAlign w:val="center"/>
                </w:tcPr>
                <w:p w14:paraId="5C7290C8">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监测</w:t>
                  </w:r>
                </w:p>
                <w:p w14:paraId="32292EEF">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频次</w:t>
                  </w:r>
                </w:p>
              </w:tc>
              <w:tc>
                <w:tcPr>
                  <w:tcW w:w="1245" w:type="pct"/>
                  <w:tcBorders>
                    <w:tl2br w:val="nil"/>
                    <w:tr2bl w:val="nil"/>
                  </w:tcBorders>
                  <w:vAlign w:val="center"/>
                </w:tcPr>
                <w:p w14:paraId="70FA5E56">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排放标准</w:t>
                  </w:r>
                </w:p>
              </w:tc>
            </w:tr>
            <w:tr w14:paraId="03447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 w:hRule="atLeast"/>
              </w:trPr>
              <w:tc>
                <w:tcPr>
                  <w:tcW w:w="514" w:type="pct"/>
                  <w:tcBorders>
                    <w:tl2br w:val="nil"/>
                    <w:tr2bl w:val="nil"/>
                  </w:tcBorders>
                  <w:vAlign w:val="center"/>
                </w:tcPr>
                <w:p w14:paraId="7A1721D0">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DW001</w:t>
                  </w:r>
                </w:p>
              </w:tc>
              <w:tc>
                <w:tcPr>
                  <w:tcW w:w="751" w:type="pct"/>
                  <w:tcBorders>
                    <w:tl2br w:val="nil"/>
                    <w:tr2bl w:val="nil"/>
                  </w:tcBorders>
                  <w:vAlign w:val="center"/>
                </w:tcPr>
                <w:p w14:paraId="6479188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化粪池出口（生活污水排放口）</w:t>
                  </w:r>
                </w:p>
              </w:tc>
              <w:tc>
                <w:tcPr>
                  <w:tcW w:w="666" w:type="pct"/>
                  <w:tcBorders>
                    <w:tl2br w:val="nil"/>
                    <w:tr2bl w:val="nil"/>
                  </w:tcBorders>
                  <w:vAlign w:val="center"/>
                </w:tcPr>
                <w:p w14:paraId="14ADF51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化粪池出口（生活污水排放口，厂区废水总排口）</w:t>
                  </w:r>
                </w:p>
              </w:tc>
              <w:tc>
                <w:tcPr>
                  <w:tcW w:w="1304" w:type="pct"/>
                  <w:tcBorders>
                    <w:tl2br w:val="nil"/>
                    <w:tr2bl w:val="nil"/>
                  </w:tcBorders>
                  <w:vAlign w:val="center"/>
                </w:tcPr>
                <w:p w14:paraId="70A0403B">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COD、SS、NH</w:t>
                  </w:r>
                  <w:r>
                    <w:rPr>
                      <w:rFonts w:ascii="Times New Roman" w:hAnsi="Times New Roman" w:eastAsia="宋体" w:cs="Times New Roman"/>
                      <w:szCs w:val="21"/>
                      <w:vertAlign w:val="subscript"/>
                    </w:rPr>
                    <w:t>3</w:t>
                  </w:r>
                  <w:r>
                    <w:rPr>
                      <w:rFonts w:ascii="Times New Roman" w:hAnsi="Times New Roman" w:eastAsia="宋体" w:cs="Times New Roman"/>
                      <w:szCs w:val="21"/>
                    </w:rPr>
                    <w:t>-N、TP、TN</w:t>
                  </w:r>
                  <w:r>
                    <w:rPr>
                      <w:rFonts w:hint="eastAsia" w:ascii="Times New Roman" w:hAnsi="Times New Roman" w:eastAsia="宋体" w:cs="Times New Roman"/>
                      <w:szCs w:val="21"/>
                    </w:rPr>
                    <w:t>、</w:t>
                  </w:r>
                  <w:r>
                    <w:rPr>
                      <w:rFonts w:ascii="Times New Roman" w:hAnsi="Times New Roman" w:eastAsia="宋体" w:cs="Times New Roman"/>
                      <w:szCs w:val="21"/>
                    </w:rPr>
                    <w:t>LAS、动植物油、BOD</w:t>
                  </w:r>
                  <w:r>
                    <w:rPr>
                      <w:rFonts w:ascii="Times New Roman" w:hAnsi="Times New Roman" w:eastAsia="宋体" w:cs="Times New Roman"/>
                      <w:szCs w:val="21"/>
                      <w:vertAlign w:val="subscript"/>
                    </w:rPr>
                    <w:t>5</w:t>
                  </w:r>
                </w:p>
              </w:tc>
              <w:tc>
                <w:tcPr>
                  <w:tcW w:w="517" w:type="pct"/>
                  <w:tcBorders>
                    <w:tl2br w:val="nil"/>
                    <w:tr2bl w:val="nil"/>
                  </w:tcBorders>
                  <w:vAlign w:val="center"/>
                </w:tcPr>
                <w:p w14:paraId="4ECCFF3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1次/年</w:t>
                  </w:r>
                </w:p>
              </w:tc>
              <w:tc>
                <w:tcPr>
                  <w:tcW w:w="1245" w:type="pct"/>
                  <w:tcBorders>
                    <w:tl2br w:val="nil"/>
                    <w:tr2bl w:val="nil"/>
                  </w:tcBorders>
                  <w:vAlign w:val="center"/>
                </w:tcPr>
                <w:p w14:paraId="2967842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《污水综合排放标准》（GB8978-1996）中三级标准限值且同时满足凹凸棒石初级加工园区污水处理厂接管标准</w:t>
                  </w:r>
                </w:p>
              </w:tc>
            </w:tr>
          </w:tbl>
          <w:p w14:paraId="75175192">
            <w:pPr>
              <w:wordWrap w:val="0"/>
              <w:topLinePunct/>
              <w:spacing w:line="360" w:lineRule="auto"/>
              <w:rPr>
                <w:rFonts w:hint="eastAsia" w:ascii="Times New Roman" w:hAnsi="宋体" w:eastAsia="宋体" w:cs="Times New Roman"/>
                <w:b/>
                <w:sz w:val="24"/>
                <w:lang w:val="zh-CN"/>
              </w:rPr>
            </w:pPr>
            <w:r>
              <w:rPr>
                <w:rFonts w:hint="eastAsia" w:ascii="Times New Roman" w:hAnsi="宋体" w:eastAsia="宋体" w:cs="Times New Roman"/>
                <w:b/>
                <w:sz w:val="24"/>
              </w:rPr>
              <w:t>4</w:t>
            </w:r>
            <w:r>
              <w:rPr>
                <w:rFonts w:ascii="Times New Roman" w:hAnsi="宋体" w:eastAsia="宋体" w:cs="Times New Roman"/>
                <w:b/>
                <w:sz w:val="24"/>
                <w:lang w:val="zh-CN"/>
              </w:rPr>
              <w:t>噪声影响分析及治理措施</w:t>
            </w:r>
          </w:p>
          <w:p w14:paraId="1AA13DB0">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4.1</w:t>
            </w:r>
            <w:r>
              <w:rPr>
                <w:rFonts w:ascii="Times New Roman" w:hAnsi="Times New Roman" w:eastAsia="宋体" w:cs="Times New Roman"/>
                <w:b/>
                <w:bCs/>
                <w:sz w:val="24"/>
              </w:rPr>
              <w:t>预测模型</w:t>
            </w:r>
          </w:p>
          <w:p w14:paraId="36C845DB">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根据项目建设内容及《环境影响评价技术导则 声环境》（HJ2.4-2021）的要求，</w:t>
            </w:r>
            <w:r>
              <w:rPr>
                <w:rFonts w:hint="eastAsia" w:ascii="Times New Roman" w:hAnsi="Times New Roman" w:eastAsia="宋体" w:cs="Times New Roman"/>
                <w:sz w:val="24"/>
              </w:rPr>
              <w:t>本评价</w:t>
            </w:r>
            <w:r>
              <w:rPr>
                <w:rFonts w:ascii="Times New Roman" w:hAnsi="Times New Roman" w:eastAsia="宋体" w:cs="Times New Roman"/>
                <w:sz w:val="24"/>
              </w:rPr>
              <w:t>采用的模型为《环境影响评价技术导则 声环境》HJ2.4-2021）附录A（规范性附录）户外声传播的衰减和附录B（规范性附录）中</w:t>
            </w:r>
            <w:r>
              <w:rPr>
                <w:rFonts w:hint="eastAsia" w:ascii="Times New Roman" w:hAnsi="Times New Roman" w:eastAsia="宋体" w:cs="Times New Roman"/>
                <w:sz w:val="24"/>
              </w:rPr>
              <w:t>“</w:t>
            </w:r>
            <w:r>
              <w:rPr>
                <w:rFonts w:ascii="Times New Roman" w:hAnsi="Times New Roman" w:eastAsia="宋体" w:cs="Times New Roman"/>
                <w:sz w:val="24"/>
              </w:rPr>
              <w:t>B.1工业噪声预测计算模型</w:t>
            </w:r>
            <w:r>
              <w:rPr>
                <w:rFonts w:hint="eastAsia" w:ascii="Times New Roman" w:hAnsi="Times New Roman" w:eastAsia="宋体" w:cs="Times New Roman"/>
                <w:sz w:val="24"/>
              </w:rPr>
              <w:t>”</w:t>
            </w:r>
            <w:r>
              <w:rPr>
                <w:rFonts w:ascii="Times New Roman" w:hAnsi="Times New Roman" w:eastAsia="宋体" w:cs="Times New Roman"/>
                <w:sz w:val="24"/>
              </w:rPr>
              <w:t>。</w:t>
            </w:r>
          </w:p>
          <w:p w14:paraId="3C2CAFE3">
            <w:pPr>
              <w:wordWrap w:val="0"/>
              <w:topLinePunct/>
              <w:spacing w:line="360" w:lineRule="auto"/>
              <w:ind w:firstLine="482" w:firstLineChars="200"/>
              <w:rPr>
                <w:rFonts w:ascii="Times New Roman" w:hAnsi="Times New Roman" w:eastAsia="宋体" w:cs="Times New Roman"/>
                <w:b/>
                <w:bCs/>
                <w:sz w:val="24"/>
                <w:lang w:val="zh-CN"/>
              </w:rPr>
            </w:pPr>
            <w:r>
              <w:rPr>
                <w:rFonts w:hint="eastAsia" w:ascii="Times New Roman" w:hAnsi="Times New Roman" w:eastAsia="宋体" w:cs="Times New Roman"/>
                <w:b/>
                <w:bCs/>
                <w:sz w:val="24"/>
              </w:rPr>
              <w:t>4</w:t>
            </w:r>
            <w:r>
              <w:rPr>
                <w:rFonts w:hint="eastAsia" w:ascii="Times New Roman" w:hAnsi="Times New Roman" w:eastAsia="宋体" w:cs="Times New Roman"/>
                <w:b/>
                <w:bCs/>
                <w:sz w:val="24"/>
                <w:lang w:val="zh-CN"/>
              </w:rPr>
              <w:t>.</w:t>
            </w:r>
            <w:r>
              <w:rPr>
                <w:rFonts w:hint="eastAsia" w:ascii="Times New Roman" w:hAnsi="Times New Roman" w:eastAsia="宋体" w:cs="Times New Roman"/>
                <w:b/>
                <w:bCs/>
                <w:sz w:val="24"/>
              </w:rPr>
              <w:t>2</w:t>
            </w:r>
            <w:r>
              <w:rPr>
                <w:rFonts w:hint="eastAsia" w:ascii="Times New Roman" w:hAnsi="Times New Roman" w:eastAsia="宋体" w:cs="Times New Roman"/>
                <w:b/>
                <w:bCs/>
                <w:sz w:val="24"/>
                <w:lang w:val="zh-CN"/>
              </w:rPr>
              <w:t>噪声源强</w:t>
            </w:r>
          </w:p>
          <w:p w14:paraId="19645C54">
            <w:pPr>
              <w:wordWrap w:val="0"/>
              <w:topLinePunct/>
              <w:spacing w:line="360" w:lineRule="auto"/>
              <w:ind w:firstLine="480" w:firstLineChars="200"/>
              <w:rPr>
                <w:rFonts w:ascii="Times New Roman" w:hAnsi="Times New Roman" w:eastAsia="宋体" w:cs="Times New Roman"/>
                <w:sz w:val="24"/>
                <w:lang w:val="zh-CN"/>
              </w:rPr>
            </w:pPr>
            <w:r>
              <w:rPr>
                <w:rFonts w:ascii="Times New Roman" w:hAnsi="Times New Roman" w:eastAsia="宋体" w:cs="Times New Roman"/>
                <w:sz w:val="24"/>
              </w:rPr>
              <w:t>项目营运期噪声源主要为</w:t>
            </w:r>
            <w:r>
              <w:rPr>
                <w:rFonts w:hint="eastAsia" w:ascii="Times New Roman" w:hAnsi="Times New Roman" w:eastAsia="宋体" w:cs="Times New Roman"/>
                <w:sz w:val="24"/>
              </w:rPr>
              <w:t>生产</w:t>
            </w:r>
            <w:r>
              <w:rPr>
                <w:rFonts w:ascii="Times New Roman" w:hAnsi="Times New Roman" w:eastAsia="宋体" w:cs="Times New Roman"/>
                <w:sz w:val="24"/>
              </w:rPr>
              <w:t>设备运行噪声，项目主要噪声源强见表4-</w:t>
            </w:r>
            <w:r>
              <w:rPr>
                <w:rFonts w:hint="eastAsia" w:ascii="Times New Roman" w:hAnsi="Times New Roman" w:eastAsia="宋体" w:cs="Times New Roman"/>
                <w:sz w:val="24"/>
              </w:rPr>
              <w:t>31</w:t>
            </w:r>
            <w:r>
              <w:rPr>
                <w:rFonts w:ascii="Times New Roman" w:hAnsi="Times New Roman" w:eastAsia="宋体" w:cs="Times New Roman"/>
                <w:sz w:val="24"/>
              </w:rPr>
              <w:t>所示。</w:t>
            </w:r>
          </w:p>
          <w:p w14:paraId="3A36B338">
            <w:pPr>
              <w:widowControl/>
              <w:wordWrap w:val="0"/>
              <w:topLinePunct/>
              <w:spacing w:line="360" w:lineRule="auto"/>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4-31  工业企业噪声源强调查清单（室外声源）</w:t>
            </w:r>
          </w:p>
          <w:tbl>
            <w:tblPr>
              <w:tblStyle w:val="28"/>
              <w:tblW w:w="10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752"/>
              <w:gridCol w:w="857"/>
              <w:gridCol w:w="848"/>
              <w:gridCol w:w="635"/>
              <w:gridCol w:w="5"/>
              <w:gridCol w:w="1283"/>
              <w:gridCol w:w="5"/>
              <w:gridCol w:w="1373"/>
              <w:gridCol w:w="5"/>
              <w:gridCol w:w="711"/>
              <w:gridCol w:w="5"/>
              <w:gridCol w:w="17"/>
              <w:gridCol w:w="857"/>
              <w:gridCol w:w="857"/>
              <w:gridCol w:w="857"/>
            </w:tblGrid>
            <w:tr w14:paraId="107E9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1211" w:type="pct"/>
                <w:trHeight w:val="425" w:hRule="atLeast"/>
              </w:trPr>
              <w:tc>
                <w:tcPr>
                  <w:tcW w:w="267" w:type="pct"/>
                  <w:vMerge w:val="restart"/>
                  <w:vAlign w:val="center"/>
                </w:tcPr>
                <w:p w14:paraId="5F8647BB">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序号</w:t>
                  </w:r>
                </w:p>
              </w:tc>
              <w:tc>
                <w:tcPr>
                  <w:tcW w:w="824" w:type="pct"/>
                  <w:vMerge w:val="restart"/>
                  <w:vAlign w:val="center"/>
                </w:tcPr>
                <w:p w14:paraId="3D7AA959">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声源</w:t>
                  </w:r>
                </w:p>
                <w:p w14:paraId="25BFA210">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名称</w:t>
                  </w:r>
                </w:p>
              </w:tc>
              <w:tc>
                <w:tcPr>
                  <w:tcW w:w="1103" w:type="pct"/>
                  <w:gridSpan w:val="4"/>
                  <w:vAlign w:val="center"/>
                </w:tcPr>
                <w:p w14:paraId="43B8F46A">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color w:val="FF0000"/>
                      <w:szCs w:val="21"/>
                      <w:highlight w:val="yellow"/>
                    </w:rPr>
                    <w:t>空间相对位置/m</w:t>
                  </w:r>
                </w:p>
              </w:tc>
              <w:tc>
                <w:tcPr>
                  <w:tcW w:w="606" w:type="pct"/>
                  <w:gridSpan w:val="2"/>
                  <w:vAlign w:val="center"/>
                </w:tcPr>
                <w:p w14:paraId="29854D9E">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声源源强</w:t>
                  </w:r>
                </w:p>
                <w:p w14:paraId="79FF6855">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（任选一种）</w:t>
                  </w:r>
                </w:p>
              </w:tc>
              <w:tc>
                <w:tcPr>
                  <w:tcW w:w="648" w:type="pct"/>
                  <w:gridSpan w:val="2"/>
                  <w:vMerge w:val="restart"/>
                  <w:vAlign w:val="center"/>
                </w:tcPr>
                <w:p w14:paraId="56527F16">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声源控制</w:t>
                  </w:r>
                </w:p>
                <w:p w14:paraId="35E252B9">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措施</w:t>
                  </w:r>
                </w:p>
              </w:tc>
              <w:tc>
                <w:tcPr>
                  <w:tcW w:w="337" w:type="pct"/>
                  <w:gridSpan w:val="2"/>
                  <w:vMerge w:val="restart"/>
                  <w:vAlign w:val="center"/>
                </w:tcPr>
                <w:p w14:paraId="468C53FB">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运行</w:t>
                  </w:r>
                  <w:r>
                    <w:rPr>
                      <w:rFonts w:hint="eastAsia" w:ascii="Times New Roman" w:hAnsi="Times New Roman" w:eastAsia="宋体" w:cs="Times New Roman"/>
                      <w:b/>
                      <w:bCs/>
                      <w:szCs w:val="21"/>
                    </w:rPr>
                    <w:t>小时数</w:t>
                  </w:r>
                </w:p>
              </w:tc>
            </w:tr>
            <w:tr w14:paraId="54688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5"/>
                <w:wAfter w:w="1211" w:type="pct"/>
                <w:trHeight w:val="425" w:hRule="atLeast"/>
              </w:trPr>
              <w:tc>
                <w:tcPr>
                  <w:tcW w:w="267" w:type="pct"/>
                  <w:vMerge w:val="continue"/>
                  <w:shd w:val="clear" w:color="auto" w:fill="FFFFFF"/>
                  <w:vAlign w:val="center"/>
                </w:tcPr>
                <w:p w14:paraId="63676A86">
                  <w:pPr>
                    <w:keepLines/>
                    <w:wordWrap w:val="0"/>
                    <w:topLinePunct/>
                    <w:adjustRightInd w:val="0"/>
                    <w:spacing w:line="240" w:lineRule="exact"/>
                    <w:jc w:val="center"/>
                    <w:textAlignment w:val="baseline"/>
                    <w:rPr>
                      <w:rFonts w:ascii="Times New Roman" w:hAnsi="Times New Roman" w:eastAsia="宋体" w:cs="Times New Roman"/>
                      <w:color w:val="0000FF"/>
                      <w:szCs w:val="21"/>
                    </w:rPr>
                  </w:pPr>
                </w:p>
              </w:tc>
              <w:tc>
                <w:tcPr>
                  <w:tcW w:w="824" w:type="pct"/>
                  <w:vMerge w:val="continue"/>
                  <w:shd w:val="clear" w:color="auto" w:fill="FFFFFF"/>
                  <w:vAlign w:val="center"/>
                </w:tcPr>
                <w:p w14:paraId="116E844E">
                  <w:pPr>
                    <w:keepLines/>
                    <w:wordWrap w:val="0"/>
                    <w:topLinePunct/>
                    <w:adjustRightInd w:val="0"/>
                    <w:spacing w:line="240" w:lineRule="exact"/>
                    <w:jc w:val="center"/>
                    <w:textAlignment w:val="baseline"/>
                    <w:rPr>
                      <w:rFonts w:ascii="Times New Roman" w:hAnsi="Times New Roman" w:eastAsia="宋体" w:cs="Times New Roman"/>
                      <w:color w:val="0000FF"/>
                      <w:szCs w:val="21"/>
                    </w:rPr>
                  </w:pPr>
                </w:p>
              </w:tc>
              <w:tc>
                <w:tcPr>
                  <w:tcW w:w="403" w:type="pct"/>
                  <w:shd w:val="clear" w:color="auto" w:fill="FFFFFF"/>
                  <w:vAlign w:val="center"/>
                </w:tcPr>
                <w:p w14:paraId="57D64DD8">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X</w:t>
                  </w:r>
                </w:p>
              </w:tc>
              <w:tc>
                <w:tcPr>
                  <w:tcW w:w="399" w:type="pct"/>
                  <w:shd w:val="clear" w:color="auto" w:fill="FFFFFF"/>
                  <w:vAlign w:val="center"/>
                </w:tcPr>
                <w:p w14:paraId="5375496F">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Y</w:t>
                  </w:r>
                </w:p>
              </w:tc>
              <w:tc>
                <w:tcPr>
                  <w:tcW w:w="299" w:type="pct"/>
                  <w:shd w:val="clear" w:color="auto" w:fill="FFFFFF"/>
                  <w:vAlign w:val="center"/>
                </w:tcPr>
                <w:p w14:paraId="558F0BBA">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Z</w:t>
                  </w:r>
                </w:p>
              </w:tc>
              <w:tc>
                <w:tcPr>
                  <w:tcW w:w="606" w:type="pct"/>
                  <w:gridSpan w:val="2"/>
                  <w:shd w:val="clear" w:color="auto" w:fill="FFFFFF"/>
                  <w:vAlign w:val="center"/>
                </w:tcPr>
                <w:p w14:paraId="6BC1C7B1">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声功率级/dB(A)</w:t>
                  </w:r>
                </w:p>
              </w:tc>
              <w:tc>
                <w:tcPr>
                  <w:tcW w:w="648" w:type="pct"/>
                  <w:gridSpan w:val="2"/>
                  <w:vMerge w:val="continue"/>
                  <w:shd w:val="clear" w:color="auto" w:fill="FFFFFF"/>
                  <w:vAlign w:val="center"/>
                </w:tcPr>
                <w:p w14:paraId="0416CB70">
                  <w:pPr>
                    <w:keepLines/>
                    <w:wordWrap w:val="0"/>
                    <w:topLinePunct/>
                    <w:adjustRightInd w:val="0"/>
                    <w:spacing w:line="240" w:lineRule="exact"/>
                    <w:jc w:val="center"/>
                    <w:textAlignment w:val="baseline"/>
                    <w:rPr>
                      <w:rFonts w:ascii="Times New Roman" w:hAnsi="Times New Roman" w:eastAsia="宋体" w:cs="Times New Roman"/>
                      <w:color w:val="0000FF"/>
                      <w:szCs w:val="21"/>
                    </w:rPr>
                  </w:pPr>
                </w:p>
              </w:tc>
              <w:tc>
                <w:tcPr>
                  <w:tcW w:w="337" w:type="pct"/>
                  <w:gridSpan w:val="2"/>
                  <w:vMerge w:val="continue"/>
                  <w:shd w:val="clear" w:color="auto" w:fill="FFFFFF"/>
                  <w:vAlign w:val="center"/>
                </w:tcPr>
                <w:p w14:paraId="79873E28">
                  <w:pPr>
                    <w:keepLines/>
                    <w:wordWrap w:val="0"/>
                    <w:topLinePunct/>
                    <w:adjustRightInd w:val="0"/>
                    <w:spacing w:line="240" w:lineRule="exact"/>
                    <w:jc w:val="center"/>
                    <w:textAlignment w:val="baseline"/>
                    <w:rPr>
                      <w:rFonts w:ascii="Times New Roman" w:hAnsi="Times New Roman" w:eastAsia="宋体" w:cs="Times New Roman"/>
                      <w:color w:val="0000FF"/>
                      <w:szCs w:val="21"/>
                    </w:rPr>
                  </w:pPr>
                </w:p>
              </w:tc>
            </w:tr>
            <w:tr w14:paraId="4F42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gridAfter w:val="5"/>
                <w:wAfter w:w="1211" w:type="pct"/>
                <w:trHeight w:val="425" w:hRule="atLeast"/>
              </w:trPr>
              <w:tc>
                <w:tcPr>
                  <w:tcW w:w="267" w:type="pct"/>
                  <w:shd w:val="clear" w:color="auto" w:fill="FFFFFF"/>
                  <w:vAlign w:val="center"/>
                </w:tcPr>
                <w:p w14:paraId="49068EA0">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w:t>
                  </w:r>
                </w:p>
              </w:tc>
              <w:tc>
                <w:tcPr>
                  <w:tcW w:w="824" w:type="pct"/>
                  <w:shd w:val="clear" w:color="auto" w:fill="FFFFFF"/>
                  <w:vAlign w:val="center"/>
                </w:tcPr>
                <w:p w14:paraId="1B9A7B46">
                  <w:pPr>
                    <w:keepLines/>
                    <w:wordWrap w:val="0"/>
                    <w:topLinePunct/>
                    <w:adjustRightInd w:val="0"/>
                    <w:spacing w:line="240" w:lineRule="exact"/>
                    <w:jc w:val="center"/>
                    <w:textAlignment w:val="baseline"/>
                    <w:rPr>
                      <w:rFonts w:ascii="Times New Roman" w:hAnsi="Times New Roman" w:eastAsia="宋体" w:cs="宋体-PUA"/>
                      <w:bCs/>
                      <w:szCs w:val="21"/>
                      <w:shd w:val="clear" w:color="auto" w:fill="FFFFFF"/>
                    </w:rPr>
                  </w:pPr>
                  <w:r>
                    <w:rPr>
                      <w:rFonts w:hint="eastAsia" w:ascii="Times New Roman" w:hAnsi="Times New Roman" w:eastAsia="宋体" w:cs="宋体-PUA"/>
                      <w:bCs/>
                      <w:szCs w:val="21"/>
                      <w:shd w:val="clear" w:color="auto" w:fill="FFFFFF"/>
                    </w:rPr>
                    <w:t>3+3仓式冷料仓</w:t>
                  </w:r>
                </w:p>
                <w:p w14:paraId="1077FC88">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宋体-PUA"/>
                      <w:bCs/>
                      <w:szCs w:val="21"/>
                      <w:shd w:val="clear" w:color="auto" w:fill="FFFFFF"/>
                    </w:rPr>
                    <w:t>（落料）</w:t>
                  </w:r>
                </w:p>
              </w:tc>
              <w:tc>
                <w:tcPr>
                  <w:tcW w:w="403" w:type="pct"/>
                  <w:shd w:val="clear" w:color="auto" w:fill="FFFFFF"/>
                  <w:vAlign w:val="center"/>
                </w:tcPr>
                <w:p w14:paraId="661FA78C">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43.272</w:t>
                  </w:r>
                </w:p>
              </w:tc>
              <w:tc>
                <w:tcPr>
                  <w:tcW w:w="399" w:type="pct"/>
                  <w:shd w:val="clear" w:color="auto" w:fill="FFFFFF"/>
                  <w:vAlign w:val="center"/>
                </w:tcPr>
                <w:p w14:paraId="676BA443">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85.654</w:t>
                  </w:r>
                </w:p>
              </w:tc>
              <w:tc>
                <w:tcPr>
                  <w:tcW w:w="299" w:type="pct"/>
                  <w:shd w:val="clear" w:color="auto" w:fill="FFFFFF"/>
                  <w:vAlign w:val="center"/>
                </w:tcPr>
                <w:p w14:paraId="27898897">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3.1</w:t>
                  </w:r>
                </w:p>
              </w:tc>
              <w:tc>
                <w:tcPr>
                  <w:tcW w:w="606" w:type="pct"/>
                  <w:gridSpan w:val="2"/>
                  <w:shd w:val="clear" w:color="auto" w:fill="FFFFFF"/>
                  <w:vAlign w:val="center"/>
                </w:tcPr>
                <w:p w14:paraId="6249D20F">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85</w:t>
                  </w:r>
                </w:p>
              </w:tc>
              <w:tc>
                <w:tcPr>
                  <w:tcW w:w="648" w:type="pct"/>
                  <w:gridSpan w:val="2"/>
                  <w:shd w:val="clear" w:color="auto" w:fill="FFFFFF"/>
                  <w:vAlign w:val="center"/>
                </w:tcPr>
                <w:p w14:paraId="450C750C">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三面围挡隔声、基础减振</w:t>
                  </w:r>
                </w:p>
              </w:tc>
              <w:tc>
                <w:tcPr>
                  <w:tcW w:w="337" w:type="pct"/>
                  <w:gridSpan w:val="2"/>
                  <w:shd w:val="clear" w:color="auto" w:fill="FFFFFF"/>
                  <w:vAlign w:val="center"/>
                </w:tcPr>
                <w:p w14:paraId="09F320E8">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900</w:t>
                  </w:r>
                </w:p>
              </w:tc>
            </w:tr>
            <w:tr w14:paraId="214E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gridAfter w:val="5"/>
                <w:wAfter w:w="1211" w:type="pct"/>
                <w:trHeight w:val="425" w:hRule="atLeast"/>
              </w:trPr>
              <w:tc>
                <w:tcPr>
                  <w:tcW w:w="267" w:type="pct"/>
                  <w:shd w:val="clear" w:color="auto" w:fill="FFFFFF"/>
                  <w:vAlign w:val="center"/>
                </w:tcPr>
                <w:p w14:paraId="38A13C1A">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w:t>
                  </w:r>
                </w:p>
              </w:tc>
              <w:tc>
                <w:tcPr>
                  <w:tcW w:w="824" w:type="pct"/>
                  <w:shd w:val="clear" w:color="auto" w:fill="FFFFFF"/>
                  <w:vAlign w:val="center"/>
                </w:tcPr>
                <w:p w14:paraId="1C8B8691">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传输皮带</w:t>
                  </w:r>
                </w:p>
              </w:tc>
              <w:tc>
                <w:tcPr>
                  <w:tcW w:w="403" w:type="pct"/>
                  <w:shd w:val="clear" w:color="auto" w:fill="FFFFFF"/>
                  <w:vAlign w:val="center"/>
                </w:tcPr>
                <w:p w14:paraId="2FB62957">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60.41</w:t>
                  </w:r>
                </w:p>
              </w:tc>
              <w:tc>
                <w:tcPr>
                  <w:tcW w:w="399" w:type="pct"/>
                  <w:shd w:val="clear" w:color="auto" w:fill="FFFFFF"/>
                  <w:vAlign w:val="center"/>
                </w:tcPr>
                <w:p w14:paraId="7A5CBF13">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85.654</w:t>
                  </w:r>
                </w:p>
              </w:tc>
              <w:tc>
                <w:tcPr>
                  <w:tcW w:w="299" w:type="pct"/>
                  <w:shd w:val="clear" w:color="auto" w:fill="FFFFFF"/>
                  <w:vAlign w:val="center"/>
                </w:tcPr>
                <w:p w14:paraId="531B3F40">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2.5</w:t>
                  </w:r>
                </w:p>
              </w:tc>
              <w:tc>
                <w:tcPr>
                  <w:tcW w:w="606" w:type="pct"/>
                  <w:gridSpan w:val="2"/>
                  <w:shd w:val="clear" w:color="auto" w:fill="FFFFFF"/>
                  <w:vAlign w:val="center"/>
                </w:tcPr>
                <w:p w14:paraId="5756641F">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80</w:t>
                  </w:r>
                </w:p>
              </w:tc>
              <w:tc>
                <w:tcPr>
                  <w:tcW w:w="648" w:type="pct"/>
                  <w:gridSpan w:val="2"/>
                  <w:shd w:val="clear" w:color="auto" w:fill="FFFFFF"/>
                  <w:vAlign w:val="center"/>
                </w:tcPr>
                <w:p w14:paraId="284BEC5A">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彩钢封闭廊道隔声</w:t>
                  </w:r>
                </w:p>
              </w:tc>
              <w:tc>
                <w:tcPr>
                  <w:tcW w:w="337" w:type="pct"/>
                  <w:gridSpan w:val="2"/>
                  <w:shd w:val="clear" w:color="auto" w:fill="FFFFFF"/>
                  <w:vAlign w:val="center"/>
                </w:tcPr>
                <w:p w14:paraId="03B7128A">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1440</w:t>
                  </w:r>
                </w:p>
              </w:tc>
            </w:tr>
            <w:tr w14:paraId="19A9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gridAfter w:val="5"/>
                <w:wAfter w:w="1211" w:type="pct"/>
                <w:trHeight w:val="425" w:hRule="atLeast"/>
              </w:trPr>
              <w:tc>
                <w:tcPr>
                  <w:tcW w:w="267" w:type="pct"/>
                  <w:shd w:val="clear" w:color="auto" w:fill="FFFFFF"/>
                  <w:vAlign w:val="center"/>
                </w:tcPr>
                <w:p w14:paraId="6A783F70">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w:t>
                  </w:r>
                </w:p>
              </w:tc>
              <w:tc>
                <w:tcPr>
                  <w:tcW w:w="824" w:type="pct"/>
                  <w:shd w:val="clear" w:color="auto" w:fill="FFFFFF"/>
                  <w:vAlign w:val="center"/>
                </w:tcPr>
                <w:p w14:paraId="2226A047">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铲车/装载机</w:t>
                  </w:r>
                </w:p>
              </w:tc>
              <w:tc>
                <w:tcPr>
                  <w:tcW w:w="403" w:type="pct"/>
                  <w:shd w:val="clear" w:color="auto" w:fill="FFFFFF"/>
                  <w:vAlign w:val="center"/>
                </w:tcPr>
                <w:p w14:paraId="3EDF8F8C">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43.272</w:t>
                  </w:r>
                </w:p>
              </w:tc>
              <w:tc>
                <w:tcPr>
                  <w:tcW w:w="399" w:type="pct"/>
                  <w:shd w:val="clear" w:color="auto" w:fill="FFFFFF"/>
                  <w:vAlign w:val="center"/>
                </w:tcPr>
                <w:p w14:paraId="2192B9D7">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77.608</w:t>
                  </w:r>
                </w:p>
              </w:tc>
              <w:tc>
                <w:tcPr>
                  <w:tcW w:w="299" w:type="pct"/>
                  <w:shd w:val="clear" w:color="auto" w:fill="FFFFFF"/>
                  <w:vAlign w:val="center"/>
                </w:tcPr>
                <w:p w14:paraId="14F027A1">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3.1</w:t>
                  </w:r>
                </w:p>
              </w:tc>
              <w:tc>
                <w:tcPr>
                  <w:tcW w:w="606" w:type="pct"/>
                  <w:gridSpan w:val="2"/>
                  <w:shd w:val="clear" w:color="auto" w:fill="FFFFFF"/>
                  <w:vAlign w:val="center"/>
                </w:tcPr>
                <w:p w14:paraId="5C2CF9A5">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85</w:t>
                  </w:r>
                </w:p>
              </w:tc>
              <w:tc>
                <w:tcPr>
                  <w:tcW w:w="648" w:type="pct"/>
                  <w:gridSpan w:val="2"/>
                  <w:shd w:val="clear" w:color="auto" w:fill="FFFFFF"/>
                  <w:vAlign w:val="center"/>
                </w:tcPr>
                <w:p w14:paraId="44720496">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限速、禁鸣，加强维护保养</w:t>
                  </w:r>
                </w:p>
              </w:tc>
              <w:tc>
                <w:tcPr>
                  <w:tcW w:w="337" w:type="pct"/>
                  <w:gridSpan w:val="2"/>
                  <w:shd w:val="clear" w:color="auto" w:fill="FFFFFF"/>
                  <w:vAlign w:val="center"/>
                </w:tcPr>
                <w:p w14:paraId="6526B992">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900</w:t>
                  </w:r>
                </w:p>
              </w:tc>
            </w:tr>
            <w:tr w14:paraId="34A8A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gridAfter w:val="5"/>
                <w:wAfter w:w="1211" w:type="pct"/>
                <w:trHeight w:val="425" w:hRule="atLeast"/>
              </w:trPr>
              <w:tc>
                <w:tcPr>
                  <w:tcW w:w="267" w:type="pct"/>
                  <w:shd w:val="clear" w:color="auto" w:fill="FFFFFF"/>
                  <w:vAlign w:val="center"/>
                </w:tcPr>
                <w:p w14:paraId="276A1C27">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w:t>
                  </w:r>
                </w:p>
              </w:tc>
              <w:tc>
                <w:tcPr>
                  <w:tcW w:w="824" w:type="pct"/>
                  <w:shd w:val="clear" w:color="auto" w:fill="FFFFFF"/>
                  <w:vAlign w:val="center"/>
                </w:tcPr>
                <w:p w14:paraId="2CC6D551">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干燥滚筒+</w:t>
                  </w:r>
                  <w:r>
                    <w:rPr>
                      <w:rFonts w:hint="eastAsia" w:ascii="Times New Roman" w:hAnsi="Times New Roman" w:eastAsia="宋体" w:cs="Times New Roman"/>
                      <w:color w:val="FF0000"/>
                      <w:szCs w:val="21"/>
                    </w:rPr>
                    <w:t>燃烧器（</w:t>
                  </w:r>
                  <w:r>
                    <w:rPr>
                      <w:rFonts w:hint="eastAsia" w:ascii="Times New Roman" w:hAnsi="Times New Roman" w:eastAsia="宋体" w:cs="Times New Roman"/>
                      <w:szCs w:val="21"/>
                    </w:rPr>
                    <w:t>轴流风机</w:t>
                  </w:r>
                  <w:r>
                    <w:rPr>
                      <w:rFonts w:hint="eastAsia" w:ascii="Times New Roman" w:hAnsi="Times New Roman" w:eastAsia="宋体" w:cs="Times New Roman"/>
                      <w:color w:val="FF0000"/>
                      <w:szCs w:val="21"/>
                    </w:rPr>
                    <w:t>）</w:t>
                  </w:r>
                </w:p>
              </w:tc>
              <w:tc>
                <w:tcPr>
                  <w:tcW w:w="403" w:type="pct"/>
                  <w:shd w:val="clear" w:color="auto" w:fill="FFFFFF"/>
                  <w:vAlign w:val="center"/>
                </w:tcPr>
                <w:p w14:paraId="62F25366">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63.933</w:t>
                  </w:r>
                </w:p>
              </w:tc>
              <w:tc>
                <w:tcPr>
                  <w:tcW w:w="399" w:type="pct"/>
                  <w:shd w:val="clear" w:color="auto" w:fill="FFFFFF"/>
                  <w:vAlign w:val="center"/>
                </w:tcPr>
                <w:p w14:paraId="05765B22">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95.585</w:t>
                  </w:r>
                </w:p>
              </w:tc>
              <w:tc>
                <w:tcPr>
                  <w:tcW w:w="299" w:type="pct"/>
                  <w:shd w:val="clear" w:color="auto" w:fill="FFFFFF"/>
                  <w:vAlign w:val="center"/>
                </w:tcPr>
                <w:p w14:paraId="2892CA1F">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2.5</w:t>
                  </w:r>
                </w:p>
              </w:tc>
              <w:tc>
                <w:tcPr>
                  <w:tcW w:w="606" w:type="pct"/>
                  <w:gridSpan w:val="2"/>
                  <w:shd w:val="clear" w:color="auto" w:fill="FFFFFF"/>
                  <w:vAlign w:val="center"/>
                </w:tcPr>
                <w:p w14:paraId="2260C587">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85</w:t>
                  </w:r>
                </w:p>
              </w:tc>
              <w:tc>
                <w:tcPr>
                  <w:tcW w:w="648" w:type="pct"/>
                  <w:gridSpan w:val="2"/>
                  <w:vMerge w:val="restart"/>
                  <w:shd w:val="clear" w:color="auto" w:fill="FFFFFF"/>
                  <w:vAlign w:val="center"/>
                </w:tcPr>
                <w:p w14:paraId="7586A3B5">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基础减振、隔声</w:t>
                  </w:r>
                </w:p>
              </w:tc>
              <w:tc>
                <w:tcPr>
                  <w:tcW w:w="337" w:type="pct"/>
                  <w:gridSpan w:val="2"/>
                  <w:shd w:val="clear" w:color="auto" w:fill="FFFFFF"/>
                  <w:vAlign w:val="center"/>
                </w:tcPr>
                <w:p w14:paraId="49434486">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1440</w:t>
                  </w:r>
                </w:p>
              </w:tc>
            </w:tr>
            <w:tr w14:paraId="1869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gridAfter w:val="5"/>
                <w:wAfter w:w="1211" w:type="pct"/>
                <w:trHeight w:val="425" w:hRule="atLeast"/>
              </w:trPr>
              <w:tc>
                <w:tcPr>
                  <w:tcW w:w="267" w:type="pct"/>
                  <w:shd w:val="clear" w:color="auto" w:fill="FFFFFF"/>
                  <w:vAlign w:val="center"/>
                </w:tcPr>
                <w:p w14:paraId="450AD301">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w:t>
                  </w:r>
                </w:p>
              </w:tc>
              <w:tc>
                <w:tcPr>
                  <w:tcW w:w="824" w:type="pct"/>
                  <w:shd w:val="clear" w:color="auto" w:fill="FFFFFF"/>
                  <w:vAlign w:val="center"/>
                </w:tcPr>
                <w:p w14:paraId="4B4DAE65">
                  <w:pPr>
                    <w:keepLines/>
                    <w:wordWrap w:val="0"/>
                    <w:topLinePunct/>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回收粉提升螺旋</w:t>
                  </w:r>
                </w:p>
              </w:tc>
              <w:tc>
                <w:tcPr>
                  <w:tcW w:w="403" w:type="pct"/>
                  <w:shd w:val="clear" w:color="auto" w:fill="FFFFFF"/>
                  <w:vAlign w:val="center"/>
                </w:tcPr>
                <w:p w14:paraId="7E283B25">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63.933</w:t>
                  </w:r>
                </w:p>
              </w:tc>
              <w:tc>
                <w:tcPr>
                  <w:tcW w:w="399" w:type="pct"/>
                  <w:shd w:val="clear" w:color="auto" w:fill="FFFFFF"/>
                  <w:vAlign w:val="center"/>
                </w:tcPr>
                <w:p w14:paraId="6871EE34">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95.585</w:t>
                  </w:r>
                </w:p>
              </w:tc>
              <w:tc>
                <w:tcPr>
                  <w:tcW w:w="299" w:type="pct"/>
                  <w:shd w:val="clear" w:color="auto" w:fill="FFFFFF"/>
                  <w:vAlign w:val="center"/>
                </w:tcPr>
                <w:p w14:paraId="75CC3327">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5.5</w:t>
                  </w:r>
                </w:p>
              </w:tc>
              <w:tc>
                <w:tcPr>
                  <w:tcW w:w="606" w:type="pct"/>
                  <w:gridSpan w:val="2"/>
                  <w:shd w:val="clear" w:color="auto" w:fill="FFFFFF"/>
                  <w:vAlign w:val="center"/>
                </w:tcPr>
                <w:p w14:paraId="35D35F72">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80</w:t>
                  </w:r>
                </w:p>
              </w:tc>
              <w:tc>
                <w:tcPr>
                  <w:tcW w:w="648" w:type="pct"/>
                  <w:gridSpan w:val="2"/>
                  <w:vMerge w:val="continue"/>
                  <w:shd w:val="clear" w:color="auto" w:fill="FFFFFF"/>
                  <w:vAlign w:val="center"/>
                </w:tcPr>
                <w:p w14:paraId="0901710F">
                  <w:pPr>
                    <w:keepLines/>
                    <w:wordWrap w:val="0"/>
                    <w:topLinePunct/>
                    <w:adjustRightInd w:val="0"/>
                    <w:spacing w:line="240" w:lineRule="exact"/>
                    <w:jc w:val="center"/>
                    <w:textAlignment w:val="baseline"/>
                    <w:rPr>
                      <w:rFonts w:ascii="Times New Roman" w:hAnsi="Times New Roman" w:eastAsia="宋体" w:cs="Times New Roman"/>
                      <w:szCs w:val="21"/>
                    </w:rPr>
                  </w:pPr>
                </w:p>
              </w:tc>
              <w:tc>
                <w:tcPr>
                  <w:tcW w:w="337" w:type="pct"/>
                  <w:gridSpan w:val="2"/>
                  <w:shd w:val="clear" w:color="auto" w:fill="FFFFFF"/>
                  <w:vAlign w:val="center"/>
                </w:tcPr>
                <w:p w14:paraId="175AFB5B">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900</w:t>
                  </w:r>
                </w:p>
              </w:tc>
            </w:tr>
            <w:tr w14:paraId="5A60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gridAfter w:val="5"/>
                <w:wAfter w:w="1211" w:type="pct"/>
                <w:trHeight w:val="425" w:hRule="atLeast"/>
              </w:trPr>
              <w:tc>
                <w:tcPr>
                  <w:tcW w:w="267" w:type="pct"/>
                  <w:shd w:val="clear" w:color="auto" w:fill="FFFFFF"/>
                  <w:vAlign w:val="center"/>
                </w:tcPr>
                <w:p w14:paraId="27453BA1">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w:t>
                  </w:r>
                </w:p>
              </w:tc>
              <w:tc>
                <w:tcPr>
                  <w:tcW w:w="824" w:type="pct"/>
                  <w:shd w:val="clear" w:color="auto" w:fill="FFFFFF"/>
                  <w:vAlign w:val="center"/>
                </w:tcPr>
                <w:p w14:paraId="260D46DD">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物料提升机</w:t>
                  </w:r>
                </w:p>
              </w:tc>
              <w:tc>
                <w:tcPr>
                  <w:tcW w:w="403" w:type="pct"/>
                  <w:shd w:val="clear" w:color="auto" w:fill="FFFFFF"/>
                  <w:vAlign w:val="center"/>
                </w:tcPr>
                <w:p w14:paraId="666448AD">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63.933</w:t>
                  </w:r>
                </w:p>
              </w:tc>
              <w:tc>
                <w:tcPr>
                  <w:tcW w:w="399" w:type="pct"/>
                  <w:shd w:val="clear" w:color="auto" w:fill="FFFFFF"/>
                  <w:vAlign w:val="center"/>
                </w:tcPr>
                <w:p w14:paraId="3044FE20">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95.585</w:t>
                  </w:r>
                </w:p>
              </w:tc>
              <w:tc>
                <w:tcPr>
                  <w:tcW w:w="299" w:type="pct"/>
                  <w:shd w:val="clear" w:color="auto" w:fill="FFFFFF"/>
                  <w:vAlign w:val="center"/>
                </w:tcPr>
                <w:p w14:paraId="61D5CCF7">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6.5</w:t>
                  </w:r>
                </w:p>
              </w:tc>
              <w:tc>
                <w:tcPr>
                  <w:tcW w:w="606" w:type="pct"/>
                  <w:gridSpan w:val="2"/>
                  <w:shd w:val="clear" w:color="auto" w:fill="FFFFFF"/>
                  <w:vAlign w:val="center"/>
                </w:tcPr>
                <w:p w14:paraId="62251A89">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80</w:t>
                  </w:r>
                </w:p>
              </w:tc>
              <w:tc>
                <w:tcPr>
                  <w:tcW w:w="648" w:type="pct"/>
                  <w:gridSpan w:val="2"/>
                  <w:vMerge w:val="restart"/>
                  <w:shd w:val="clear" w:color="auto" w:fill="FFFFFF"/>
                  <w:vAlign w:val="center"/>
                </w:tcPr>
                <w:p w14:paraId="4477EECF">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局部隔音/防尘外壳、基础减振</w:t>
                  </w:r>
                </w:p>
              </w:tc>
              <w:tc>
                <w:tcPr>
                  <w:tcW w:w="337" w:type="pct"/>
                  <w:gridSpan w:val="2"/>
                  <w:shd w:val="clear" w:color="auto" w:fill="FFFFFF"/>
                  <w:vAlign w:val="center"/>
                </w:tcPr>
                <w:p w14:paraId="48114A66">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1440</w:t>
                  </w:r>
                </w:p>
              </w:tc>
            </w:tr>
            <w:tr w14:paraId="48389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gridAfter w:val="5"/>
                <w:wAfter w:w="1211" w:type="pct"/>
                <w:trHeight w:val="425" w:hRule="atLeast"/>
              </w:trPr>
              <w:tc>
                <w:tcPr>
                  <w:tcW w:w="267" w:type="pct"/>
                  <w:shd w:val="clear" w:color="auto" w:fill="FFFFFF"/>
                  <w:vAlign w:val="center"/>
                </w:tcPr>
                <w:p w14:paraId="309FF741">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7</w:t>
                  </w:r>
                </w:p>
              </w:tc>
              <w:tc>
                <w:tcPr>
                  <w:tcW w:w="824" w:type="pct"/>
                  <w:shd w:val="clear" w:color="auto" w:fill="FFFFFF"/>
                  <w:vAlign w:val="center"/>
                </w:tcPr>
                <w:p w14:paraId="03DD3802">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振动筛（振动电机）</w:t>
                  </w:r>
                </w:p>
              </w:tc>
              <w:tc>
                <w:tcPr>
                  <w:tcW w:w="403" w:type="pct"/>
                  <w:shd w:val="clear" w:color="auto" w:fill="FFFFFF"/>
                  <w:vAlign w:val="center"/>
                </w:tcPr>
                <w:p w14:paraId="58BA4B77">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63.933</w:t>
                  </w:r>
                </w:p>
              </w:tc>
              <w:tc>
                <w:tcPr>
                  <w:tcW w:w="399" w:type="pct"/>
                  <w:shd w:val="clear" w:color="auto" w:fill="FFFFFF"/>
                  <w:vAlign w:val="center"/>
                </w:tcPr>
                <w:p w14:paraId="7DEDEA8B">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95.585</w:t>
                  </w:r>
                </w:p>
              </w:tc>
              <w:tc>
                <w:tcPr>
                  <w:tcW w:w="299" w:type="pct"/>
                  <w:shd w:val="clear" w:color="auto" w:fill="FFFFFF"/>
                  <w:vAlign w:val="center"/>
                </w:tcPr>
                <w:p w14:paraId="2B4BE04A">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7</w:t>
                  </w:r>
                </w:p>
              </w:tc>
              <w:tc>
                <w:tcPr>
                  <w:tcW w:w="606" w:type="pct"/>
                  <w:gridSpan w:val="2"/>
                  <w:shd w:val="clear" w:color="auto" w:fill="FFFFFF"/>
                  <w:vAlign w:val="center"/>
                </w:tcPr>
                <w:p w14:paraId="18E85239">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85</w:t>
                  </w:r>
                </w:p>
              </w:tc>
              <w:tc>
                <w:tcPr>
                  <w:tcW w:w="648" w:type="pct"/>
                  <w:gridSpan w:val="2"/>
                  <w:vMerge w:val="continue"/>
                  <w:shd w:val="clear" w:color="auto" w:fill="FFFFFF"/>
                  <w:vAlign w:val="center"/>
                </w:tcPr>
                <w:p w14:paraId="23A7184B">
                  <w:pPr>
                    <w:keepLines/>
                    <w:wordWrap w:val="0"/>
                    <w:topLinePunct/>
                    <w:adjustRightInd w:val="0"/>
                    <w:spacing w:line="240" w:lineRule="exact"/>
                    <w:jc w:val="center"/>
                    <w:textAlignment w:val="baseline"/>
                    <w:rPr>
                      <w:rFonts w:ascii="Times New Roman" w:hAnsi="Times New Roman" w:eastAsia="宋体" w:cs="Times New Roman"/>
                      <w:szCs w:val="21"/>
                    </w:rPr>
                  </w:pPr>
                </w:p>
              </w:tc>
              <w:tc>
                <w:tcPr>
                  <w:tcW w:w="337" w:type="pct"/>
                  <w:gridSpan w:val="2"/>
                  <w:shd w:val="clear" w:color="auto" w:fill="FFFFFF"/>
                  <w:vAlign w:val="center"/>
                </w:tcPr>
                <w:p w14:paraId="5C5BC8F1">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1440</w:t>
                  </w:r>
                </w:p>
              </w:tc>
            </w:tr>
            <w:tr w14:paraId="760D5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gridAfter w:val="5"/>
                <w:wAfter w:w="1211" w:type="pct"/>
                <w:trHeight w:val="425" w:hRule="atLeast"/>
              </w:trPr>
              <w:tc>
                <w:tcPr>
                  <w:tcW w:w="267" w:type="pct"/>
                  <w:shd w:val="clear" w:color="auto" w:fill="FFFFFF"/>
                  <w:vAlign w:val="center"/>
                </w:tcPr>
                <w:p w14:paraId="3EA9781D">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w:t>
                  </w:r>
                </w:p>
              </w:tc>
              <w:tc>
                <w:tcPr>
                  <w:tcW w:w="824" w:type="pct"/>
                  <w:shd w:val="clear" w:color="auto" w:fill="FFFFFF"/>
                  <w:vAlign w:val="center"/>
                </w:tcPr>
                <w:p w14:paraId="0671C668">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热骨料仓</w:t>
                  </w:r>
                </w:p>
              </w:tc>
              <w:tc>
                <w:tcPr>
                  <w:tcW w:w="403" w:type="pct"/>
                  <w:shd w:val="clear" w:color="auto" w:fill="FFFFFF"/>
                  <w:vAlign w:val="center"/>
                </w:tcPr>
                <w:p w14:paraId="55D53D66">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63.933</w:t>
                  </w:r>
                </w:p>
              </w:tc>
              <w:tc>
                <w:tcPr>
                  <w:tcW w:w="399" w:type="pct"/>
                  <w:shd w:val="clear" w:color="auto" w:fill="FFFFFF"/>
                  <w:vAlign w:val="center"/>
                </w:tcPr>
                <w:p w14:paraId="70A1660B">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95.585</w:t>
                  </w:r>
                </w:p>
              </w:tc>
              <w:tc>
                <w:tcPr>
                  <w:tcW w:w="299" w:type="pct"/>
                  <w:shd w:val="clear" w:color="auto" w:fill="FFFFFF"/>
                  <w:vAlign w:val="center"/>
                </w:tcPr>
                <w:p w14:paraId="7AD494BA">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7</w:t>
                  </w:r>
                </w:p>
              </w:tc>
              <w:tc>
                <w:tcPr>
                  <w:tcW w:w="606" w:type="pct"/>
                  <w:gridSpan w:val="2"/>
                  <w:shd w:val="clear" w:color="auto" w:fill="FFFFFF"/>
                  <w:vAlign w:val="center"/>
                </w:tcPr>
                <w:p w14:paraId="485A9097">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80</w:t>
                  </w:r>
                </w:p>
              </w:tc>
              <w:tc>
                <w:tcPr>
                  <w:tcW w:w="648" w:type="pct"/>
                  <w:gridSpan w:val="2"/>
                  <w:vMerge w:val="continue"/>
                  <w:shd w:val="clear" w:color="auto" w:fill="FFFFFF"/>
                  <w:vAlign w:val="center"/>
                </w:tcPr>
                <w:p w14:paraId="5569D5C8">
                  <w:pPr>
                    <w:keepLines/>
                    <w:wordWrap w:val="0"/>
                    <w:topLinePunct/>
                    <w:adjustRightInd w:val="0"/>
                    <w:spacing w:line="240" w:lineRule="exact"/>
                    <w:jc w:val="center"/>
                    <w:textAlignment w:val="baseline"/>
                    <w:rPr>
                      <w:rFonts w:ascii="Times New Roman" w:hAnsi="Times New Roman" w:eastAsia="宋体" w:cs="Times New Roman"/>
                      <w:szCs w:val="21"/>
                    </w:rPr>
                  </w:pPr>
                </w:p>
              </w:tc>
              <w:tc>
                <w:tcPr>
                  <w:tcW w:w="337" w:type="pct"/>
                  <w:gridSpan w:val="2"/>
                  <w:shd w:val="clear" w:color="auto" w:fill="FFFFFF"/>
                  <w:vAlign w:val="center"/>
                </w:tcPr>
                <w:p w14:paraId="583B4D32">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1440</w:t>
                  </w:r>
                </w:p>
              </w:tc>
            </w:tr>
            <w:tr w14:paraId="2957A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gridAfter w:val="5"/>
                <w:wAfter w:w="1211" w:type="pct"/>
                <w:trHeight w:val="425" w:hRule="atLeast"/>
              </w:trPr>
              <w:tc>
                <w:tcPr>
                  <w:tcW w:w="267" w:type="pct"/>
                  <w:shd w:val="clear" w:color="auto" w:fill="FFFFFF"/>
                  <w:vAlign w:val="center"/>
                </w:tcPr>
                <w:p w14:paraId="786D9F15">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w:t>
                  </w:r>
                </w:p>
              </w:tc>
              <w:tc>
                <w:tcPr>
                  <w:tcW w:w="824" w:type="pct"/>
                  <w:shd w:val="clear" w:color="auto" w:fill="FFFFFF"/>
                  <w:vAlign w:val="center"/>
                </w:tcPr>
                <w:p w14:paraId="207CEAA2">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高效能双轴搅拌主机</w:t>
                  </w:r>
                </w:p>
              </w:tc>
              <w:tc>
                <w:tcPr>
                  <w:tcW w:w="403" w:type="pct"/>
                  <w:shd w:val="clear" w:color="auto" w:fill="FFFFFF"/>
                  <w:vAlign w:val="center"/>
                </w:tcPr>
                <w:p w14:paraId="73420205">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63.933</w:t>
                  </w:r>
                </w:p>
              </w:tc>
              <w:tc>
                <w:tcPr>
                  <w:tcW w:w="399" w:type="pct"/>
                  <w:shd w:val="clear" w:color="auto" w:fill="FFFFFF"/>
                  <w:vAlign w:val="center"/>
                </w:tcPr>
                <w:p w14:paraId="46546A5C">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95.585</w:t>
                  </w:r>
                </w:p>
              </w:tc>
              <w:tc>
                <w:tcPr>
                  <w:tcW w:w="299" w:type="pct"/>
                  <w:shd w:val="clear" w:color="auto" w:fill="FFFFFF"/>
                  <w:vAlign w:val="center"/>
                </w:tcPr>
                <w:p w14:paraId="2F811EAB">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15</w:t>
                  </w:r>
                </w:p>
              </w:tc>
              <w:tc>
                <w:tcPr>
                  <w:tcW w:w="606" w:type="pct"/>
                  <w:gridSpan w:val="2"/>
                  <w:shd w:val="clear" w:color="auto" w:fill="FFFFFF"/>
                  <w:vAlign w:val="center"/>
                </w:tcPr>
                <w:p w14:paraId="07825865">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85</w:t>
                  </w:r>
                </w:p>
              </w:tc>
              <w:tc>
                <w:tcPr>
                  <w:tcW w:w="648" w:type="pct"/>
                  <w:gridSpan w:val="2"/>
                  <w:vMerge w:val="continue"/>
                  <w:shd w:val="clear" w:color="auto" w:fill="FFFFFF"/>
                  <w:vAlign w:val="center"/>
                </w:tcPr>
                <w:p w14:paraId="2E85DF1A">
                  <w:pPr>
                    <w:keepLines/>
                    <w:wordWrap w:val="0"/>
                    <w:topLinePunct/>
                    <w:adjustRightInd w:val="0"/>
                    <w:spacing w:line="240" w:lineRule="exact"/>
                    <w:jc w:val="center"/>
                    <w:textAlignment w:val="baseline"/>
                    <w:rPr>
                      <w:rFonts w:ascii="Times New Roman" w:hAnsi="Times New Roman" w:eastAsia="宋体" w:cs="Times New Roman"/>
                      <w:szCs w:val="21"/>
                    </w:rPr>
                  </w:pPr>
                </w:p>
              </w:tc>
              <w:tc>
                <w:tcPr>
                  <w:tcW w:w="337" w:type="pct"/>
                  <w:gridSpan w:val="2"/>
                  <w:shd w:val="clear" w:color="auto" w:fill="FFFFFF"/>
                  <w:vAlign w:val="center"/>
                </w:tcPr>
                <w:p w14:paraId="60CCBC10">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1440</w:t>
                  </w:r>
                </w:p>
              </w:tc>
            </w:tr>
            <w:tr w14:paraId="485AC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gridAfter w:val="5"/>
                <w:wAfter w:w="1211" w:type="pct"/>
                <w:trHeight w:val="425" w:hRule="atLeast"/>
              </w:trPr>
              <w:tc>
                <w:tcPr>
                  <w:tcW w:w="267" w:type="pct"/>
                  <w:shd w:val="clear" w:color="auto" w:fill="FFFFFF"/>
                  <w:vAlign w:val="center"/>
                </w:tcPr>
                <w:p w14:paraId="22ABA844">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w:t>
                  </w:r>
                </w:p>
              </w:tc>
              <w:tc>
                <w:tcPr>
                  <w:tcW w:w="824" w:type="pct"/>
                  <w:shd w:val="clear" w:color="auto" w:fill="FFFFFF"/>
                  <w:vAlign w:val="center"/>
                </w:tcPr>
                <w:p w14:paraId="2E630E33">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蜗壳除尘+布袋除尘系统</w:t>
                  </w:r>
                </w:p>
              </w:tc>
              <w:tc>
                <w:tcPr>
                  <w:tcW w:w="403" w:type="pct"/>
                  <w:shd w:val="clear" w:color="auto" w:fill="FFFFFF"/>
                  <w:vAlign w:val="center"/>
                </w:tcPr>
                <w:p w14:paraId="292477AC">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63.933</w:t>
                  </w:r>
                </w:p>
              </w:tc>
              <w:tc>
                <w:tcPr>
                  <w:tcW w:w="399" w:type="pct"/>
                  <w:shd w:val="clear" w:color="auto" w:fill="FFFFFF"/>
                  <w:vAlign w:val="center"/>
                </w:tcPr>
                <w:p w14:paraId="770FBD59">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95.585</w:t>
                  </w:r>
                </w:p>
              </w:tc>
              <w:tc>
                <w:tcPr>
                  <w:tcW w:w="299" w:type="pct"/>
                  <w:shd w:val="clear" w:color="auto" w:fill="FFFFFF"/>
                  <w:vAlign w:val="center"/>
                </w:tcPr>
                <w:p w14:paraId="31E0048E">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13</w:t>
                  </w:r>
                </w:p>
              </w:tc>
              <w:tc>
                <w:tcPr>
                  <w:tcW w:w="606" w:type="pct"/>
                  <w:gridSpan w:val="2"/>
                  <w:shd w:val="clear" w:color="auto" w:fill="FFFFFF"/>
                  <w:vAlign w:val="center"/>
                </w:tcPr>
                <w:p w14:paraId="7A1B93EC">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80</w:t>
                  </w:r>
                </w:p>
              </w:tc>
              <w:tc>
                <w:tcPr>
                  <w:tcW w:w="648" w:type="pct"/>
                  <w:gridSpan w:val="2"/>
                  <w:vMerge w:val="continue"/>
                  <w:shd w:val="clear" w:color="auto" w:fill="FFFFFF"/>
                  <w:vAlign w:val="center"/>
                </w:tcPr>
                <w:p w14:paraId="0F06CADC">
                  <w:pPr>
                    <w:keepLines/>
                    <w:wordWrap w:val="0"/>
                    <w:topLinePunct/>
                    <w:adjustRightInd w:val="0"/>
                    <w:spacing w:line="240" w:lineRule="exact"/>
                    <w:jc w:val="center"/>
                    <w:textAlignment w:val="baseline"/>
                    <w:rPr>
                      <w:rFonts w:ascii="Times New Roman" w:hAnsi="Times New Roman" w:eastAsia="宋体" w:cs="Times New Roman"/>
                      <w:szCs w:val="21"/>
                    </w:rPr>
                  </w:pPr>
                </w:p>
              </w:tc>
              <w:tc>
                <w:tcPr>
                  <w:tcW w:w="337" w:type="pct"/>
                  <w:gridSpan w:val="2"/>
                  <w:shd w:val="clear" w:color="auto" w:fill="FFFFFF"/>
                  <w:vAlign w:val="center"/>
                </w:tcPr>
                <w:p w14:paraId="12A112CC">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1440</w:t>
                  </w:r>
                </w:p>
              </w:tc>
            </w:tr>
            <w:tr w14:paraId="52AC5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gridAfter w:val="5"/>
                <w:wAfter w:w="1211" w:type="pct"/>
                <w:trHeight w:val="511" w:hRule="atLeast"/>
              </w:trPr>
              <w:tc>
                <w:tcPr>
                  <w:tcW w:w="267" w:type="pct"/>
                  <w:shd w:val="clear" w:color="auto" w:fill="FFFFFF"/>
                  <w:vAlign w:val="center"/>
                </w:tcPr>
                <w:p w14:paraId="5E142816">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11</w:t>
                  </w:r>
                </w:p>
              </w:tc>
              <w:tc>
                <w:tcPr>
                  <w:tcW w:w="824" w:type="pct"/>
                  <w:shd w:val="clear" w:color="auto" w:fill="FFFFFF"/>
                  <w:vAlign w:val="center"/>
                </w:tcPr>
                <w:p w14:paraId="4652BD31">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除尘系统引风机</w:t>
                  </w:r>
                </w:p>
              </w:tc>
              <w:tc>
                <w:tcPr>
                  <w:tcW w:w="403" w:type="pct"/>
                  <w:shd w:val="clear" w:color="auto" w:fill="FFFFFF"/>
                  <w:vAlign w:val="center"/>
                </w:tcPr>
                <w:p w14:paraId="6F30DB89">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63.933</w:t>
                  </w:r>
                </w:p>
              </w:tc>
              <w:tc>
                <w:tcPr>
                  <w:tcW w:w="399" w:type="pct"/>
                  <w:shd w:val="clear" w:color="auto" w:fill="FFFFFF"/>
                  <w:vAlign w:val="center"/>
                </w:tcPr>
                <w:p w14:paraId="406315B3">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95.585</w:t>
                  </w:r>
                </w:p>
              </w:tc>
              <w:tc>
                <w:tcPr>
                  <w:tcW w:w="299" w:type="pct"/>
                  <w:shd w:val="clear" w:color="auto" w:fill="FFFFFF"/>
                  <w:vAlign w:val="center"/>
                </w:tcPr>
                <w:p w14:paraId="3444427A">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w:t>
                  </w:r>
                </w:p>
              </w:tc>
              <w:tc>
                <w:tcPr>
                  <w:tcW w:w="606" w:type="pct"/>
                  <w:gridSpan w:val="2"/>
                  <w:shd w:val="clear" w:color="auto" w:fill="FFFFFF"/>
                  <w:vAlign w:val="center"/>
                </w:tcPr>
                <w:p w14:paraId="39B722FB">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90</w:t>
                  </w:r>
                </w:p>
              </w:tc>
              <w:tc>
                <w:tcPr>
                  <w:tcW w:w="648" w:type="pct"/>
                  <w:gridSpan w:val="2"/>
                  <w:shd w:val="clear" w:color="auto" w:fill="FFFFFF"/>
                  <w:vAlign w:val="center"/>
                </w:tcPr>
                <w:p w14:paraId="41C5B6CC">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基础减振、消声器消声</w:t>
                  </w:r>
                </w:p>
              </w:tc>
              <w:tc>
                <w:tcPr>
                  <w:tcW w:w="337" w:type="pct"/>
                  <w:gridSpan w:val="2"/>
                  <w:shd w:val="clear" w:color="auto" w:fill="FFFFFF"/>
                  <w:vAlign w:val="center"/>
                </w:tcPr>
                <w:p w14:paraId="5902921D">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1440</w:t>
                  </w:r>
                </w:p>
              </w:tc>
            </w:tr>
            <w:tr w14:paraId="1C5D0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gridAfter w:val="5"/>
                <w:wAfter w:w="1211" w:type="pct"/>
                <w:trHeight w:val="425" w:hRule="atLeast"/>
              </w:trPr>
              <w:tc>
                <w:tcPr>
                  <w:tcW w:w="267" w:type="pct"/>
                  <w:shd w:val="clear" w:color="auto" w:fill="FFFFFF"/>
                  <w:vAlign w:val="center"/>
                </w:tcPr>
                <w:p w14:paraId="37F359C0">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12</w:t>
                  </w:r>
                </w:p>
              </w:tc>
              <w:tc>
                <w:tcPr>
                  <w:tcW w:w="824" w:type="pct"/>
                  <w:shd w:val="clear" w:color="auto" w:fill="FFFFFF"/>
                  <w:vAlign w:val="center"/>
                </w:tcPr>
                <w:p w14:paraId="0DC6EB73">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振动式仓顶收尘机</w:t>
                  </w:r>
                </w:p>
              </w:tc>
              <w:tc>
                <w:tcPr>
                  <w:tcW w:w="403" w:type="pct"/>
                  <w:shd w:val="clear" w:color="auto" w:fill="FFFFFF"/>
                  <w:vAlign w:val="center"/>
                </w:tcPr>
                <w:p w14:paraId="2343664F">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63.933</w:t>
                  </w:r>
                </w:p>
              </w:tc>
              <w:tc>
                <w:tcPr>
                  <w:tcW w:w="399" w:type="pct"/>
                  <w:shd w:val="clear" w:color="auto" w:fill="FFFFFF"/>
                  <w:vAlign w:val="center"/>
                </w:tcPr>
                <w:p w14:paraId="6BB89BC5">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95.585</w:t>
                  </w:r>
                </w:p>
              </w:tc>
              <w:tc>
                <w:tcPr>
                  <w:tcW w:w="299" w:type="pct"/>
                  <w:shd w:val="clear" w:color="auto" w:fill="FFFFFF"/>
                  <w:vAlign w:val="center"/>
                </w:tcPr>
                <w:p w14:paraId="243CC1D0">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18</w:t>
                  </w:r>
                </w:p>
              </w:tc>
              <w:tc>
                <w:tcPr>
                  <w:tcW w:w="606" w:type="pct"/>
                  <w:gridSpan w:val="2"/>
                  <w:shd w:val="clear" w:color="auto" w:fill="FFFFFF"/>
                  <w:vAlign w:val="center"/>
                </w:tcPr>
                <w:p w14:paraId="49E41C1B">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85</w:t>
                  </w:r>
                </w:p>
              </w:tc>
              <w:tc>
                <w:tcPr>
                  <w:tcW w:w="648" w:type="pct"/>
                  <w:gridSpan w:val="2"/>
                  <w:vMerge w:val="restart"/>
                  <w:shd w:val="clear" w:color="auto" w:fill="FFFFFF"/>
                  <w:vAlign w:val="center"/>
                </w:tcPr>
                <w:p w14:paraId="4F1725F4">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基础减振</w:t>
                  </w:r>
                </w:p>
              </w:tc>
              <w:tc>
                <w:tcPr>
                  <w:tcW w:w="337" w:type="pct"/>
                  <w:gridSpan w:val="2"/>
                  <w:shd w:val="clear" w:color="auto" w:fill="FFFFFF"/>
                  <w:vAlign w:val="center"/>
                </w:tcPr>
                <w:p w14:paraId="4617DBEE">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900</w:t>
                  </w:r>
                </w:p>
              </w:tc>
            </w:tr>
            <w:tr w14:paraId="6AFE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gridAfter w:val="5"/>
                <w:wAfter w:w="1211" w:type="pct"/>
                <w:trHeight w:val="425" w:hRule="atLeast"/>
              </w:trPr>
              <w:tc>
                <w:tcPr>
                  <w:tcW w:w="267" w:type="pct"/>
                  <w:shd w:val="clear" w:color="auto" w:fill="FFFFFF"/>
                  <w:vAlign w:val="center"/>
                </w:tcPr>
                <w:p w14:paraId="39052ACB">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13</w:t>
                  </w:r>
                </w:p>
              </w:tc>
              <w:tc>
                <w:tcPr>
                  <w:tcW w:w="824" w:type="pct"/>
                  <w:shd w:val="clear" w:color="auto" w:fill="FFFFFF"/>
                  <w:vAlign w:val="center"/>
                </w:tcPr>
                <w:p w14:paraId="16477E39">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泵组（露天）</w:t>
                  </w:r>
                </w:p>
              </w:tc>
              <w:tc>
                <w:tcPr>
                  <w:tcW w:w="403" w:type="pct"/>
                  <w:shd w:val="clear" w:color="auto" w:fill="FFFFFF"/>
                  <w:vAlign w:val="center"/>
                </w:tcPr>
                <w:p w14:paraId="4FC20754">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38.691</w:t>
                  </w:r>
                </w:p>
              </w:tc>
              <w:tc>
                <w:tcPr>
                  <w:tcW w:w="399" w:type="pct"/>
                  <w:shd w:val="clear" w:color="auto" w:fill="FFFFFF"/>
                  <w:vAlign w:val="center"/>
                </w:tcPr>
                <w:p w14:paraId="61A00B50">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81.935</w:t>
                  </w:r>
                </w:p>
              </w:tc>
              <w:tc>
                <w:tcPr>
                  <w:tcW w:w="299" w:type="pct"/>
                  <w:shd w:val="clear" w:color="auto" w:fill="FFFFFF"/>
                  <w:vAlign w:val="center"/>
                </w:tcPr>
                <w:p w14:paraId="53DEE82F">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0.5</w:t>
                  </w:r>
                </w:p>
              </w:tc>
              <w:tc>
                <w:tcPr>
                  <w:tcW w:w="606" w:type="pct"/>
                  <w:gridSpan w:val="2"/>
                  <w:shd w:val="clear" w:color="auto" w:fill="FFFFFF"/>
                  <w:vAlign w:val="center"/>
                </w:tcPr>
                <w:p w14:paraId="297E3109">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85</w:t>
                  </w:r>
                </w:p>
              </w:tc>
              <w:tc>
                <w:tcPr>
                  <w:tcW w:w="648" w:type="pct"/>
                  <w:gridSpan w:val="2"/>
                  <w:vMerge w:val="continue"/>
                  <w:shd w:val="clear" w:color="auto" w:fill="FFFFFF"/>
                  <w:vAlign w:val="center"/>
                </w:tcPr>
                <w:p w14:paraId="692BF791">
                  <w:pPr>
                    <w:keepLines/>
                    <w:wordWrap w:val="0"/>
                    <w:topLinePunct/>
                    <w:adjustRightInd w:val="0"/>
                    <w:spacing w:line="240" w:lineRule="exact"/>
                    <w:jc w:val="center"/>
                    <w:textAlignment w:val="baseline"/>
                    <w:rPr>
                      <w:rFonts w:ascii="Times New Roman" w:hAnsi="Times New Roman" w:eastAsia="宋体" w:cs="Times New Roman"/>
                      <w:szCs w:val="21"/>
                    </w:rPr>
                  </w:pPr>
                </w:p>
              </w:tc>
              <w:tc>
                <w:tcPr>
                  <w:tcW w:w="337" w:type="pct"/>
                  <w:gridSpan w:val="2"/>
                  <w:shd w:val="clear" w:color="auto" w:fill="FFFFFF"/>
                  <w:vAlign w:val="center"/>
                </w:tcPr>
                <w:p w14:paraId="56C55296">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1440</w:t>
                  </w:r>
                </w:p>
              </w:tc>
            </w:tr>
            <w:tr w14:paraId="45312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gridAfter w:val="5"/>
                <w:wAfter w:w="1211" w:type="pct"/>
                <w:trHeight w:val="571" w:hRule="atLeast"/>
              </w:trPr>
              <w:tc>
                <w:tcPr>
                  <w:tcW w:w="267" w:type="pct"/>
                  <w:shd w:val="clear" w:color="auto" w:fill="FFFFFF"/>
                  <w:vAlign w:val="center"/>
                </w:tcPr>
                <w:p w14:paraId="33376508">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14</w:t>
                  </w:r>
                </w:p>
              </w:tc>
              <w:tc>
                <w:tcPr>
                  <w:tcW w:w="824" w:type="pct"/>
                  <w:shd w:val="clear" w:color="auto" w:fill="FFFFFF"/>
                  <w:vAlign w:val="center"/>
                </w:tcPr>
                <w:p w14:paraId="6F2BC1A4">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集装箱式乳化沥青成套设备</w:t>
                  </w:r>
                </w:p>
              </w:tc>
              <w:tc>
                <w:tcPr>
                  <w:tcW w:w="403" w:type="pct"/>
                  <w:shd w:val="clear" w:color="auto" w:fill="FFFFFF"/>
                  <w:vAlign w:val="center"/>
                </w:tcPr>
                <w:p w14:paraId="7CB09355">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31.493</w:t>
                  </w:r>
                </w:p>
              </w:tc>
              <w:tc>
                <w:tcPr>
                  <w:tcW w:w="399" w:type="pct"/>
                  <w:shd w:val="clear" w:color="auto" w:fill="FFFFFF"/>
                  <w:vAlign w:val="center"/>
                </w:tcPr>
                <w:p w14:paraId="1D110D4E">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68.741</w:t>
                  </w:r>
                </w:p>
              </w:tc>
              <w:tc>
                <w:tcPr>
                  <w:tcW w:w="299" w:type="pct"/>
                  <w:shd w:val="clear" w:color="auto" w:fill="FFFFFF"/>
                  <w:vAlign w:val="center"/>
                </w:tcPr>
                <w:p w14:paraId="323832B1">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1.2</w:t>
                  </w:r>
                </w:p>
              </w:tc>
              <w:tc>
                <w:tcPr>
                  <w:tcW w:w="606" w:type="pct"/>
                  <w:gridSpan w:val="2"/>
                  <w:shd w:val="clear" w:color="auto" w:fill="FFFFFF"/>
                  <w:vAlign w:val="center"/>
                </w:tcPr>
                <w:p w14:paraId="30FD8379">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80</w:t>
                  </w:r>
                </w:p>
              </w:tc>
              <w:tc>
                <w:tcPr>
                  <w:tcW w:w="648" w:type="pct"/>
                  <w:gridSpan w:val="2"/>
                  <w:vMerge w:val="restart"/>
                  <w:shd w:val="clear" w:color="auto" w:fill="FFFFFF"/>
                  <w:vAlign w:val="center"/>
                </w:tcPr>
                <w:p w14:paraId="08A98443">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集装箱箱体隔声（工作时一侧敞开）、减振</w:t>
                  </w:r>
                </w:p>
              </w:tc>
              <w:tc>
                <w:tcPr>
                  <w:tcW w:w="337" w:type="pct"/>
                  <w:gridSpan w:val="2"/>
                  <w:shd w:val="clear" w:color="auto" w:fill="FFFFFF"/>
                  <w:vAlign w:val="center"/>
                </w:tcPr>
                <w:p w14:paraId="6A43C6DE">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50</w:t>
                  </w:r>
                </w:p>
              </w:tc>
            </w:tr>
            <w:tr w14:paraId="36A54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gridAfter w:val="5"/>
                <w:wAfter w:w="1211" w:type="pct"/>
                <w:trHeight w:val="425" w:hRule="atLeast"/>
              </w:trPr>
              <w:tc>
                <w:tcPr>
                  <w:tcW w:w="267" w:type="pct"/>
                  <w:shd w:val="clear" w:color="auto" w:fill="FFFFFF"/>
                  <w:vAlign w:val="center"/>
                </w:tcPr>
                <w:p w14:paraId="0A7BB240">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15</w:t>
                  </w:r>
                </w:p>
              </w:tc>
              <w:tc>
                <w:tcPr>
                  <w:tcW w:w="824" w:type="pct"/>
                  <w:shd w:val="clear" w:color="auto" w:fill="FFFFFF"/>
                  <w:vAlign w:val="center"/>
                </w:tcPr>
                <w:p w14:paraId="467205A9">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沥青泵组</w:t>
                  </w:r>
                </w:p>
              </w:tc>
              <w:tc>
                <w:tcPr>
                  <w:tcW w:w="403" w:type="pct"/>
                  <w:shd w:val="clear" w:color="auto" w:fill="FFFFFF"/>
                  <w:vAlign w:val="center"/>
                </w:tcPr>
                <w:p w14:paraId="1F4FF804">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31.493</w:t>
                  </w:r>
                </w:p>
              </w:tc>
              <w:tc>
                <w:tcPr>
                  <w:tcW w:w="399" w:type="pct"/>
                  <w:shd w:val="clear" w:color="auto" w:fill="FFFFFF"/>
                  <w:vAlign w:val="center"/>
                </w:tcPr>
                <w:p w14:paraId="59EA8034">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68.741</w:t>
                  </w:r>
                </w:p>
              </w:tc>
              <w:tc>
                <w:tcPr>
                  <w:tcW w:w="299" w:type="pct"/>
                  <w:shd w:val="clear" w:color="auto" w:fill="FFFFFF"/>
                  <w:vAlign w:val="center"/>
                </w:tcPr>
                <w:p w14:paraId="14452110">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0.5</w:t>
                  </w:r>
                </w:p>
              </w:tc>
              <w:tc>
                <w:tcPr>
                  <w:tcW w:w="606" w:type="pct"/>
                  <w:gridSpan w:val="2"/>
                  <w:shd w:val="clear" w:color="auto" w:fill="FFFFFF"/>
                  <w:vAlign w:val="center"/>
                </w:tcPr>
                <w:p w14:paraId="3B1211F1">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80</w:t>
                  </w:r>
                </w:p>
              </w:tc>
              <w:tc>
                <w:tcPr>
                  <w:tcW w:w="648" w:type="pct"/>
                  <w:gridSpan w:val="2"/>
                  <w:vMerge w:val="continue"/>
                  <w:shd w:val="clear" w:color="auto" w:fill="FFFFFF"/>
                  <w:vAlign w:val="center"/>
                </w:tcPr>
                <w:p w14:paraId="3F472E0E">
                  <w:pPr>
                    <w:keepLines/>
                    <w:wordWrap w:val="0"/>
                    <w:topLinePunct/>
                    <w:adjustRightInd w:val="0"/>
                    <w:spacing w:line="240" w:lineRule="exact"/>
                    <w:jc w:val="center"/>
                    <w:textAlignment w:val="baseline"/>
                    <w:rPr>
                      <w:rFonts w:ascii="Times New Roman" w:hAnsi="Times New Roman" w:eastAsia="宋体" w:cs="Times New Roman"/>
                      <w:szCs w:val="21"/>
                    </w:rPr>
                  </w:pPr>
                </w:p>
              </w:tc>
              <w:tc>
                <w:tcPr>
                  <w:tcW w:w="337" w:type="pct"/>
                  <w:gridSpan w:val="2"/>
                  <w:shd w:val="clear" w:color="auto" w:fill="FFFFFF"/>
                  <w:vAlign w:val="center"/>
                </w:tcPr>
                <w:p w14:paraId="28BEB152">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50</w:t>
                  </w:r>
                </w:p>
              </w:tc>
            </w:tr>
            <w:tr w14:paraId="6B5E7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gridAfter w:val="5"/>
                <w:wAfter w:w="1211" w:type="pct"/>
                <w:trHeight w:val="425" w:hRule="atLeast"/>
              </w:trPr>
              <w:tc>
                <w:tcPr>
                  <w:tcW w:w="267" w:type="pct"/>
                  <w:shd w:val="clear" w:color="auto" w:fill="FFFFFF"/>
                  <w:vAlign w:val="center"/>
                </w:tcPr>
                <w:p w14:paraId="7EDF7BB5">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16</w:t>
                  </w:r>
                </w:p>
              </w:tc>
              <w:tc>
                <w:tcPr>
                  <w:tcW w:w="824" w:type="pct"/>
                  <w:shd w:val="clear" w:color="auto" w:fill="FFFFFF"/>
                  <w:vAlign w:val="center"/>
                </w:tcPr>
                <w:p w14:paraId="5E99C6F0">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电机</w:t>
                  </w:r>
                </w:p>
              </w:tc>
              <w:tc>
                <w:tcPr>
                  <w:tcW w:w="403" w:type="pct"/>
                  <w:shd w:val="clear" w:color="auto" w:fill="FFFFFF"/>
                  <w:vAlign w:val="center"/>
                </w:tcPr>
                <w:p w14:paraId="4C71CC83">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31.493</w:t>
                  </w:r>
                </w:p>
              </w:tc>
              <w:tc>
                <w:tcPr>
                  <w:tcW w:w="399" w:type="pct"/>
                  <w:shd w:val="clear" w:color="auto" w:fill="FFFFFF"/>
                  <w:vAlign w:val="center"/>
                </w:tcPr>
                <w:p w14:paraId="44BFA9F0">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68.741</w:t>
                  </w:r>
                </w:p>
              </w:tc>
              <w:tc>
                <w:tcPr>
                  <w:tcW w:w="299" w:type="pct"/>
                  <w:shd w:val="clear" w:color="auto" w:fill="FFFFFF"/>
                  <w:vAlign w:val="center"/>
                </w:tcPr>
                <w:p w14:paraId="07E728B1">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0.5</w:t>
                  </w:r>
                </w:p>
              </w:tc>
              <w:tc>
                <w:tcPr>
                  <w:tcW w:w="606" w:type="pct"/>
                  <w:gridSpan w:val="2"/>
                  <w:shd w:val="clear" w:color="auto" w:fill="FFFFFF"/>
                  <w:vAlign w:val="center"/>
                </w:tcPr>
                <w:p w14:paraId="4A10D33C">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80</w:t>
                  </w:r>
                </w:p>
              </w:tc>
              <w:tc>
                <w:tcPr>
                  <w:tcW w:w="648" w:type="pct"/>
                  <w:gridSpan w:val="2"/>
                  <w:vMerge w:val="continue"/>
                  <w:shd w:val="clear" w:color="auto" w:fill="FFFFFF"/>
                  <w:vAlign w:val="center"/>
                </w:tcPr>
                <w:p w14:paraId="028482D6">
                  <w:pPr>
                    <w:keepLines/>
                    <w:wordWrap w:val="0"/>
                    <w:topLinePunct/>
                    <w:adjustRightInd w:val="0"/>
                    <w:spacing w:line="240" w:lineRule="exact"/>
                    <w:textAlignment w:val="baseline"/>
                    <w:rPr>
                      <w:rFonts w:ascii="Times New Roman" w:hAnsi="Times New Roman" w:eastAsia="宋体" w:cs="Times New Roman"/>
                      <w:szCs w:val="21"/>
                    </w:rPr>
                  </w:pPr>
                </w:p>
              </w:tc>
              <w:tc>
                <w:tcPr>
                  <w:tcW w:w="337" w:type="pct"/>
                  <w:gridSpan w:val="2"/>
                  <w:shd w:val="clear" w:color="auto" w:fill="FFFFFF"/>
                  <w:vAlign w:val="center"/>
                </w:tcPr>
                <w:p w14:paraId="309BFDA5">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50</w:t>
                  </w:r>
                </w:p>
              </w:tc>
            </w:tr>
            <w:tr w14:paraId="3FFF4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25" w:hRule="atLeast"/>
              </w:trPr>
              <w:tc>
                <w:tcPr>
                  <w:tcW w:w="3788" w:type="pct"/>
                  <w:gridSpan w:val="13"/>
                  <w:shd w:val="clear" w:color="auto" w:fill="FFFFFF"/>
                  <w:vAlign w:val="center"/>
                </w:tcPr>
                <w:p w14:paraId="22BDAF25">
                  <w:pPr>
                    <w:keepLines/>
                    <w:wordWrap w:val="0"/>
                    <w:topLinePunct/>
                    <w:adjustRightInd w:val="0"/>
                    <w:spacing w:line="240" w:lineRule="exact"/>
                    <w:textAlignment w:val="baseline"/>
                    <w:rPr>
                      <w:rFonts w:ascii="Times New Roman" w:hAnsi="Times New Roman" w:eastAsia="宋体" w:cs="Times New Roman"/>
                      <w:szCs w:val="21"/>
                    </w:rPr>
                  </w:pPr>
                  <w:r>
                    <w:rPr>
                      <w:rFonts w:hint="eastAsia" w:ascii="Times New Roman" w:hAnsi="Times New Roman" w:eastAsia="宋体" w:cs="Times New Roman"/>
                      <w:szCs w:val="21"/>
                    </w:rPr>
                    <w:t>注：以项目西南角100.3066，39.2662为原点，东西向为X轴，东为正向；南北向为Y轴，北为正向。将沥青拌合楼视为一个集中噪声源，拌合楼内单个设备仅Z值变化。</w:t>
                  </w:r>
                </w:p>
              </w:tc>
              <w:tc>
                <w:tcPr>
                  <w:tcW w:w="403" w:type="pct"/>
                  <w:shd w:val="clear" w:color="auto" w:fill="FFFFFF"/>
                  <w:vAlign w:val="center"/>
                </w:tcPr>
                <w:p w14:paraId="61F4DBCE">
                  <w:pPr>
                    <w:keepLines/>
                    <w:wordWrap w:val="0"/>
                    <w:topLinePunct/>
                    <w:adjustRightInd w:val="0"/>
                    <w:spacing w:line="240" w:lineRule="exact"/>
                    <w:textAlignment w:val="baseline"/>
                    <w:rPr>
                      <w:rFonts w:ascii="Times New Roman" w:hAnsi="Times New Roman" w:eastAsia="宋体" w:cs="Times New Roman"/>
                      <w:szCs w:val="21"/>
                    </w:rPr>
                  </w:pPr>
                </w:p>
              </w:tc>
              <w:tc>
                <w:tcPr>
                  <w:tcW w:w="403" w:type="pct"/>
                  <w:shd w:val="clear" w:color="auto" w:fill="FFFFFF"/>
                  <w:vAlign w:val="center"/>
                </w:tcPr>
                <w:p w14:paraId="09A164FA">
                  <w:pPr>
                    <w:keepLines/>
                    <w:wordWrap w:val="0"/>
                    <w:topLinePunct/>
                    <w:adjustRightInd w:val="0"/>
                    <w:spacing w:line="240" w:lineRule="exact"/>
                    <w:textAlignment w:val="baseline"/>
                    <w:rPr>
                      <w:rFonts w:ascii="Times New Roman" w:hAnsi="Times New Roman" w:eastAsia="宋体" w:cs="Times New Roman"/>
                      <w:szCs w:val="21"/>
                    </w:rPr>
                  </w:pPr>
                </w:p>
              </w:tc>
              <w:tc>
                <w:tcPr>
                  <w:tcW w:w="403" w:type="pct"/>
                  <w:shd w:val="clear" w:color="auto" w:fill="FFFFFF"/>
                  <w:vAlign w:val="center"/>
                </w:tcPr>
                <w:p w14:paraId="0FAB76F5">
                  <w:pPr>
                    <w:keepLines/>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95.585</w:t>
                  </w:r>
                </w:p>
              </w:tc>
            </w:tr>
          </w:tbl>
          <w:p w14:paraId="3F784943">
            <w:pPr>
              <w:widowControl/>
              <w:wordWrap w:val="0"/>
              <w:topLinePunct/>
              <w:spacing w:line="360" w:lineRule="auto"/>
              <w:jc w:val="center"/>
            </w:pPr>
            <w:r>
              <w:rPr>
                <w:rFonts w:hint="eastAsia" w:ascii="Times New Roman" w:hAnsi="Times New Roman" w:eastAsia="宋体" w:cs="宋体-PUA"/>
                <w:b/>
                <w:sz w:val="24"/>
                <w:shd w:val="clear" w:color="auto" w:fill="FFFFFF"/>
              </w:rPr>
              <w:t>4-32  工业企业噪声源强调查清单（室内声源）</w:t>
            </w:r>
          </w:p>
          <w:tbl>
            <w:tblPr>
              <w:tblStyle w:val="28"/>
              <w:tblW w:w="4994" w:type="pct"/>
              <w:tblInd w:w="11"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325"/>
              <w:gridCol w:w="403"/>
              <w:gridCol w:w="1069"/>
              <w:gridCol w:w="393"/>
              <w:gridCol w:w="594"/>
              <w:gridCol w:w="507"/>
              <w:gridCol w:w="507"/>
              <w:gridCol w:w="507"/>
              <w:gridCol w:w="519"/>
              <w:gridCol w:w="507"/>
              <w:gridCol w:w="585"/>
              <w:gridCol w:w="340"/>
              <w:gridCol w:w="667"/>
              <w:gridCol w:w="594"/>
              <w:gridCol w:w="536"/>
            </w:tblGrid>
            <w:tr w14:paraId="0178A6C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01" w:type="pct"/>
                  <w:vMerge w:val="restart"/>
                  <w:tcBorders>
                    <w:tl2br w:val="nil"/>
                    <w:tr2bl w:val="nil"/>
                  </w:tcBorders>
                  <w:tcMar>
                    <w:top w:w="0" w:type="dxa"/>
                    <w:left w:w="28" w:type="dxa"/>
                    <w:bottom w:w="0" w:type="dxa"/>
                    <w:right w:w="28" w:type="dxa"/>
                  </w:tcMar>
                  <w:vAlign w:val="center"/>
                </w:tcPr>
                <w:p w14:paraId="049F5F38">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序号</w:t>
                  </w:r>
                </w:p>
              </w:tc>
              <w:tc>
                <w:tcPr>
                  <w:tcW w:w="250" w:type="pct"/>
                  <w:vMerge w:val="restart"/>
                  <w:tcBorders>
                    <w:tl2br w:val="nil"/>
                    <w:tr2bl w:val="nil"/>
                  </w:tcBorders>
                  <w:tcMar>
                    <w:top w:w="0" w:type="dxa"/>
                    <w:left w:w="28" w:type="dxa"/>
                    <w:bottom w:w="0" w:type="dxa"/>
                    <w:right w:w="28" w:type="dxa"/>
                  </w:tcMar>
                  <w:vAlign w:val="center"/>
                </w:tcPr>
                <w:p w14:paraId="71148C95">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建筑物名称</w:t>
                  </w:r>
                </w:p>
              </w:tc>
              <w:tc>
                <w:tcPr>
                  <w:tcW w:w="664" w:type="pct"/>
                  <w:vMerge w:val="restart"/>
                  <w:tcBorders>
                    <w:tl2br w:val="nil"/>
                    <w:tr2bl w:val="nil"/>
                  </w:tcBorders>
                  <w:tcMar>
                    <w:top w:w="0" w:type="dxa"/>
                    <w:left w:w="28" w:type="dxa"/>
                    <w:bottom w:w="0" w:type="dxa"/>
                    <w:right w:w="28" w:type="dxa"/>
                  </w:tcMar>
                  <w:vAlign w:val="center"/>
                </w:tcPr>
                <w:p w14:paraId="3C621489">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声源名称</w:t>
                  </w:r>
                </w:p>
              </w:tc>
              <w:tc>
                <w:tcPr>
                  <w:tcW w:w="244" w:type="pct"/>
                  <w:vMerge w:val="restart"/>
                  <w:tcBorders>
                    <w:tl2br w:val="nil"/>
                    <w:tr2bl w:val="nil"/>
                  </w:tcBorders>
                  <w:tcMar>
                    <w:top w:w="0" w:type="dxa"/>
                    <w:left w:w="28" w:type="dxa"/>
                    <w:bottom w:w="0" w:type="dxa"/>
                    <w:right w:w="28" w:type="dxa"/>
                  </w:tcMar>
                  <w:vAlign w:val="center"/>
                </w:tcPr>
                <w:p w14:paraId="19BA8E89">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型号</w:t>
                  </w:r>
                </w:p>
              </w:tc>
              <w:tc>
                <w:tcPr>
                  <w:tcW w:w="369" w:type="pct"/>
                  <w:vMerge w:val="restart"/>
                  <w:tcBorders>
                    <w:tl2br w:val="nil"/>
                    <w:tr2bl w:val="nil"/>
                  </w:tcBorders>
                  <w:tcMar>
                    <w:top w:w="0" w:type="dxa"/>
                    <w:left w:w="28" w:type="dxa"/>
                    <w:bottom w:w="0" w:type="dxa"/>
                    <w:right w:w="28" w:type="dxa"/>
                  </w:tcMar>
                  <w:vAlign w:val="center"/>
                </w:tcPr>
                <w:p w14:paraId="24FACB2E">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声源源强/dB（A）</w:t>
                  </w:r>
                </w:p>
              </w:tc>
              <w:tc>
                <w:tcPr>
                  <w:tcW w:w="315" w:type="pct"/>
                  <w:vMerge w:val="restart"/>
                  <w:tcBorders>
                    <w:tl2br w:val="nil"/>
                    <w:tr2bl w:val="nil"/>
                  </w:tcBorders>
                  <w:tcMar>
                    <w:top w:w="0" w:type="dxa"/>
                    <w:left w:w="28" w:type="dxa"/>
                    <w:bottom w:w="0" w:type="dxa"/>
                    <w:right w:w="28" w:type="dxa"/>
                  </w:tcMar>
                  <w:vAlign w:val="center"/>
                </w:tcPr>
                <w:p w14:paraId="44515A09">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声源控制措施</w:t>
                  </w:r>
                </w:p>
              </w:tc>
              <w:tc>
                <w:tcPr>
                  <w:tcW w:w="952" w:type="pct"/>
                  <w:gridSpan w:val="3"/>
                  <w:tcBorders>
                    <w:tl2br w:val="nil"/>
                    <w:tr2bl w:val="nil"/>
                  </w:tcBorders>
                  <w:tcMar>
                    <w:top w:w="0" w:type="dxa"/>
                    <w:left w:w="28" w:type="dxa"/>
                    <w:bottom w:w="0" w:type="dxa"/>
                    <w:right w:w="28" w:type="dxa"/>
                  </w:tcMar>
                  <w:vAlign w:val="center"/>
                </w:tcPr>
                <w:p w14:paraId="7FF7D931">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空间相对位置/m</w:t>
                  </w:r>
                  <w:r>
                    <w:rPr>
                      <w:rFonts w:ascii="Times New Roman" w:hAnsi="Times New Roman" w:eastAsia="宋体" w:cs="Times New Roman"/>
                      <w:b/>
                      <w:bCs/>
                      <w:color w:val="000000"/>
                      <w:szCs w:val="21"/>
                    </w:rPr>
                    <w:fldChar w:fldCharType="begin"/>
                  </w:r>
                  <w:r>
                    <w:rPr>
                      <w:rFonts w:ascii="Times New Roman" w:hAnsi="Times New Roman" w:eastAsia="宋体" w:cs="Times New Roman"/>
                      <w:b/>
                      <w:bCs/>
                      <w:color w:val="000000"/>
                      <w:szCs w:val="21"/>
                    </w:rPr>
                    <w:instrText xml:space="preserve"> = 1 \* GB3 \* MERGEFORMAT </w:instrText>
                  </w:r>
                  <w:r>
                    <w:rPr>
                      <w:rFonts w:ascii="Times New Roman" w:hAnsi="Times New Roman" w:eastAsia="宋体" w:cs="Times New Roman"/>
                      <w:b/>
                      <w:bCs/>
                      <w:color w:val="000000"/>
                      <w:szCs w:val="21"/>
                    </w:rPr>
                    <w:fldChar w:fldCharType="separate"/>
                  </w:r>
                  <w:r>
                    <w:rPr>
                      <w:rFonts w:ascii="Times New Roman" w:hAnsi="Times New Roman" w:eastAsia="宋体" w:cs="Times New Roman"/>
                      <w:b/>
                      <w:bCs/>
                      <w:color w:val="000000"/>
                      <w:szCs w:val="21"/>
                    </w:rPr>
                    <w:fldChar w:fldCharType="end"/>
                  </w:r>
                </w:p>
              </w:tc>
              <w:tc>
                <w:tcPr>
                  <w:tcW w:w="315" w:type="pct"/>
                  <w:vMerge w:val="restart"/>
                  <w:tcBorders>
                    <w:tl2br w:val="nil"/>
                    <w:tr2bl w:val="nil"/>
                  </w:tcBorders>
                  <w:tcMar>
                    <w:top w:w="0" w:type="dxa"/>
                    <w:left w:w="28" w:type="dxa"/>
                    <w:bottom w:w="0" w:type="dxa"/>
                    <w:right w:w="28" w:type="dxa"/>
                  </w:tcMar>
                  <w:vAlign w:val="center"/>
                </w:tcPr>
                <w:p w14:paraId="62542968">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距室内边界距离/m</w:t>
                  </w:r>
                </w:p>
              </w:tc>
              <w:tc>
                <w:tcPr>
                  <w:tcW w:w="363" w:type="pct"/>
                  <w:vMerge w:val="restart"/>
                  <w:tcBorders>
                    <w:tl2br w:val="nil"/>
                    <w:tr2bl w:val="nil"/>
                  </w:tcBorders>
                  <w:tcMar>
                    <w:top w:w="0" w:type="dxa"/>
                    <w:left w:w="28" w:type="dxa"/>
                    <w:bottom w:w="0" w:type="dxa"/>
                    <w:right w:w="28" w:type="dxa"/>
                  </w:tcMar>
                  <w:vAlign w:val="center"/>
                </w:tcPr>
                <w:p w14:paraId="51C55751">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室内边界声级/dB（A）</w:t>
                  </w:r>
                </w:p>
              </w:tc>
              <w:tc>
                <w:tcPr>
                  <w:tcW w:w="211" w:type="pct"/>
                  <w:vMerge w:val="restart"/>
                  <w:tcBorders>
                    <w:tl2br w:val="nil"/>
                    <w:tr2bl w:val="nil"/>
                  </w:tcBorders>
                  <w:tcMar>
                    <w:top w:w="0" w:type="dxa"/>
                    <w:left w:w="28" w:type="dxa"/>
                    <w:bottom w:w="0" w:type="dxa"/>
                    <w:right w:w="28" w:type="dxa"/>
                  </w:tcMar>
                  <w:vAlign w:val="center"/>
                </w:tcPr>
                <w:p w14:paraId="1AB3A4C8">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运行时段</w:t>
                  </w:r>
                </w:p>
              </w:tc>
              <w:tc>
                <w:tcPr>
                  <w:tcW w:w="414" w:type="pct"/>
                  <w:vMerge w:val="restart"/>
                  <w:tcBorders>
                    <w:tl2br w:val="nil"/>
                    <w:tr2bl w:val="nil"/>
                  </w:tcBorders>
                  <w:tcMar>
                    <w:top w:w="0" w:type="dxa"/>
                    <w:left w:w="28" w:type="dxa"/>
                    <w:bottom w:w="0" w:type="dxa"/>
                    <w:right w:w="28" w:type="dxa"/>
                  </w:tcMar>
                  <w:vAlign w:val="center"/>
                </w:tcPr>
                <w:p w14:paraId="78C544C6">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建筑物插入损失/dB（A）</w:t>
                  </w:r>
                </w:p>
              </w:tc>
              <w:tc>
                <w:tcPr>
                  <w:tcW w:w="697" w:type="pct"/>
                  <w:gridSpan w:val="2"/>
                  <w:tcBorders>
                    <w:tl2br w:val="nil"/>
                    <w:tr2bl w:val="nil"/>
                  </w:tcBorders>
                  <w:tcMar>
                    <w:top w:w="0" w:type="dxa"/>
                    <w:left w:w="28" w:type="dxa"/>
                    <w:bottom w:w="0" w:type="dxa"/>
                    <w:right w:w="28" w:type="dxa"/>
                  </w:tcMar>
                  <w:vAlign w:val="center"/>
                </w:tcPr>
                <w:p w14:paraId="42EC6201">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建筑物外噪声</w:t>
                  </w:r>
                </w:p>
              </w:tc>
            </w:tr>
            <w:tr w14:paraId="18F64C5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01" w:type="pct"/>
                  <w:vMerge w:val="continue"/>
                  <w:tcBorders>
                    <w:tl2br w:val="nil"/>
                    <w:tr2bl w:val="nil"/>
                  </w:tcBorders>
                  <w:tcMar>
                    <w:top w:w="0" w:type="dxa"/>
                    <w:left w:w="28" w:type="dxa"/>
                    <w:bottom w:w="0" w:type="dxa"/>
                    <w:right w:w="28" w:type="dxa"/>
                  </w:tcMar>
                  <w:vAlign w:val="center"/>
                </w:tcPr>
                <w:p w14:paraId="0CA378D7">
                  <w:pPr>
                    <w:jc w:val="center"/>
                    <w:rPr>
                      <w:rFonts w:ascii="Times New Roman" w:hAnsi="Times New Roman" w:eastAsia="宋体" w:cs="Times New Roman"/>
                      <w:b/>
                      <w:bCs/>
                      <w:color w:val="000000"/>
                      <w:szCs w:val="21"/>
                    </w:rPr>
                  </w:pPr>
                </w:p>
              </w:tc>
              <w:tc>
                <w:tcPr>
                  <w:tcW w:w="250" w:type="pct"/>
                  <w:vMerge w:val="continue"/>
                  <w:tcBorders>
                    <w:tl2br w:val="nil"/>
                    <w:tr2bl w:val="nil"/>
                  </w:tcBorders>
                  <w:tcMar>
                    <w:top w:w="0" w:type="dxa"/>
                    <w:left w:w="28" w:type="dxa"/>
                    <w:bottom w:w="0" w:type="dxa"/>
                    <w:right w:w="28" w:type="dxa"/>
                  </w:tcMar>
                  <w:vAlign w:val="center"/>
                </w:tcPr>
                <w:p w14:paraId="765F8155">
                  <w:pPr>
                    <w:jc w:val="center"/>
                    <w:rPr>
                      <w:rFonts w:ascii="Times New Roman" w:hAnsi="Times New Roman" w:eastAsia="宋体" w:cs="Times New Roman"/>
                      <w:b/>
                      <w:bCs/>
                      <w:color w:val="000000"/>
                      <w:szCs w:val="21"/>
                    </w:rPr>
                  </w:pPr>
                </w:p>
              </w:tc>
              <w:tc>
                <w:tcPr>
                  <w:tcW w:w="664" w:type="pct"/>
                  <w:vMerge w:val="continue"/>
                  <w:tcBorders>
                    <w:tl2br w:val="nil"/>
                    <w:tr2bl w:val="nil"/>
                  </w:tcBorders>
                  <w:tcMar>
                    <w:top w:w="0" w:type="dxa"/>
                    <w:left w:w="28" w:type="dxa"/>
                    <w:bottom w:w="0" w:type="dxa"/>
                    <w:right w:w="28" w:type="dxa"/>
                  </w:tcMar>
                  <w:vAlign w:val="center"/>
                </w:tcPr>
                <w:p w14:paraId="48F18C2F">
                  <w:pPr>
                    <w:jc w:val="center"/>
                    <w:rPr>
                      <w:rFonts w:ascii="Times New Roman" w:hAnsi="Times New Roman" w:eastAsia="宋体" w:cs="Times New Roman"/>
                      <w:b/>
                      <w:bCs/>
                      <w:color w:val="000000"/>
                      <w:szCs w:val="21"/>
                    </w:rPr>
                  </w:pPr>
                </w:p>
              </w:tc>
              <w:tc>
                <w:tcPr>
                  <w:tcW w:w="244" w:type="pct"/>
                  <w:vMerge w:val="continue"/>
                  <w:tcBorders>
                    <w:tl2br w:val="nil"/>
                    <w:tr2bl w:val="nil"/>
                  </w:tcBorders>
                  <w:tcMar>
                    <w:top w:w="0" w:type="dxa"/>
                    <w:left w:w="28" w:type="dxa"/>
                    <w:bottom w:w="0" w:type="dxa"/>
                    <w:right w:w="28" w:type="dxa"/>
                  </w:tcMar>
                  <w:vAlign w:val="center"/>
                </w:tcPr>
                <w:p w14:paraId="759BB153">
                  <w:pPr>
                    <w:jc w:val="center"/>
                    <w:rPr>
                      <w:rFonts w:ascii="Times New Roman" w:hAnsi="Times New Roman" w:eastAsia="宋体" w:cs="Times New Roman"/>
                      <w:b/>
                      <w:bCs/>
                      <w:color w:val="000000"/>
                      <w:szCs w:val="21"/>
                    </w:rPr>
                  </w:pPr>
                </w:p>
              </w:tc>
              <w:tc>
                <w:tcPr>
                  <w:tcW w:w="369" w:type="pct"/>
                  <w:vMerge w:val="continue"/>
                  <w:tcBorders>
                    <w:tl2br w:val="nil"/>
                    <w:tr2bl w:val="nil"/>
                  </w:tcBorders>
                  <w:tcMar>
                    <w:top w:w="0" w:type="dxa"/>
                    <w:left w:w="28" w:type="dxa"/>
                    <w:bottom w:w="0" w:type="dxa"/>
                    <w:right w:w="28" w:type="dxa"/>
                  </w:tcMar>
                  <w:vAlign w:val="center"/>
                </w:tcPr>
                <w:p w14:paraId="70EEBD94">
                  <w:pPr>
                    <w:jc w:val="center"/>
                    <w:rPr>
                      <w:rFonts w:ascii="Times New Roman" w:hAnsi="Times New Roman" w:eastAsia="宋体" w:cs="Times New Roman"/>
                      <w:b/>
                      <w:bCs/>
                      <w:color w:val="000000"/>
                      <w:szCs w:val="21"/>
                    </w:rPr>
                  </w:pPr>
                </w:p>
              </w:tc>
              <w:tc>
                <w:tcPr>
                  <w:tcW w:w="315" w:type="pct"/>
                  <w:vMerge w:val="continue"/>
                  <w:tcBorders>
                    <w:tl2br w:val="nil"/>
                    <w:tr2bl w:val="nil"/>
                  </w:tcBorders>
                  <w:tcMar>
                    <w:top w:w="0" w:type="dxa"/>
                    <w:left w:w="28" w:type="dxa"/>
                    <w:bottom w:w="0" w:type="dxa"/>
                    <w:right w:w="28" w:type="dxa"/>
                  </w:tcMar>
                  <w:vAlign w:val="center"/>
                </w:tcPr>
                <w:p w14:paraId="11EBBD7F">
                  <w:pPr>
                    <w:jc w:val="center"/>
                    <w:rPr>
                      <w:rFonts w:ascii="Times New Roman" w:hAnsi="Times New Roman" w:eastAsia="宋体" w:cs="Times New Roman"/>
                      <w:b/>
                      <w:bCs/>
                      <w:color w:val="000000"/>
                      <w:szCs w:val="21"/>
                    </w:rPr>
                  </w:pPr>
                </w:p>
              </w:tc>
              <w:tc>
                <w:tcPr>
                  <w:tcW w:w="315" w:type="pct"/>
                  <w:tcBorders>
                    <w:tl2br w:val="nil"/>
                    <w:tr2bl w:val="nil"/>
                  </w:tcBorders>
                  <w:tcMar>
                    <w:top w:w="0" w:type="dxa"/>
                    <w:left w:w="28" w:type="dxa"/>
                    <w:bottom w:w="0" w:type="dxa"/>
                    <w:right w:w="28" w:type="dxa"/>
                  </w:tcMar>
                  <w:vAlign w:val="center"/>
                </w:tcPr>
                <w:p w14:paraId="1BD165D0">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X</w:t>
                  </w:r>
                </w:p>
              </w:tc>
              <w:tc>
                <w:tcPr>
                  <w:tcW w:w="315" w:type="pct"/>
                  <w:tcBorders>
                    <w:tl2br w:val="nil"/>
                    <w:tr2bl w:val="nil"/>
                  </w:tcBorders>
                  <w:tcMar>
                    <w:top w:w="0" w:type="dxa"/>
                    <w:left w:w="28" w:type="dxa"/>
                    <w:bottom w:w="0" w:type="dxa"/>
                    <w:right w:w="28" w:type="dxa"/>
                  </w:tcMar>
                  <w:vAlign w:val="center"/>
                </w:tcPr>
                <w:p w14:paraId="4B3BAAA3">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Y</w:t>
                  </w:r>
                </w:p>
              </w:tc>
              <w:tc>
                <w:tcPr>
                  <w:tcW w:w="321" w:type="pct"/>
                  <w:tcBorders>
                    <w:tl2br w:val="nil"/>
                    <w:tr2bl w:val="nil"/>
                  </w:tcBorders>
                  <w:tcMar>
                    <w:top w:w="0" w:type="dxa"/>
                    <w:left w:w="28" w:type="dxa"/>
                    <w:bottom w:w="0" w:type="dxa"/>
                    <w:right w:w="28" w:type="dxa"/>
                  </w:tcMar>
                  <w:vAlign w:val="center"/>
                </w:tcPr>
                <w:p w14:paraId="4B0E1365">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Z</w:t>
                  </w:r>
                </w:p>
              </w:tc>
              <w:tc>
                <w:tcPr>
                  <w:tcW w:w="315" w:type="pct"/>
                  <w:vMerge w:val="continue"/>
                  <w:tcBorders>
                    <w:tl2br w:val="nil"/>
                    <w:tr2bl w:val="nil"/>
                  </w:tcBorders>
                  <w:tcMar>
                    <w:top w:w="0" w:type="dxa"/>
                    <w:left w:w="28" w:type="dxa"/>
                    <w:bottom w:w="0" w:type="dxa"/>
                    <w:right w:w="28" w:type="dxa"/>
                  </w:tcMar>
                  <w:vAlign w:val="center"/>
                </w:tcPr>
                <w:p w14:paraId="760ADDE8">
                  <w:pPr>
                    <w:jc w:val="center"/>
                    <w:rPr>
                      <w:rFonts w:ascii="Times New Roman" w:hAnsi="Times New Roman" w:eastAsia="宋体" w:cs="Times New Roman"/>
                      <w:b/>
                      <w:bCs/>
                      <w:color w:val="000000"/>
                      <w:szCs w:val="21"/>
                    </w:rPr>
                  </w:pPr>
                </w:p>
              </w:tc>
              <w:tc>
                <w:tcPr>
                  <w:tcW w:w="363" w:type="pct"/>
                  <w:vMerge w:val="continue"/>
                  <w:tcBorders>
                    <w:tl2br w:val="nil"/>
                    <w:tr2bl w:val="nil"/>
                  </w:tcBorders>
                  <w:tcMar>
                    <w:top w:w="0" w:type="dxa"/>
                    <w:left w:w="28" w:type="dxa"/>
                    <w:bottom w:w="0" w:type="dxa"/>
                    <w:right w:w="28" w:type="dxa"/>
                  </w:tcMar>
                  <w:vAlign w:val="center"/>
                </w:tcPr>
                <w:p w14:paraId="19F013C8">
                  <w:pPr>
                    <w:jc w:val="center"/>
                    <w:rPr>
                      <w:rFonts w:ascii="Times New Roman" w:hAnsi="Times New Roman" w:eastAsia="宋体" w:cs="Times New Roman"/>
                      <w:b/>
                      <w:bCs/>
                      <w:color w:val="000000"/>
                      <w:szCs w:val="21"/>
                    </w:rPr>
                  </w:pPr>
                </w:p>
              </w:tc>
              <w:tc>
                <w:tcPr>
                  <w:tcW w:w="211" w:type="pct"/>
                  <w:vMerge w:val="continue"/>
                  <w:tcBorders>
                    <w:tl2br w:val="nil"/>
                    <w:tr2bl w:val="nil"/>
                  </w:tcBorders>
                  <w:tcMar>
                    <w:top w:w="0" w:type="dxa"/>
                    <w:left w:w="28" w:type="dxa"/>
                    <w:bottom w:w="0" w:type="dxa"/>
                    <w:right w:w="28" w:type="dxa"/>
                  </w:tcMar>
                  <w:vAlign w:val="center"/>
                </w:tcPr>
                <w:p w14:paraId="2A3394EF">
                  <w:pPr>
                    <w:jc w:val="center"/>
                    <w:rPr>
                      <w:rFonts w:ascii="Times New Roman" w:hAnsi="Times New Roman" w:eastAsia="宋体" w:cs="Times New Roman"/>
                      <w:b/>
                      <w:bCs/>
                      <w:color w:val="000000"/>
                      <w:szCs w:val="21"/>
                    </w:rPr>
                  </w:pPr>
                </w:p>
              </w:tc>
              <w:tc>
                <w:tcPr>
                  <w:tcW w:w="414" w:type="pct"/>
                  <w:vMerge w:val="continue"/>
                  <w:tcBorders>
                    <w:tl2br w:val="nil"/>
                    <w:tr2bl w:val="nil"/>
                  </w:tcBorders>
                  <w:tcMar>
                    <w:top w:w="0" w:type="dxa"/>
                    <w:left w:w="28" w:type="dxa"/>
                    <w:bottom w:w="0" w:type="dxa"/>
                    <w:right w:w="28" w:type="dxa"/>
                  </w:tcMar>
                  <w:vAlign w:val="center"/>
                </w:tcPr>
                <w:p w14:paraId="17E54DEC">
                  <w:pPr>
                    <w:jc w:val="center"/>
                    <w:rPr>
                      <w:rFonts w:ascii="Times New Roman" w:hAnsi="Times New Roman" w:eastAsia="宋体" w:cs="Times New Roman"/>
                      <w:b/>
                      <w:bCs/>
                      <w:color w:val="000000"/>
                      <w:szCs w:val="21"/>
                    </w:rPr>
                  </w:pPr>
                </w:p>
              </w:tc>
              <w:tc>
                <w:tcPr>
                  <w:tcW w:w="369" w:type="pct"/>
                  <w:tcBorders>
                    <w:tl2br w:val="nil"/>
                    <w:tr2bl w:val="nil"/>
                  </w:tcBorders>
                  <w:tcMar>
                    <w:top w:w="0" w:type="dxa"/>
                    <w:left w:w="28" w:type="dxa"/>
                    <w:bottom w:w="0" w:type="dxa"/>
                    <w:right w:w="28" w:type="dxa"/>
                  </w:tcMar>
                  <w:vAlign w:val="center"/>
                </w:tcPr>
                <w:p w14:paraId="52EB19F2">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声压级</w:t>
                  </w:r>
                </w:p>
              </w:tc>
              <w:tc>
                <w:tcPr>
                  <w:tcW w:w="328" w:type="pct"/>
                  <w:tcBorders>
                    <w:tl2br w:val="nil"/>
                    <w:tr2bl w:val="nil"/>
                  </w:tcBorders>
                  <w:tcMar>
                    <w:top w:w="0" w:type="dxa"/>
                    <w:left w:w="28" w:type="dxa"/>
                    <w:bottom w:w="0" w:type="dxa"/>
                    <w:right w:w="28" w:type="dxa"/>
                  </w:tcMar>
                  <w:vAlign w:val="center"/>
                </w:tcPr>
                <w:p w14:paraId="204F3022">
                  <w:pPr>
                    <w:jc w:val="center"/>
                    <w:rPr>
                      <w:rFonts w:ascii="Times New Roman" w:hAnsi="Times New Roman" w:eastAsia="宋体" w:cs="Times New Roman"/>
                      <w:b/>
                      <w:bCs/>
                      <w:color w:val="000000"/>
                      <w:szCs w:val="21"/>
                    </w:rPr>
                  </w:pPr>
                  <w:r>
                    <w:rPr>
                      <w:rFonts w:ascii="Times New Roman" w:hAnsi="Times New Roman" w:eastAsia="宋体" w:cs="Times New Roman"/>
                      <w:b/>
                      <w:bCs/>
                      <w:color w:val="000000"/>
                      <w:szCs w:val="21"/>
                    </w:rPr>
                    <w:t>建筑物外距离</w:t>
                  </w:r>
                </w:p>
              </w:tc>
            </w:tr>
            <w:tr w14:paraId="1803897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01" w:type="pct"/>
                  <w:tcBorders>
                    <w:tl2br w:val="nil"/>
                    <w:tr2bl w:val="nil"/>
                  </w:tcBorders>
                  <w:tcMar>
                    <w:top w:w="0" w:type="dxa"/>
                    <w:left w:w="28" w:type="dxa"/>
                    <w:bottom w:w="0" w:type="dxa"/>
                    <w:right w:w="28" w:type="dxa"/>
                  </w:tcMar>
                  <w:vAlign w:val="center"/>
                </w:tcPr>
                <w:p w14:paraId="3BDA693D">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1</w:t>
                  </w:r>
                </w:p>
              </w:tc>
              <w:tc>
                <w:tcPr>
                  <w:tcW w:w="250" w:type="pct"/>
                  <w:vMerge w:val="restart"/>
                  <w:tcBorders>
                    <w:tl2br w:val="nil"/>
                    <w:tr2bl w:val="nil"/>
                  </w:tcBorders>
                  <w:tcMar>
                    <w:top w:w="0" w:type="dxa"/>
                    <w:left w:w="28" w:type="dxa"/>
                    <w:bottom w:w="0" w:type="dxa"/>
                    <w:right w:w="28" w:type="dxa"/>
                  </w:tcMar>
                  <w:vAlign w:val="center"/>
                </w:tcPr>
                <w:p w14:paraId="45040A46">
                  <w:pPr>
                    <w:jc w:val="center"/>
                    <w:rPr>
                      <w:rFonts w:ascii="Times New Roman" w:hAnsi="Times New Roman" w:eastAsia="宋体" w:cs="Times New Roman"/>
                      <w:color w:val="000000"/>
                      <w:szCs w:val="21"/>
                    </w:rPr>
                  </w:pPr>
                  <w:r>
                    <w:rPr>
                      <w:rFonts w:hint="eastAsia" w:ascii="Times New Roman" w:hAnsi="Times New Roman" w:eastAsia="宋体" w:cs="Times New Roman"/>
                      <w:color w:val="FF0000"/>
                      <w:szCs w:val="21"/>
                    </w:rPr>
                    <w:t>导热油炉房</w:t>
                  </w:r>
                </w:p>
              </w:tc>
              <w:tc>
                <w:tcPr>
                  <w:tcW w:w="664" w:type="pct"/>
                  <w:tcBorders>
                    <w:tl2br w:val="nil"/>
                    <w:tr2bl w:val="nil"/>
                  </w:tcBorders>
                  <w:tcMar>
                    <w:top w:w="0" w:type="dxa"/>
                    <w:left w:w="28" w:type="dxa"/>
                    <w:bottom w:w="0" w:type="dxa"/>
                    <w:right w:w="28" w:type="dxa"/>
                  </w:tcMar>
                  <w:vAlign w:val="center"/>
                </w:tcPr>
                <w:p w14:paraId="470AF359">
                  <w:pPr>
                    <w:keepLines/>
                    <w:wordWrap w:val="0"/>
                    <w:topLinePunct/>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有机热载体炉</w:t>
                  </w:r>
                </w:p>
              </w:tc>
              <w:tc>
                <w:tcPr>
                  <w:tcW w:w="244" w:type="pct"/>
                  <w:tcBorders>
                    <w:tl2br w:val="nil"/>
                    <w:tr2bl w:val="nil"/>
                  </w:tcBorders>
                  <w:tcMar>
                    <w:top w:w="0" w:type="dxa"/>
                    <w:left w:w="28" w:type="dxa"/>
                    <w:bottom w:w="0" w:type="dxa"/>
                    <w:right w:w="28" w:type="dxa"/>
                  </w:tcMar>
                  <w:vAlign w:val="center"/>
                </w:tcPr>
                <w:p w14:paraId="0A2687F5">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369" w:type="pct"/>
                  <w:tcBorders>
                    <w:tl2br w:val="nil"/>
                    <w:tr2bl w:val="nil"/>
                  </w:tcBorders>
                  <w:tcMar>
                    <w:top w:w="0" w:type="dxa"/>
                    <w:left w:w="28" w:type="dxa"/>
                    <w:bottom w:w="0" w:type="dxa"/>
                    <w:right w:w="28" w:type="dxa"/>
                  </w:tcMar>
                  <w:vAlign w:val="center"/>
                </w:tcPr>
                <w:p w14:paraId="033A87B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85</w:t>
                  </w:r>
                </w:p>
              </w:tc>
              <w:tc>
                <w:tcPr>
                  <w:tcW w:w="315" w:type="pct"/>
                  <w:vMerge w:val="restart"/>
                  <w:tcBorders>
                    <w:tl2br w:val="nil"/>
                    <w:tr2bl w:val="nil"/>
                  </w:tcBorders>
                  <w:tcMar>
                    <w:top w:w="0" w:type="dxa"/>
                    <w:left w:w="28" w:type="dxa"/>
                    <w:bottom w:w="0" w:type="dxa"/>
                    <w:right w:w="28" w:type="dxa"/>
                  </w:tcMar>
                  <w:vAlign w:val="center"/>
                </w:tcPr>
                <w:p w14:paraId="777441ED">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基础减振+</w:t>
                  </w:r>
                </w:p>
                <w:p w14:paraId="42121CE2">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厂房隔声</w:t>
                  </w:r>
                </w:p>
              </w:tc>
              <w:tc>
                <w:tcPr>
                  <w:tcW w:w="315" w:type="pct"/>
                  <w:tcBorders>
                    <w:tl2br w:val="nil"/>
                    <w:tr2bl w:val="nil"/>
                  </w:tcBorders>
                  <w:tcMar>
                    <w:top w:w="0" w:type="dxa"/>
                    <w:left w:w="28" w:type="dxa"/>
                    <w:bottom w:w="0" w:type="dxa"/>
                    <w:right w:w="28" w:type="dxa"/>
                  </w:tcMar>
                  <w:vAlign w:val="center"/>
                </w:tcPr>
                <w:p w14:paraId="4BEAD75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55.288</w:t>
                  </w:r>
                </w:p>
              </w:tc>
              <w:tc>
                <w:tcPr>
                  <w:tcW w:w="315" w:type="pct"/>
                  <w:tcBorders>
                    <w:tl2br w:val="nil"/>
                    <w:tr2bl w:val="nil"/>
                  </w:tcBorders>
                  <w:tcMar>
                    <w:top w:w="0" w:type="dxa"/>
                    <w:left w:w="28" w:type="dxa"/>
                    <w:bottom w:w="0" w:type="dxa"/>
                    <w:right w:w="28" w:type="dxa"/>
                  </w:tcMar>
                  <w:vAlign w:val="center"/>
                </w:tcPr>
                <w:p w14:paraId="0B547BF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71.502</w:t>
                  </w:r>
                </w:p>
              </w:tc>
              <w:tc>
                <w:tcPr>
                  <w:tcW w:w="321" w:type="pct"/>
                  <w:tcBorders>
                    <w:tl2br w:val="nil"/>
                    <w:tr2bl w:val="nil"/>
                  </w:tcBorders>
                  <w:tcMar>
                    <w:top w:w="0" w:type="dxa"/>
                    <w:left w:w="28" w:type="dxa"/>
                    <w:bottom w:w="0" w:type="dxa"/>
                    <w:right w:w="28" w:type="dxa"/>
                  </w:tcMar>
                  <w:vAlign w:val="center"/>
                </w:tcPr>
                <w:p w14:paraId="4323F47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w:t>
                  </w:r>
                </w:p>
              </w:tc>
              <w:tc>
                <w:tcPr>
                  <w:tcW w:w="315" w:type="pct"/>
                  <w:tcBorders>
                    <w:tl2br w:val="nil"/>
                    <w:tr2bl w:val="nil"/>
                  </w:tcBorders>
                  <w:tcMar>
                    <w:top w:w="0" w:type="dxa"/>
                    <w:left w:w="28" w:type="dxa"/>
                    <w:bottom w:w="0" w:type="dxa"/>
                    <w:right w:w="28" w:type="dxa"/>
                  </w:tcMar>
                  <w:vAlign w:val="center"/>
                </w:tcPr>
                <w:p w14:paraId="5566553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3</w:t>
                  </w:r>
                </w:p>
              </w:tc>
              <w:tc>
                <w:tcPr>
                  <w:tcW w:w="363" w:type="pct"/>
                  <w:tcBorders>
                    <w:tl2br w:val="nil"/>
                    <w:tr2bl w:val="nil"/>
                  </w:tcBorders>
                  <w:tcMar>
                    <w:top w:w="0" w:type="dxa"/>
                    <w:left w:w="28" w:type="dxa"/>
                    <w:bottom w:w="0" w:type="dxa"/>
                    <w:right w:w="28" w:type="dxa"/>
                  </w:tcMar>
                  <w:vAlign w:val="center"/>
                </w:tcPr>
                <w:p w14:paraId="51E1077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68</w:t>
                  </w:r>
                </w:p>
              </w:tc>
              <w:tc>
                <w:tcPr>
                  <w:tcW w:w="211" w:type="pct"/>
                  <w:vMerge w:val="restart"/>
                  <w:tcBorders>
                    <w:tl2br w:val="nil"/>
                    <w:tr2bl w:val="nil"/>
                  </w:tcBorders>
                  <w:tcMar>
                    <w:top w:w="0" w:type="dxa"/>
                    <w:left w:w="28" w:type="dxa"/>
                    <w:bottom w:w="0" w:type="dxa"/>
                    <w:right w:w="28" w:type="dxa"/>
                  </w:tcMar>
                  <w:vAlign w:val="center"/>
                </w:tcPr>
                <w:p w14:paraId="40E80ED6">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昼间</w:t>
                  </w:r>
                </w:p>
              </w:tc>
              <w:tc>
                <w:tcPr>
                  <w:tcW w:w="414" w:type="pct"/>
                  <w:tcBorders>
                    <w:tl2br w:val="nil"/>
                    <w:tr2bl w:val="nil"/>
                  </w:tcBorders>
                  <w:tcMar>
                    <w:top w:w="0" w:type="dxa"/>
                    <w:left w:w="28" w:type="dxa"/>
                    <w:bottom w:w="0" w:type="dxa"/>
                    <w:right w:w="28" w:type="dxa"/>
                  </w:tcMar>
                  <w:vAlign w:val="center"/>
                </w:tcPr>
                <w:p w14:paraId="218E00D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12</w:t>
                  </w:r>
                </w:p>
              </w:tc>
              <w:tc>
                <w:tcPr>
                  <w:tcW w:w="369" w:type="pct"/>
                  <w:tcBorders>
                    <w:tl2br w:val="nil"/>
                    <w:tr2bl w:val="nil"/>
                  </w:tcBorders>
                  <w:tcMar>
                    <w:top w:w="0" w:type="dxa"/>
                    <w:left w:w="28" w:type="dxa"/>
                    <w:bottom w:w="0" w:type="dxa"/>
                    <w:right w:w="28" w:type="dxa"/>
                  </w:tcMar>
                  <w:vAlign w:val="center"/>
                </w:tcPr>
                <w:p w14:paraId="5FC2C418">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56</w:t>
                  </w:r>
                </w:p>
              </w:tc>
              <w:tc>
                <w:tcPr>
                  <w:tcW w:w="328" w:type="pct"/>
                  <w:tcBorders>
                    <w:tl2br w:val="nil"/>
                    <w:tr2bl w:val="nil"/>
                  </w:tcBorders>
                  <w:tcMar>
                    <w:top w:w="0" w:type="dxa"/>
                    <w:left w:w="28" w:type="dxa"/>
                    <w:bottom w:w="0" w:type="dxa"/>
                    <w:right w:w="28" w:type="dxa"/>
                  </w:tcMar>
                  <w:vAlign w:val="center"/>
                </w:tcPr>
                <w:p w14:paraId="4DE9A8F4">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1m</w:t>
                  </w:r>
                </w:p>
              </w:tc>
            </w:tr>
            <w:tr w14:paraId="606EB45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01" w:type="pct"/>
                  <w:tcBorders>
                    <w:tl2br w:val="nil"/>
                    <w:tr2bl w:val="nil"/>
                  </w:tcBorders>
                  <w:tcMar>
                    <w:top w:w="0" w:type="dxa"/>
                    <w:left w:w="28" w:type="dxa"/>
                    <w:bottom w:w="0" w:type="dxa"/>
                    <w:right w:w="28" w:type="dxa"/>
                  </w:tcMar>
                  <w:vAlign w:val="center"/>
                </w:tcPr>
                <w:p w14:paraId="5ABE22A7">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w:t>
                  </w:r>
                </w:p>
              </w:tc>
              <w:tc>
                <w:tcPr>
                  <w:tcW w:w="250" w:type="pct"/>
                  <w:vMerge w:val="continue"/>
                  <w:tcBorders>
                    <w:tl2br w:val="nil"/>
                    <w:tr2bl w:val="nil"/>
                  </w:tcBorders>
                  <w:tcMar>
                    <w:top w:w="0" w:type="dxa"/>
                    <w:left w:w="28" w:type="dxa"/>
                    <w:bottom w:w="0" w:type="dxa"/>
                    <w:right w:w="28" w:type="dxa"/>
                  </w:tcMar>
                  <w:vAlign w:val="center"/>
                </w:tcPr>
                <w:p w14:paraId="4B443AE2">
                  <w:pPr>
                    <w:jc w:val="center"/>
                    <w:rPr>
                      <w:rFonts w:ascii="Times New Roman" w:hAnsi="Times New Roman" w:eastAsia="宋体" w:cs="Times New Roman"/>
                      <w:color w:val="000000"/>
                      <w:szCs w:val="21"/>
                    </w:rPr>
                  </w:pPr>
                </w:p>
              </w:tc>
              <w:tc>
                <w:tcPr>
                  <w:tcW w:w="664" w:type="pct"/>
                  <w:tcBorders>
                    <w:tl2br w:val="nil"/>
                    <w:tr2bl w:val="nil"/>
                  </w:tcBorders>
                  <w:tcMar>
                    <w:top w:w="0" w:type="dxa"/>
                    <w:left w:w="28" w:type="dxa"/>
                    <w:bottom w:w="0" w:type="dxa"/>
                    <w:right w:w="28" w:type="dxa"/>
                  </w:tcMar>
                  <w:vAlign w:val="center"/>
                </w:tcPr>
                <w:p w14:paraId="1393BE41">
                  <w:pPr>
                    <w:keepLines/>
                    <w:wordWrap w:val="0"/>
                    <w:topLinePunct/>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泵组</w:t>
                  </w:r>
                </w:p>
              </w:tc>
              <w:tc>
                <w:tcPr>
                  <w:tcW w:w="244" w:type="pct"/>
                  <w:tcBorders>
                    <w:tl2br w:val="nil"/>
                    <w:tr2bl w:val="nil"/>
                  </w:tcBorders>
                  <w:tcMar>
                    <w:top w:w="0" w:type="dxa"/>
                    <w:left w:w="28" w:type="dxa"/>
                    <w:bottom w:w="0" w:type="dxa"/>
                    <w:right w:w="28" w:type="dxa"/>
                  </w:tcMar>
                  <w:vAlign w:val="center"/>
                </w:tcPr>
                <w:p w14:paraId="25F6886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369" w:type="pct"/>
                  <w:tcBorders>
                    <w:tl2br w:val="nil"/>
                    <w:tr2bl w:val="nil"/>
                  </w:tcBorders>
                  <w:tcMar>
                    <w:top w:w="0" w:type="dxa"/>
                    <w:left w:w="28" w:type="dxa"/>
                    <w:bottom w:w="0" w:type="dxa"/>
                    <w:right w:w="28" w:type="dxa"/>
                  </w:tcMar>
                  <w:vAlign w:val="center"/>
                </w:tcPr>
                <w:p w14:paraId="7DDB812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80</w:t>
                  </w:r>
                </w:p>
              </w:tc>
              <w:tc>
                <w:tcPr>
                  <w:tcW w:w="315" w:type="pct"/>
                  <w:vMerge w:val="continue"/>
                  <w:tcBorders>
                    <w:tl2br w:val="nil"/>
                    <w:tr2bl w:val="nil"/>
                  </w:tcBorders>
                  <w:tcMar>
                    <w:top w:w="0" w:type="dxa"/>
                    <w:left w:w="28" w:type="dxa"/>
                    <w:bottom w:w="0" w:type="dxa"/>
                    <w:right w:w="28" w:type="dxa"/>
                  </w:tcMar>
                  <w:vAlign w:val="center"/>
                </w:tcPr>
                <w:p w14:paraId="68F695AC">
                  <w:pPr>
                    <w:jc w:val="center"/>
                    <w:rPr>
                      <w:rFonts w:ascii="Times New Roman" w:hAnsi="Times New Roman" w:eastAsia="宋体" w:cs="Times New Roman"/>
                      <w:color w:val="000000"/>
                      <w:szCs w:val="21"/>
                    </w:rPr>
                  </w:pPr>
                </w:p>
              </w:tc>
              <w:tc>
                <w:tcPr>
                  <w:tcW w:w="315" w:type="pct"/>
                  <w:tcBorders>
                    <w:tl2br w:val="nil"/>
                    <w:tr2bl w:val="nil"/>
                  </w:tcBorders>
                  <w:tcMar>
                    <w:top w:w="0" w:type="dxa"/>
                    <w:left w:w="28" w:type="dxa"/>
                    <w:bottom w:w="0" w:type="dxa"/>
                    <w:right w:w="28" w:type="dxa"/>
                  </w:tcMar>
                  <w:vAlign w:val="center"/>
                </w:tcPr>
                <w:p w14:paraId="56D8E5E3">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60.30</w:t>
                  </w:r>
                </w:p>
              </w:tc>
              <w:tc>
                <w:tcPr>
                  <w:tcW w:w="315" w:type="pct"/>
                  <w:tcBorders>
                    <w:tl2br w:val="nil"/>
                    <w:tr2bl w:val="nil"/>
                  </w:tcBorders>
                  <w:tcMar>
                    <w:top w:w="0" w:type="dxa"/>
                    <w:left w:w="28" w:type="dxa"/>
                    <w:bottom w:w="0" w:type="dxa"/>
                    <w:right w:w="28" w:type="dxa"/>
                  </w:tcMar>
                  <w:vAlign w:val="center"/>
                </w:tcPr>
                <w:p w14:paraId="59F81FB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71.502</w:t>
                  </w:r>
                </w:p>
              </w:tc>
              <w:tc>
                <w:tcPr>
                  <w:tcW w:w="321" w:type="pct"/>
                  <w:tcBorders>
                    <w:tl2br w:val="nil"/>
                    <w:tr2bl w:val="nil"/>
                  </w:tcBorders>
                  <w:tcMar>
                    <w:top w:w="0" w:type="dxa"/>
                    <w:left w:w="28" w:type="dxa"/>
                    <w:bottom w:w="0" w:type="dxa"/>
                    <w:right w:w="28" w:type="dxa"/>
                  </w:tcMar>
                  <w:vAlign w:val="center"/>
                </w:tcPr>
                <w:p w14:paraId="1EE578B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0.5</w:t>
                  </w:r>
                </w:p>
              </w:tc>
              <w:tc>
                <w:tcPr>
                  <w:tcW w:w="315" w:type="pct"/>
                  <w:tcBorders>
                    <w:tl2br w:val="nil"/>
                    <w:tr2bl w:val="nil"/>
                  </w:tcBorders>
                  <w:tcMar>
                    <w:top w:w="0" w:type="dxa"/>
                    <w:left w:w="28" w:type="dxa"/>
                    <w:bottom w:w="0" w:type="dxa"/>
                    <w:right w:w="28" w:type="dxa"/>
                  </w:tcMar>
                  <w:vAlign w:val="center"/>
                </w:tcPr>
                <w:p w14:paraId="6453BD2B">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3.5</w:t>
                  </w:r>
                </w:p>
              </w:tc>
              <w:tc>
                <w:tcPr>
                  <w:tcW w:w="363" w:type="pct"/>
                  <w:tcBorders>
                    <w:tl2br w:val="nil"/>
                    <w:tr2bl w:val="nil"/>
                  </w:tcBorders>
                  <w:tcMar>
                    <w:top w:w="0" w:type="dxa"/>
                    <w:left w:w="28" w:type="dxa"/>
                    <w:bottom w:w="0" w:type="dxa"/>
                    <w:right w:w="28" w:type="dxa"/>
                  </w:tcMar>
                  <w:vAlign w:val="center"/>
                </w:tcPr>
                <w:p w14:paraId="7B8D148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61</w:t>
                  </w:r>
                </w:p>
              </w:tc>
              <w:tc>
                <w:tcPr>
                  <w:tcW w:w="211" w:type="pct"/>
                  <w:vMerge w:val="continue"/>
                  <w:tcBorders>
                    <w:tl2br w:val="nil"/>
                    <w:tr2bl w:val="nil"/>
                  </w:tcBorders>
                  <w:tcMar>
                    <w:top w:w="0" w:type="dxa"/>
                    <w:left w:w="28" w:type="dxa"/>
                    <w:bottom w:w="0" w:type="dxa"/>
                    <w:right w:w="28" w:type="dxa"/>
                  </w:tcMar>
                  <w:vAlign w:val="center"/>
                </w:tcPr>
                <w:p w14:paraId="6E596D2F">
                  <w:pPr>
                    <w:jc w:val="center"/>
                    <w:rPr>
                      <w:rFonts w:ascii="Times New Roman" w:hAnsi="Times New Roman" w:eastAsia="宋体" w:cs="Times New Roman"/>
                      <w:color w:val="000000"/>
                      <w:szCs w:val="21"/>
                    </w:rPr>
                  </w:pPr>
                </w:p>
              </w:tc>
              <w:tc>
                <w:tcPr>
                  <w:tcW w:w="414" w:type="pct"/>
                  <w:tcBorders>
                    <w:tl2br w:val="nil"/>
                    <w:tr2bl w:val="nil"/>
                  </w:tcBorders>
                  <w:tcMar>
                    <w:top w:w="0" w:type="dxa"/>
                    <w:left w:w="28" w:type="dxa"/>
                    <w:bottom w:w="0" w:type="dxa"/>
                    <w:right w:w="28" w:type="dxa"/>
                  </w:tcMar>
                  <w:vAlign w:val="center"/>
                </w:tcPr>
                <w:p w14:paraId="77BEA4DF">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12</w:t>
                  </w:r>
                </w:p>
              </w:tc>
              <w:tc>
                <w:tcPr>
                  <w:tcW w:w="369" w:type="pct"/>
                  <w:tcBorders>
                    <w:tl2br w:val="nil"/>
                    <w:tr2bl w:val="nil"/>
                  </w:tcBorders>
                  <w:tcMar>
                    <w:top w:w="0" w:type="dxa"/>
                    <w:left w:w="28" w:type="dxa"/>
                    <w:bottom w:w="0" w:type="dxa"/>
                    <w:right w:w="28" w:type="dxa"/>
                  </w:tcMar>
                  <w:vAlign w:val="center"/>
                </w:tcPr>
                <w:p w14:paraId="67C80881">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49</w:t>
                  </w:r>
                </w:p>
              </w:tc>
              <w:tc>
                <w:tcPr>
                  <w:tcW w:w="328" w:type="pct"/>
                  <w:tcBorders>
                    <w:tl2br w:val="nil"/>
                    <w:tr2bl w:val="nil"/>
                  </w:tcBorders>
                  <w:tcMar>
                    <w:top w:w="0" w:type="dxa"/>
                    <w:left w:w="28" w:type="dxa"/>
                    <w:bottom w:w="0" w:type="dxa"/>
                    <w:right w:w="28" w:type="dxa"/>
                  </w:tcMar>
                  <w:vAlign w:val="center"/>
                </w:tcPr>
                <w:p w14:paraId="7FFB22B0">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1m</w:t>
                  </w:r>
                </w:p>
              </w:tc>
            </w:tr>
            <w:tr w14:paraId="1FD2D9E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01" w:type="pct"/>
                  <w:tcBorders>
                    <w:tl2br w:val="nil"/>
                    <w:tr2bl w:val="nil"/>
                  </w:tcBorders>
                  <w:tcMar>
                    <w:top w:w="0" w:type="dxa"/>
                    <w:left w:w="28" w:type="dxa"/>
                    <w:bottom w:w="0" w:type="dxa"/>
                    <w:right w:w="28" w:type="dxa"/>
                  </w:tcMar>
                  <w:vAlign w:val="center"/>
                </w:tcPr>
                <w:p w14:paraId="120A72DC">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3</w:t>
                  </w:r>
                </w:p>
              </w:tc>
              <w:tc>
                <w:tcPr>
                  <w:tcW w:w="250" w:type="pct"/>
                  <w:vMerge w:val="continue"/>
                  <w:tcBorders>
                    <w:tl2br w:val="nil"/>
                    <w:tr2bl w:val="nil"/>
                  </w:tcBorders>
                  <w:tcMar>
                    <w:top w:w="0" w:type="dxa"/>
                    <w:left w:w="28" w:type="dxa"/>
                    <w:bottom w:w="0" w:type="dxa"/>
                    <w:right w:w="28" w:type="dxa"/>
                  </w:tcMar>
                  <w:vAlign w:val="center"/>
                </w:tcPr>
                <w:p w14:paraId="35E52D4D">
                  <w:pPr>
                    <w:jc w:val="center"/>
                    <w:rPr>
                      <w:rFonts w:ascii="Times New Roman" w:hAnsi="Times New Roman" w:eastAsia="宋体" w:cs="Times New Roman"/>
                      <w:color w:val="000000"/>
                      <w:szCs w:val="21"/>
                    </w:rPr>
                  </w:pPr>
                </w:p>
              </w:tc>
              <w:tc>
                <w:tcPr>
                  <w:tcW w:w="664" w:type="pct"/>
                  <w:tcBorders>
                    <w:tl2br w:val="nil"/>
                    <w:tr2bl w:val="nil"/>
                  </w:tcBorders>
                  <w:tcMar>
                    <w:top w:w="0" w:type="dxa"/>
                    <w:left w:w="28" w:type="dxa"/>
                    <w:bottom w:w="0" w:type="dxa"/>
                    <w:right w:w="28" w:type="dxa"/>
                  </w:tcMar>
                  <w:vAlign w:val="center"/>
                </w:tcPr>
                <w:p w14:paraId="3407B279">
                  <w:pPr>
                    <w:keepLines/>
                    <w:wordWrap w:val="0"/>
                    <w:topLinePunct/>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高压阀门、管道</w:t>
                  </w:r>
                </w:p>
              </w:tc>
              <w:tc>
                <w:tcPr>
                  <w:tcW w:w="244" w:type="pct"/>
                  <w:tcBorders>
                    <w:tl2br w:val="nil"/>
                    <w:tr2bl w:val="nil"/>
                  </w:tcBorders>
                  <w:tcMar>
                    <w:top w:w="0" w:type="dxa"/>
                    <w:left w:w="28" w:type="dxa"/>
                    <w:bottom w:w="0" w:type="dxa"/>
                    <w:right w:w="28" w:type="dxa"/>
                  </w:tcMar>
                  <w:vAlign w:val="center"/>
                </w:tcPr>
                <w:p w14:paraId="26569B15">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369" w:type="pct"/>
                  <w:tcBorders>
                    <w:tl2br w:val="nil"/>
                    <w:tr2bl w:val="nil"/>
                  </w:tcBorders>
                  <w:tcMar>
                    <w:top w:w="0" w:type="dxa"/>
                    <w:left w:w="28" w:type="dxa"/>
                    <w:bottom w:w="0" w:type="dxa"/>
                    <w:right w:w="28" w:type="dxa"/>
                  </w:tcMar>
                  <w:vAlign w:val="center"/>
                </w:tcPr>
                <w:p w14:paraId="6388474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75</w:t>
                  </w:r>
                </w:p>
              </w:tc>
              <w:tc>
                <w:tcPr>
                  <w:tcW w:w="315" w:type="pct"/>
                  <w:vMerge w:val="continue"/>
                  <w:tcBorders>
                    <w:tl2br w:val="nil"/>
                    <w:tr2bl w:val="nil"/>
                  </w:tcBorders>
                  <w:tcMar>
                    <w:top w:w="0" w:type="dxa"/>
                    <w:left w:w="28" w:type="dxa"/>
                    <w:bottom w:w="0" w:type="dxa"/>
                    <w:right w:w="28" w:type="dxa"/>
                  </w:tcMar>
                  <w:vAlign w:val="center"/>
                </w:tcPr>
                <w:p w14:paraId="7E232FAD">
                  <w:pPr>
                    <w:jc w:val="center"/>
                    <w:rPr>
                      <w:rFonts w:ascii="Times New Roman" w:hAnsi="Times New Roman" w:eastAsia="宋体" w:cs="Times New Roman"/>
                      <w:color w:val="000000"/>
                      <w:szCs w:val="21"/>
                    </w:rPr>
                  </w:pPr>
                </w:p>
              </w:tc>
              <w:tc>
                <w:tcPr>
                  <w:tcW w:w="315" w:type="pct"/>
                  <w:tcBorders>
                    <w:tl2br w:val="nil"/>
                    <w:tr2bl w:val="nil"/>
                  </w:tcBorders>
                  <w:tcMar>
                    <w:top w:w="0" w:type="dxa"/>
                    <w:left w:w="28" w:type="dxa"/>
                    <w:bottom w:w="0" w:type="dxa"/>
                    <w:right w:w="28" w:type="dxa"/>
                  </w:tcMar>
                  <w:vAlign w:val="center"/>
                </w:tcPr>
                <w:p w14:paraId="26E90B97">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60.5</w:t>
                  </w:r>
                </w:p>
              </w:tc>
              <w:tc>
                <w:tcPr>
                  <w:tcW w:w="315" w:type="pct"/>
                  <w:tcBorders>
                    <w:tl2br w:val="nil"/>
                    <w:tr2bl w:val="nil"/>
                  </w:tcBorders>
                  <w:tcMar>
                    <w:top w:w="0" w:type="dxa"/>
                    <w:left w:w="28" w:type="dxa"/>
                    <w:bottom w:w="0" w:type="dxa"/>
                    <w:right w:w="28" w:type="dxa"/>
                  </w:tcMar>
                  <w:vAlign w:val="center"/>
                </w:tcPr>
                <w:p w14:paraId="556E708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71.502</w:t>
                  </w:r>
                </w:p>
              </w:tc>
              <w:tc>
                <w:tcPr>
                  <w:tcW w:w="321" w:type="pct"/>
                  <w:tcBorders>
                    <w:tl2br w:val="nil"/>
                    <w:tr2bl w:val="nil"/>
                  </w:tcBorders>
                  <w:tcMar>
                    <w:top w:w="0" w:type="dxa"/>
                    <w:left w:w="28" w:type="dxa"/>
                    <w:bottom w:w="0" w:type="dxa"/>
                    <w:right w:w="28" w:type="dxa"/>
                  </w:tcMar>
                  <w:vAlign w:val="center"/>
                </w:tcPr>
                <w:p w14:paraId="08E0C31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p>
              </w:tc>
              <w:tc>
                <w:tcPr>
                  <w:tcW w:w="315" w:type="pct"/>
                  <w:tcBorders>
                    <w:tl2br w:val="nil"/>
                    <w:tr2bl w:val="nil"/>
                  </w:tcBorders>
                  <w:tcMar>
                    <w:top w:w="0" w:type="dxa"/>
                    <w:left w:w="28" w:type="dxa"/>
                    <w:bottom w:w="0" w:type="dxa"/>
                    <w:right w:w="28" w:type="dxa"/>
                  </w:tcMar>
                  <w:vAlign w:val="center"/>
                </w:tcPr>
                <w:p w14:paraId="31AA0CF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3.5</w:t>
                  </w:r>
                </w:p>
              </w:tc>
              <w:tc>
                <w:tcPr>
                  <w:tcW w:w="363" w:type="pct"/>
                  <w:tcBorders>
                    <w:tl2br w:val="nil"/>
                    <w:tr2bl w:val="nil"/>
                  </w:tcBorders>
                  <w:tcMar>
                    <w:top w:w="0" w:type="dxa"/>
                    <w:left w:w="28" w:type="dxa"/>
                    <w:bottom w:w="0" w:type="dxa"/>
                    <w:right w:w="28" w:type="dxa"/>
                  </w:tcMar>
                  <w:vAlign w:val="center"/>
                </w:tcPr>
                <w:p w14:paraId="63C07356">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56</w:t>
                  </w:r>
                </w:p>
              </w:tc>
              <w:tc>
                <w:tcPr>
                  <w:tcW w:w="211" w:type="pct"/>
                  <w:vMerge w:val="continue"/>
                  <w:tcBorders>
                    <w:tl2br w:val="nil"/>
                    <w:tr2bl w:val="nil"/>
                  </w:tcBorders>
                  <w:tcMar>
                    <w:top w:w="0" w:type="dxa"/>
                    <w:left w:w="28" w:type="dxa"/>
                    <w:bottom w:w="0" w:type="dxa"/>
                    <w:right w:w="28" w:type="dxa"/>
                  </w:tcMar>
                  <w:vAlign w:val="center"/>
                </w:tcPr>
                <w:p w14:paraId="6915A400">
                  <w:pPr>
                    <w:jc w:val="center"/>
                    <w:rPr>
                      <w:rFonts w:ascii="Times New Roman" w:hAnsi="Times New Roman" w:eastAsia="宋体" w:cs="Times New Roman"/>
                      <w:color w:val="000000"/>
                      <w:szCs w:val="21"/>
                    </w:rPr>
                  </w:pPr>
                </w:p>
              </w:tc>
              <w:tc>
                <w:tcPr>
                  <w:tcW w:w="414" w:type="pct"/>
                  <w:tcBorders>
                    <w:tl2br w:val="nil"/>
                    <w:tr2bl w:val="nil"/>
                  </w:tcBorders>
                  <w:tcMar>
                    <w:top w:w="0" w:type="dxa"/>
                    <w:left w:w="28" w:type="dxa"/>
                    <w:bottom w:w="0" w:type="dxa"/>
                    <w:right w:w="28" w:type="dxa"/>
                  </w:tcMar>
                  <w:vAlign w:val="center"/>
                </w:tcPr>
                <w:p w14:paraId="7E417434">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12</w:t>
                  </w:r>
                </w:p>
              </w:tc>
              <w:tc>
                <w:tcPr>
                  <w:tcW w:w="369" w:type="pct"/>
                  <w:tcBorders>
                    <w:tl2br w:val="nil"/>
                    <w:tr2bl w:val="nil"/>
                  </w:tcBorders>
                  <w:tcMar>
                    <w:top w:w="0" w:type="dxa"/>
                    <w:left w:w="28" w:type="dxa"/>
                    <w:bottom w:w="0" w:type="dxa"/>
                    <w:right w:w="28" w:type="dxa"/>
                  </w:tcMar>
                  <w:vAlign w:val="center"/>
                </w:tcPr>
                <w:p w14:paraId="3013F7C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44</w:t>
                  </w:r>
                </w:p>
              </w:tc>
              <w:tc>
                <w:tcPr>
                  <w:tcW w:w="328" w:type="pct"/>
                  <w:tcBorders>
                    <w:tl2br w:val="nil"/>
                    <w:tr2bl w:val="nil"/>
                  </w:tcBorders>
                  <w:tcMar>
                    <w:top w:w="0" w:type="dxa"/>
                    <w:left w:w="28" w:type="dxa"/>
                    <w:bottom w:w="0" w:type="dxa"/>
                    <w:right w:w="28" w:type="dxa"/>
                  </w:tcMar>
                  <w:vAlign w:val="center"/>
                </w:tcPr>
                <w:p w14:paraId="0915AE78">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1m</w:t>
                  </w:r>
                </w:p>
              </w:tc>
            </w:tr>
            <w:tr w14:paraId="5436E8E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01" w:type="pct"/>
                  <w:tcBorders>
                    <w:tl2br w:val="nil"/>
                    <w:tr2bl w:val="nil"/>
                  </w:tcBorders>
                  <w:tcMar>
                    <w:top w:w="0" w:type="dxa"/>
                    <w:left w:w="28" w:type="dxa"/>
                    <w:bottom w:w="0" w:type="dxa"/>
                    <w:right w:w="28" w:type="dxa"/>
                  </w:tcMar>
                  <w:vAlign w:val="center"/>
                </w:tcPr>
                <w:p w14:paraId="76FE687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4</w:t>
                  </w:r>
                </w:p>
              </w:tc>
              <w:tc>
                <w:tcPr>
                  <w:tcW w:w="250" w:type="pct"/>
                  <w:vMerge w:val="continue"/>
                  <w:tcBorders>
                    <w:tl2br w:val="nil"/>
                    <w:tr2bl w:val="nil"/>
                  </w:tcBorders>
                  <w:tcMar>
                    <w:top w:w="0" w:type="dxa"/>
                    <w:left w:w="28" w:type="dxa"/>
                    <w:bottom w:w="0" w:type="dxa"/>
                    <w:right w:w="28" w:type="dxa"/>
                  </w:tcMar>
                  <w:vAlign w:val="center"/>
                </w:tcPr>
                <w:p w14:paraId="18FB104D">
                  <w:pPr>
                    <w:jc w:val="center"/>
                    <w:rPr>
                      <w:rFonts w:ascii="Times New Roman" w:hAnsi="Times New Roman" w:eastAsia="宋体" w:cs="Times New Roman"/>
                      <w:color w:val="000000"/>
                      <w:szCs w:val="21"/>
                    </w:rPr>
                  </w:pPr>
                </w:p>
              </w:tc>
              <w:tc>
                <w:tcPr>
                  <w:tcW w:w="664" w:type="pct"/>
                  <w:tcBorders>
                    <w:tl2br w:val="nil"/>
                    <w:tr2bl w:val="nil"/>
                  </w:tcBorders>
                  <w:tcMar>
                    <w:top w:w="0" w:type="dxa"/>
                    <w:left w:w="28" w:type="dxa"/>
                    <w:bottom w:w="0" w:type="dxa"/>
                    <w:right w:w="28" w:type="dxa"/>
                  </w:tcMar>
                  <w:vAlign w:val="center"/>
                </w:tcPr>
                <w:p w14:paraId="72AD16BD">
                  <w:pPr>
                    <w:keepLines/>
                    <w:wordWrap w:val="0"/>
                    <w:topLinePunct/>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szCs w:val="21"/>
                    </w:rPr>
                    <w:t>风机</w:t>
                  </w:r>
                </w:p>
              </w:tc>
              <w:tc>
                <w:tcPr>
                  <w:tcW w:w="244" w:type="pct"/>
                  <w:tcBorders>
                    <w:tl2br w:val="nil"/>
                    <w:tr2bl w:val="nil"/>
                  </w:tcBorders>
                  <w:tcMar>
                    <w:top w:w="0" w:type="dxa"/>
                    <w:left w:w="28" w:type="dxa"/>
                    <w:bottom w:w="0" w:type="dxa"/>
                    <w:right w:w="28" w:type="dxa"/>
                  </w:tcMar>
                  <w:vAlign w:val="center"/>
                </w:tcPr>
                <w:p w14:paraId="754E366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w:t>
                  </w:r>
                </w:p>
              </w:tc>
              <w:tc>
                <w:tcPr>
                  <w:tcW w:w="369" w:type="pct"/>
                  <w:tcBorders>
                    <w:tl2br w:val="nil"/>
                    <w:tr2bl w:val="nil"/>
                  </w:tcBorders>
                  <w:tcMar>
                    <w:top w:w="0" w:type="dxa"/>
                    <w:left w:w="28" w:type="dxa"/>
                    <w:bottom w:w="0" w:type="dxa"/>
                    <w:right w:w="28" w:type="dxa"/>
                  </w:tcMar>
                  <w:vAlign w:val="center"/>
                </w:tcPr>
                <w:p w14:paraId="548A4DC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85</w:t>
                  </w:r>
                </w:p>
              </w:tc>
              <w:tc>
                <w:tcPr>
                  <w:tcW w:w="315" w:type="pct"/>
                  <w:vMerge w:val="continue"/>
                  <w:tcBorders>
                    <w:tl2br w:val="nil"/>
                    <w:tr2bl w:val="nil"/>
                  </w:tcBorders>
                  <w:tcMar>
                    <w:top w:w="0" w:type="dxa"/>
                    <w:left w:w="28" w:type="dxa"/>
                    <w:bottom w:w="0" w:type="dxa"/>
                    <w:right w:w="28" w:type="dxa"/>
                  </w:tcMar>
                  <w:vAlign w:val="center"/>
                </w:tcPr>
                <w:p w14:paraId="58D5EFCE">
                  <w:pPr>
                    <w:jc w:val="center"/>
                    <w:rPr>
                      <w:rFonts w:ascii="Times New Roman" w:hAnsi="Times New Roman" w:eastAsia="宋体" w:cs="Times New Roman"/>
                      <w:color w:val="000000"/>
                      <w:szCs w:val="21"/>
                    </w:rPr>
                  </w:pPr>
                </w:p>
              </w:tc>
              <w:tc>
                <w:tcPr>
                  <w:tcW w:w="315" w:type="pct"/>
                  <w:tcBorders>
                    <w:tl2br w:val="nil"/>
                    <w:tr2bl w:val="nil"/>
                  </w:tcBorders>
                  <w:tcMar>
                    <w:top w:w="0" w:type="dxa"/>
                    <w:left w:w="28" w:type="dxa"/>
                    <w:bottom w:w="0" w:type="dxa"/>
                    <w:right w:w="28" w:type="dxa"/>
                  </w:tcMar>
                  <w:vAlign w:val="center"/>
                </w:tcPr>
                <w:p w14:paraId="225D93FE">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52.54</w:t>
                  </w:r>
                </w:p>
              </w:tc>
              <w:tc>
                <w:tcPr>
                  <w:tcW w:w="315" w:type="pct"/>
                  <w:tcBorders>
                    <w:tl2br w:val="nil"/>
                    <w:tr2bl w:val="nil"/>
                  </w:tcBorders>
                  <w:tcMar>
                    <w:top w:w="0" w:type="dxa"/>
                    <w:left w:w="28" w:type="dxa"/>
                    <w:bottom w:w="0" w:type="dxa"/>
                    <w:right w:w="28" w:type="dxa"/>
                  </w:tcMar>
                  <w:vAlign w:val="center"/>
                </w:tcPr>
                <w:p w14:paraId="7B034F2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71.502</w:t>
                  </w:r>
                </w:p>
              </w:tc>
              <w:tc>
                <w:tcPr>
                  <w:tcW w:w="321" w:type="pct"/>
                  <w:tcBorders>
                    <w:tl2br w:val="nil"/>
                    <w:tr2bl w:val="nil"/>
                  </w:tcBorders>
                  <w:tcMar>
                    <w:top w:w="0" w:type="dxa"/>
                    <w:left w:w="28" w:type="dxa"/>
                    <w:bottom w:w="0" w:type="dxa"/>
                    <w:right w:w="28" w:type="dxa"/>
                  </w:tcMar>
                  <w:vAlign w:val="center"/>
                </w:tcPr>
                <w:p w14:paraId="4900DA92">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w:t>
                  </w:r>
                </w:p>
              </w:tc>
              <w:tc>
                <w:tcPr>
                  <w:tcW w:w="315" w:type="pct"/>
                  <w:tcBorders>
                    <w:tl2br w:val="nil"/>
                    <w:tr2bl w:val="nil"/>
                  </w:tcBorders>
                  <w:tcMar>
                    <w:top w:w="0" w:type="dxa"/>
                    <w:left w:w="28" w:type="dxa"/>
                    <w:bottom w:w="0" w:type="dxa"/>
                    <w:right w:w="28" w:type="dxa"/>
                  </w:tcMar>
                  <w:vAlign w:val="center"/>
                </w:tcPr>
                <w:p w14:paraId="40CDE47D">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3.5</w:t>
                  </w:r>
                </w:p>
              </w:tc>
              <w:tc>
                <w:tcPr>
                  <w:tcW w:w="363" w:type="pct"/>
                  <w:tcBorders>
                    <w:tl2br w:val="nil"/>
                    <w:tr2bl w:val="nil"/>
                  </w:tcBorders>
                  <w:tcMar>
                    <w:top w:w="0" w:type="dxa"/>
                    <w:left w:w="28" w:type="dxa"/>
                    <w:bottom w:w="0" w:type="dxa"/>
                    <w:right w:w="28" w:type="dxa"/>
                  </w:tcMar>
                  <w:vAlign w:val="center"/>
                </w:tcPr>
                <w:p w14:paraId="35C353E5">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66</w:t>
                  </w:r>
                </w:p>
              </w:tc>
              <w:tc>
                <w:tcPr>
                  <w:tcW w:w="211" w:type="pct"/>
                  <w:vMerge w:val="continue"/>
                  <w:tcBorders>
                    <w:tl2br w:val="nil"/>
                    <w:tr2bl w:val="nil"/>
                  </w:tcBorders>
                  <w:tcMar>
                    <w:top w:w="0" w:type="dxa"/>
                    <w:left w:w="28" w:type="dxa"/>
                    <w:bottom w:w="0" w:type="dxa"/>
                    <w:right w:w="28" w:type="dxa"/>
                  </w:tcMar>
                  <w:vAlign w:val="center"/>
                </w:tcPr>
                <w:p w14:paraId="217652C8">
                  <w:pPr>
                    <w:jc w:val="center"/>
                    <w:rPr>
                      <w:rFonts w:ascii="Times New Roman" w:hAnsi="Times New Roman" w:eastAsia="宋体" w:cs="Times New Roman"/>
                      <w:color w:val="000000"/>
                      <w:szCs w:val="21"/>
                    </w:rPr>
                  </w:pPr>
                </w:p>
              </w:tc>
              <w:tc>
                <w:tcPr>
                  <w:tcW w:w="414" w:type="pct"/>
                  <w:tcBorders>
                    <w:tl2br w:val="nil"/>
                    <w:tr2bl w:val="nil"/>
                  </w:tcBorders>
                  <w:tcMar>
                    <w:top w:w="0" w:type="dxa"/>
                    <w:left w:w="28" w:type="dxa"/>
                    <w:bottom w:w="0" w:type="dxa"/>
                    <w:right w:w="28" w:type="dxa"/>
                  </w:tcMar>
                  <w:vAlign w:val="center"/>
                </w:tcPr>
                <w:p w14:paraId="53528D49">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12</w:t>
                  </w:r>
                </w:p>
              </w:tc>
              <w:tc>
                <w:tcPr>
                  <w:tcW w:w="369" w:type="pct"/>
                  <w:tcBorders>
                    <w:tl2br w:val="nil"/>
                    <w:tr2bl w:val="nil"/>
                  </w:tcBorders>
                  <w:tcMar>
                    <w:top w:w="0" w:type="dxa"/>
                    <w:left w:w="28" w:type="dxa"/>
                    <w:bottom w:w="0" w:type="dxa"/>
                    <w:right w:w="28" w:type="dxa"/>
                  </w:tcMar>
                  <w:vAlign w:val="center"/>
                </w:tcPr>
                <w:p w14:paraId="21030010">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54</w:t>
                  </w:r>
                </w:p>
              </w:tc>
              <w:tc>
                <w:tcPr>
                  <w:tcW w:w="328" w:type="pct"/>
                  <w:tcBorders>
                    <w:tl2br w:val="nil"/>
                    <w:tr2bl w:val="nil"/>
                  </w:tcBorders>
                  <w:tcMar>
                    <w:top w:w="0" w:type="dxa"/>
                    <w:left w:w="28" w:type="dxa"/>
                    <w:bottom w:w="0" w:type="dxa"/>
                    <w:right w:w="28" w:type="dxa"/>
                  </w:tcMar>
                  <w:vAlign w:val="center"/>
                </w:tcPr>
                <w:p w14:paraId="0B2637CA">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1m</w:t>
                  </w:r>
                </w:p>
              </w:tc>
            </w:tr>
            <w:tr w14:paraId="5FFF0C9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5000" w:type="pct"/>
                  <w:gridSpan w:val="15"/>
                  <w:tcBorders>
                    <w:tl2br w:val="nil"/>
                    <w:tr2bl w:val="nil"/>
                  </w:tcBorders>
                  <w:tcMar>
                    <w:top w:w="0" w:type="dxa"/>
                    <w:left w:w="28" w:type="dxa"/>
                    <w:bottom w:w="0" w:type="dxa"/>
                    <w:right w:w="28" w:type="dxa"/>
                  </w:tcMar>
                  <w:vAlign w:val="center"/>
                </w:tcPr>
                <w:p w14:paraId="59926379">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注：</w:t>
                  </w:r>
                  <w:r>
                    <w:rPr>
                      <w:rFonts w:hint="eastAsia" w:ascii="Times New Roman" w:hAnsi="Times New Roman" w:eastAsia="宋体" w:cs="Times New Roman"/>
                      <w:szCs w:val="21"/>
                    </w:rPr>
                    <w:t>以项目厂界西南角100.3066，39.2662为原点，东西向为X轴，东为正向；南北向为Y轴，北为正向。</w:t>
                  </w:r>
                </w:p>
              </w:tc>
            </w:tr>
          </w:tbl>
          <w:p w14:paraId="5692214B">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 xml:space="preserve"> 4.3</w:t>
            </w:r>
            <w:r>
              <w:rPr>
                <w:rFonts w:ascii="Times New Roman" w:hAnsi="Times New Roman" w:eastAsia="宋体" w:cs="Times New Roman"/>
                <w:b/>
                <w:bCs/>
                <w:sz w:val="24"/>
              </w:rPr>
              <w:t>噪声影响及达标分析</w:t>
            </w:r>
          </w:p>
          <w:p w14:paraId="3F14156F">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根据《环境影响评价技术导则 声环境》（HJ2.4-2021）附录</w:t>
            </w:r>
            <w:r>
              <w:rPr>
                <w:rFonts w:hint="eastAsia" w:ascii="Times New Roman" w:hAnsi="Times New Roman" w:eastAsia="宋体" w:cs="Times New Roman"/>
                <w:sz w:val="24"/>
              </w:rPr>
              <w:t>B</w:t>
            </w:r>
            <w:r>
              <w:rPr>
                <w:rFonts w:ascii="Times New Roman" w:hAnsi="Times New Roman" w:eastAsia="宋体" w:cs="Times New Roman"/>
                <w:sz w:val="24"/>
              </w:rPr>
              <w:t>中的工业噪声预测计算模型，将室内声源等效室外声源</w:t>
            </w:r>
            <w:r>
              <w:rPr>
                <w:rFonts w:hint="eastAsia" w:ascii="Times New Roman" w:hAnsi="Times New Roman" w:eastAsia="宋体" w:cs="Times New Roman"/>
                <w:sz w:val="24"/>
              </w:rPr>
              <w:t>声功率级的计算方法：</w:t>
            </w:r>
          </w:p>
          <w:p w14:paraId="00871F57">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color w:val="FF0000"/>
                <w:sz w:val="24"/>
              </w:rPr>
              <w:t>以预测点为原点，</w:t>
            </w:r>
            <w:r>
              <w:rPr>
                <w:rFonts w:hint="eastAsia" w:ascii="Times New Roman" w:hAnsi="Times New Roman" w:eastAsia="宋体" w:cs="Times New Roman"/>
                <w:sz w:val="24"/>
              </w:rPr>
              <w:t>选择一个坐标系，确定各噪声源位置，并测量各噪声源到预测点的距离，将各噪声源视为半自由状态噪声源，按声能量在空气传播中衰减模式可计算出某噪声源在预测点的声压级，预测模式如下。</w:t>
            </w:r>
          </w:p>
          <w:p w14:paraId="5ACA022E">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①室外噪声源</w:t>
            </w:r>
          </w:p>
          <w:p w14:paraId="12C273AF">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计算某个声源在预测点的倍频带声压级</w:t>
            </w:r>
          </w:p>
          <w:p w14:paraId="48DCBEC4">
            <w:pPr>
              <w:widowControl/>
              <w:snapToGrid w:val="0"/>
              <w:spacing w:before="60" w:after="160" w:line="259" w:lineRule="auto"/>
              <w:ind w:right="113" w:firstLine="210" w:firstLineChars="100"/>
              <w:rPr>
                <w:rFonts w:ascii="Times New Roman" w:hAnsi="Times New Roman" w:eastAsia="宋体" w:cs="Times New Roman"/>
                <w:color w:val="000000"/>
              </w:rPr>
            </w:pPr>
            <w:r>
              <w:rPr>
                <w:rFonts w:hint="eastAsia" w:ascii="Times New Roman" w:hAnsi="Times New Roman" w:eastAsia="宋体" w:cs="Times New Roman"/>
                <w:color w:val="000000"/>
              </w:rPr>
              <w:t xml:space="preserve">    </w:t>
            </w:r>
            <w:r>
              <w:rPr>
                <w:rFonts w:ascii="Times New Roman" w:hAnsi="Times New Roman" w:eastAsia="宋体" w:cs="Times New Roman"/>
                <w:color w:val="000000"/>
              </w:rPr>
              <w:drawing>
                <wp:inline distT="0" distB="0" distL="114300" distR="114300">
                  <wp:extent cx="2301240" cy="508000"/>
                  <wp:effectExtent l="0" t="0" r="10160" b="0"/>
                  <wp:docPr id="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6"/>
                          <pic:cNvPicPr>
                            <a:picLocks noChangeAspect="1"/>
                          </pic:cNvPicPr>
                        </pic:nvPicPr>
                        <pic:blipFill>
                          <a:blip r:embed="rId17"/>
                          <a:stretch>
                            <a:fillRect/>
                          </a:stretch>
                        </pic:blipFill>
                        <pic:spPr>
                          <a:xfrm>
                            <a:off x="0" y="0"/>
                            <a:ext cx="2301240" cy="508000"/>
                          </a:xfrm>
                          <a:prstGeom prst="rect">
                            <a:avLst/>
                          </a:prstGeom>
                          <a:noFill/>
                          <a:ln>
                            <a:noFill/>
                          </a:ln>
                        </pic:spPr>
                      </pic:pic>
                    </a:graphicData>
                  </a:graphic>
                </wp:inline>
              </w:drawing>
            </w:r>
          </w:p>
          <w:p w14:paraId="578F35E6">
            <w:pPr>
              <w:keepNext/>
              <w:widowControl/>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式中：Loct（r）——点声源在预测点产生的倍频带声压级；</w:t>
            </w:r>
          </w:p>
          <w:p w14:paraId="2C13AA72">
            <w:pPr>
              <w:keepNext/>
              <w:widowControl/>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Loct（r0）——参考位置 r0 处的倍频带声压级；</w:t>
            </w:r>
          </w:p>
          <w:p w14:paraId="097EB4DA">
            <w:pPr>
              <w:keepNext/>
              <w:widowControl/>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r——预测点距声源的距离，m；</w:t>
            </w:r>
          </w:p>
          <w:p w14:paraId="5CECD613">
            <w:pPr>
              <w:keepNext/>
              <w:widowControl/>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r0—参考位置距声源的距离，m；</w:t>
            </w:r>
          </w:p>
          <w:p w14:paraId="04DD90AA">
            <w:pPr>
              <w:keepNext/>
              <w:widowControl/>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ΔLoct——各种因素引起的衰减量（包括声屏障、遮挡物、空气吸收、地面效应等引起的衰减量）。</w:t>
            </w:r>
          </w:p>
          <w:p w14:paraId="4303839A">
            <w:pPr>
              <w:keepNext/>
              <w:widowControl/>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②室内声源</w:t>
            </w:r>
          </w:p>
          <w:p w14:paraId="78DC8D79">
            <w:pPr>
              <w:keepNext/>
              <w:widowControl/>
              <w:numPr>
                <w:ilvl w:val="0"/>
                <w:numId w:val="4"/>
              </w:num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首先计算出某个室内靠近围护结构处的倍频带声压级：</w:t>
            </w:r>
          </w:p>
          <w:p w14:paraId="402C55B1">
            <w:pPr>
              <w:widowControl/>
              <w:snapToGrid w:val="0"/>
              <w:spacing w:before="60" w:after="160" w:line="259" w:lineRule="auto"/>
              <w:ind w:right="113"/>
              <w:rPr>
                <w:rFonts w:ascii="Times New Roman" w:hAnsi="Times New Roman" w:eastAsia="宋体" w:cs="Times New Roman"/>
                <w:color w:val="000000"/>
              </w:rPr>
            </w:pPr>
            <w:r>
              <w:rPr>
                <w:rFonts w:hint="eastAsia" w:ascii="Times New Roman" w:hAnsi="Times New Roman" w:eastAsia="宋体" w:cs="Times New Roman"/>
                <w:color w:val="000000"/>
              </w:rPr>
              <w:t xml:space="preserve">      </w:t>
            </w:r>
            <w:r>
              <w:rPr>
                <w:rFonts w:ascii="Times New Roman" w:hAnsi="Times New Roman" w:eastAsia="宋体" w:cs="Times New Roman"/>
                <w:color w:val="000000"/>
              </w:rPr>
              <w:drawing>
                <wp:inline distT="0" distB="0" distL="114300" distR="114300">
                  <wp:extent cx="2724150" cy="676275"/>
                  <wp:effectExtent l="0" t="0" r="19050" b="9525"/>
                  <wp:docPr id="7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7"/>
                          <pic:cNvPicPr>
                            <a:picLocks noChangeAspect="1"/>
                          </pic:cNvPicPr>
                        </pic:nvPicPr>
                        <pic:blipFill>
                          <a:blip r:embed="rId18"/>
                          <a:stretch>
                            <a:fillRect/>
                          </a:stretch>
                        </pic:blipFill>
                        <pic:spPr>
                          <a:xfrm>
                            <a:off x="0" y="0"/>
                            <a:ext cx="2724150" cy="676275"/>
                          </a:xfrm>
                          <a:prstGeom prst="rect">
                            <a:avLst/>
                          </a:prstGeom>
                          <a:noFill/>
                          <a:ln>
                            <a:noFill/>
                          </a:ln>
                        </pic:spPr>
                      </pic:pic>
                    </a:graphicData>
                  </a:graphic>
                </wp:inline>
              </w:drawing>
            </w:r>
          </w:p>
          <w:p w14:paraId="7FE02F27">
            <w:pPr>
              <w:keepNext/>
              <w:widowControl/>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式中：Loct，1 为某个室内声源在靠近围护结构处产生的倍频带声压级，Lwoct 为某个声源的倍频带声功率级，r1为室内某个声源与靠近围护结构处的距离，R 为房间常数，Q 为方向因子。</w:t>
            </w:r>
          </w:p>
          <w:p w14:paraId="567DF2CA">
            <w:pPr>
              <w:widowControl/>
              <w:snapToGrid w:val="0"/>
              <w:spacing w:before="60" w:after="160" w:line="259" w:lineRule="auto"/>
              <w:ind w:right="113" w:firstLine="210" w:firstLineChars="100"/>
              <w:rPr>
                <w:rFonts w:ascii="Times New Roman" w:hAnsi="Times New Roman" w:eastAsia="宋体" w:cs="Times New Roman"/>
                <w:color w:val="000000"/>
              </w:rPr>
            </w:pPr>
            <w:r>
              <w:rPr>
                <w:rFonts w:hint="eastAsia" w:ascii="Times New Roman" w:hAnsi="Times New Roman" w:eastAsia="宋体" w:cs="Times New Roman"/>
                <w:color w:val="000000"/>
              </w:rPr>
              <w:t xml:space="preserve">     </w:t>
            </w:r>
            <w:r>
              <w:rPr>
                <w:rFonts w:ascii="Times New Roman" w:hAnsi="Times New Roman" w:eastAsia="宋体" w:cs="Times New Roman"/>
                <w:color w:val="000000"/>
              </w:rPr>
              <w:drawing>
                <wp:inline distT="0" distB="0" distL="114300" distR="114300">
                  <wp:extent cx="2009775" cy="1181100"/>
                  <wp:effectExtent l="0" t="0" r="22225" b="12700"/>
                  <wp:docPr id="6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8"/>
                          <pic:cNvPicPr>
                            <a:picLocks noChangeAspect="1"/>
                          </pic:cNvPicPr>
                        </pic:nvPicPr>
                        <pic:blipFill>
                          <a:blip r:embed="rId19"/>
                          <a:stretch>
                            <a:fillRect/>
                          </a:stretch>
                        </pic:blipFill>
                        <pic:spPr>
                          <a:xfrm>
                            <a:off x="0" y="0"/>
                            <a:ext cx="2009775" cy="1181100"/>
                          </a:xfrm>
                          <a:prstGeom prst="rect">
                            <a:avLst/>
                          </a:prstGeom>
                          <a:noFill/>
                          <a:ln>
                            <a:noFill/>
                          </a:ln>
                        </pic:spPr>
                      </pic:pic>
                    </a:graphicData>
                  </a:graphic>
                </wp:inline>
              </w:drawing>
            </w:r>
          </w:p>
          <w:p w14:paraId="38D80088">
            <w:pPr>
              <w:keepNext/>
              <w:widowControl/>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2）再计算出所有室内声源在靠近围护结构处产生的总倍频带声压级：</w:t>
            </w:r>
          </w:p>
          <w:p w14:paraId="51993061">
            <w:pPr>
              <w:widowControl/>
              <w:snapToGrid w:val="0"/>
              <w:spacing w:before="60" w:after="160" w:line="259" w:lineRule="auto"/>
              <w:ind w:left="210" w:leftChars="100" w:right="113"/>
              <w:rPr>
                <w:rFonts w:ascii="Times New Roman" w:hAnsi="Times New Roman" w:eastAsia="宋体" w:cs="Times New Roman"/>
                <w:color w:val="000000"/>
              </w:rPr>
            </w:pPr>
            <w:r>
              <w:rPr>
                <w:rFonts w:hint="eastAsia" w:ascii="Times New Roman" w:hAnsi="Times New Roman" w:eastAsia="宋体" w:cs="Times New Roman"/>
                <w:color w:val="000000"/>
              </w:rPr>
              <w:t xml:space="preserve">     </w:t>
            </w:r>
            <w:r>
              <w:rPr>
                <w:rFonts w:ascii="Times New Roman" w:hAnsi="Times New Roman" w:eastAsia="宋体" w:cs="Times New Roman"/>
                <w:color w:val="000000"/>
              </w:rPr>
              <w:drawing>
                <wp:inline distT="0" distB="0" distL="114300" distR="114300">
                  <wp:extent cx="2801620" cy="815340"/>
                  <wp:effectExtent l="0" t="0" r="17780" b="22860"/>
                  <wp:docPr id="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9"/>
                          <pic:cNvPicPr>
                            <a:picLocks noChangeAspect="1"/>
                          </pic:cNvPicPr>
                        </pic:nvPicPr>
                        <pic:blipFill>
                          <a:blip r:embed="rId20"/>
                          <a:stretch>
                            <a:fillRect/>
                          </a:stretch>
                        </pic:blipFill>
                        <pic:spPr>
                          <a:xfrm>
                            <a:off x="0" y="0"/>
                            <a:ext cx="2801620" cy="815340"/>
                          </a:xfrm>
                          <a:prstGeom prst="rect">
                            <a:avLst/>
                          </a:prstGeom>
                          <a:noFill/>
                          <a:ln>
                            <a:noFill/>
                          </a:ln>
                        </pic:spPr>
                      </pic:pic>
                    </a:graphicData>
                  </a:graphic>
                </wp:inline>
              </w:drawing>
            </w:r>
          </w:p>
          <w:p w14:paraId="7CE1E44F">
            <w:pPr>
              <w:keepNext/>
              <w:widowControl/>
              <w:spacing w:line="360" w:lineRule="auto"/>
              <w:ind w:left="420" w:left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3）计算出室外靠近围护结构处的声压级：</w:t>
            </w:r>
          </w:p>
          <w:p w14:paraId="01009A32">
            <w:pPr>
              <w:widowControl/>
              <w:snapToGrid w:val="0"/>
              <w:spacing w:before="60" w:after="160" w:line="259" w:lineRule="auto"/>
              <w:ind w:left="420" w:leftChars="200" w:right="113"/>
              <w:rPr>
                <w:rFonts w:ascii="Times New Roman" w:hAnsi="Times New Roman" w:eastAsia="宋体" w:cs="Times New Roman"/>
                <w:color w:val="000000"/>
              </w:rPr>
            </w:pPr>
            <w:r>
              <w:rPr>
                <w:rFonts w:hint="eastAsia" w:ascii="Times New Roman" w:hAnsi="Times New Roman" w:eastAsia="宋体" w:cs="Times New Roman"/>
                <w:color w:val="000000"/>
              </w:rPr>
              <w:t xml:space="preserve">   </w:t>
            </w:r>
            <w:r>
              <w:rPr>
                <w:rFonts w:ascii="Times New Roman" w:hAnsi="Times New Roman" w:eastAsia="宋体" w:cs="Times New Roman"/>
                <w:color w:val="000000"/>
              </w:rPr>
              <w:drawing>
                <wp:inline distT="0" distB="0" distL="114300" distR="114300">
                  <wp:extent cx="2695575" cy="333375"/>
                  <wp:effectExtent l="0" t="0" r="22225" b="22225"/>
                  <wp:docPr id="6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0"/>
                          <pic:cNvPicPr>
                            <a:picLocks noChangeAspect="1"/>
                          </pic:cNvPicPr>
                        </pic:nvPicPr>
                        <pic:blipFill>
                          <a:blip r:embed="rId21"/>
                          <a:stretch>
                            <a:fillRect/>
                          </a:stretch>
                        </pic:blipFill>
                        <pic:spPr>
                          <a:xfrm>
                            <a:off x="0" y="0"/>
                            <a:ext cx="2695575" cy="333375"/>
                          </a:xfrm>
                          <a:prstGeom prst="rect">
                            <a:avLst/>
                          </a:prstGeom>
                          <a:noFill/>
                          <a:ln>
                            <a:noFill/>
                          </a:ln>
                        </pic:spPr>
                      </pic:pic>
                    </a:graphicData>
                  </a:graphic>
                </wp:inline>
              </w:drawing>
            </w:r>
          </w:p>
          <w:p w14:paraId="0F282E6F">
            <w:pPr>
              <w:numPr>
                <w:ilvl w:val="0"/>
                <w:numId w:val="5"/>
              </w:num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将室外声级 Loct，2（T）和透声面积换算成等效的室外声源，计算出等效声源第i个倍频带的声功率级 Lwoct：</w:t>
            </w:r>
          </w:p>
          <w:p w14:paraId="138A09A2">
            <w:pPr>
              <w:widowControl/>
              <w:snapToGrid w:val="0"/>
              <w:spacing w:before="60" w:after="160" w:line="259" w:lineRule="auto"/>
              <w:ind w:right="113"/>
              <w:rPr>
                <w:rFonts w:ascii="Times New Roman" w:hAnsi="Times New Roman" w:eastAsia="宋体" w:cs="Times New Roman"/>
                <w:color w:val="000000"/>
              </w:rPr>
            </w:pPr>
            <w:r>
              <w:rPr>
                <w:rFonts w:hint="eastAsia" w:ascii="Times New Roman" w:hAnsi="Times New Roman" w:eastAsia="宋体" w:cs="Times New Roman"/>
                <w:color w:val="000000"/>
              </w:rPr>
              <w:t xml:space="preserve">             </w:t>
            </w:r>
            <w:r>
              <w:rPr>
                <w:rFonts w:ascii="Times New Roman" w:hAnsi="Times New Roman" w:eastAsia="宋体" w:cs="Times New Roman"/>
                <w:color w:val="000000"/>
              </w:rPr>
              <w:drawing>
                <wp:inline distT="0" distB="0" distL="114300" distR="114300">
                  <wp:extent cx="2219325" cy="447675"/>
                  <wp:effectExtent l="0" t="0" r="15875" b="9525"/>
                  <wp:docPr id="7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1"/>
                          <pic:cNvPicPr>
                            <a:picLocks noChangeAspect="1"/>
                          </pic:cNvPicPr>
                        </pic:nvPicPr>
                        <pic:blipFill>
                          <a:blip r:embed="rId22"/>
                          <a:stretch>
                            <a:fillRect/>
                          </a:stretch>
                        </pic:blipFill>
                        <pic:spPr>
                          <a:xfrm>
                            <a:off x="0" y="0"/>
                            <a:ext cx="2219325" cy="447675"/>
                          </a:xfrm>
                          <a:prstGeom prst="rect">
                            <a:avLst/>
                          </a:prstGeom>
                          <a:noFill/>
                          <a:ln>
                            <a:noFill/>
                          </a:ln>
                        </pic:spPr>
                      </pic:pic>
                    </a:graphicData>
                  </a:graphic>
                </wp:inline>
              </w:drawing>
            </w:r>
          </w:p>
          <w:p w14:paraId="31A03866">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式中：S 为透声面积，m</w:t>
            </w:r>
            <w:r>
              <w:rPr>
                <w:rFonts w:hint="eastAsia" w:ascii="Times New Roman" w:hAnsi="Times New Roman" w:eastAsia="宋体" w:cs="Times New Roman"/>
                <w:color w:val="000000"/>
                <w:sz w:val="24"/>
                <w:vertAlign w:val="superscript"/>
              </w:rPr>
              <w:t>2</w:t>
            </w:r>
            <w:r>
              <w:rPr>
                <w:rFonts w:hint="eastAsia" w:ascii="Times New Roman" w:hAnsi="Times New Roman" w:eastAsia="宋体" w:cs="Times New Roman"/>
                <w:color w:val="000000"/>
                <w:sz w:val="24"/>
              </w:rPr>
              <w:t>。</w:t>
            </w:r>
          </w:p>
          <w:p w14:paraId="6AA06726">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5）等效室外声源的位置为围护结构的位置，其倍频带声功率级为 Lwoct，由此按室外声源方法计算等效室外声源在预测点产生的声级。</w:t>
            </w:r>
          </w:p>
          <w:p w14:paraId="26A206F1">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由上述各式可计算出周围声环境因该项目设备新增加的声级值，综合该区内的项目噪声预测值（贡献值），再按声能量叠加模式预测出某点的总声压级值，预测模式如下：</w:t>
            </w:r>
          </w:p>
          <w:p w14:paraId="30F11D86">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position w:val="-34"/>
                <w:sz w:val="24"/>
              </w:rPr>
              <w:object>
                <v:shape id="_x0000_i1025" o:spt="75" type="#_x0000_t75" style="height:63.6pt;width:309.7pt;" o:ole="t" filled="f" o:preferrelative="t" stroked="f" coordsize="21600,21600">
                  <v:path/>
                  <v:fill on="f" focussize="0,0"/>
                  <v:stroke on="f" joinstyle="miter"/>
                  <v:imagedata r:id="rId24" o:title=""/>
                  <o:lock v:ext="edit" aspectratio="t"/>
                  <w10:wrap type="none"/>
                  <w10:anchorlock/>
                </v:shape>
                <o:OLEObject Type="Embed" ProgID="Equation.KSEE3" ShapeID="_x0000_i1025" DrawAspect="Content" ObjectID="_1468075725" r:id="rId23">
                  <o:LockedField>false</o:LockedField>
                </o:OLEObject>
              </w:object>
            </w:r>
          </w:p>
          <w:p w14:paraId="2D066C95">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式中：Leqg——建设项目声源在预测点产生的噪声贡献值，dB；</w:t>
            </w:r>
          </w:p>
          <w:p w14:paraId="6A804DDE">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T——用于计算等效声级的时间，s；</w:t>
            </w:r>
          </w:p>
          <w:p w14:paraId="57383143">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N——室外声源个数；</w:t>
            </w:r>
          </w:p>
          <w:p w14:paraId="21C6BB99">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t</w:t>
            </w:r>
            <w:r>
              <w:rPr>
                <w:rFonts w:hint="eastAsia" w:ascii="Times New Roman" w:hAnsi="Times New Roman" w:eastAsia="宋体" w:cs="Times New Roman"/>
                <w:color w:val="000000"/>
                <w:sz w:val="24"/>
                <w:vertAlign w:val="subscript"/>
              </w:rPr>
              <w:t>i</w:t>
            </w:r>
            <w:r>
              <w:rPr>
                <w:rFonts w:hint="eastAsia" w:ascii="Times New Roman" w:hAnsi="Times New Roman" w:eastAsia="宋体" w:cs="Times New Roman"/>
                <w:color w:val="000000"/>
                <w:sz w:val="24"/>
              </w:rPr>
              <w:t>——在 T 时间内 i 声源工作时间，s；</w:t>
            </w:r>
          </w:p>
          <w:p w14:paraId="60179168">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M——等效室外声源个数；</w:t>
            </w:r>
          </w:p>
          <w:p w14:paraId="03321ECC">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t</w:t>
            </w:r>
            <w:r>
              <w:rPr>
                <w:rFonts w:hint="eastAsia" w:ascii="Times New Roman" w:hAnsi="Times New Roman" w:eastAsia="宋体" w:cs="Times New Roman"/>
                <w:color w:val="000000"/>
                <w:sz w:val="24"/>
                <w:vertAlign w:val="subscript"/>
              </w:rPr>
              <w:t>j</w:t>
            </w:r>
            <w:r>
              <w:rPr>
                <w:rFonts w:hint="eastAsia" w:ascii="Times New Roman" w:hAnsi="Times New Roman" w:eastAsia="宋体" w:cs="Times New Roman"/>
                <w:color w:val="000000"/>
                <w:sz w:val="24"/>
              </w:rPr>
              <w:t>——在 T 时间内 j 声源工作时间，s；</w:t>
            </w:r>
          </w:p>
          <w:p w14:paraId="34D42DAF">
            <w:pPr>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4.4</w:t>
            </w:r>
            <w:r>
              <w:rPr>
                <w:rFonts w:ascii="Times New Roman" w:hAnsi="Times New Roman" w:eastAsia="宋体" w:cs="Times New Roman"/>
                <w:b/>
                <w:bCs/>
                <w:sz w:val="24"/>
              </w:rPr>
              <w:t>预测结果</w:t>
            </w:r>
          </w:p>
          <w:p w14:paraId="4AE9678B">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根据噪声衰减公式，在不计树木、绿地等对噪声的削减作用下，项目对工业场地厂界噪声值预测结果见下表，</w:t>
            </w:r>
            <w:r>
              <w:rPr>
                <w:rFonts w:hint="eastAsia" w:ascii="Times New Roman" w:hAnsi="Times New Roman" w:eastAsia="宋体" w:cs="Times New Roman"/>
                <w:sz w:val="24"/>
              </w:rPr>
              <w:t>本</w:t>
            </w:r>
            <w:r>
              <w:rPr>
                <w:rFonts w:ascii="Times New Roman" w:hAnsi="Times New Roman" w:eastAsia="宋体" w:cs="Times New Roman"/>
                <w:sz w:val="24"/>
              </w:rPr>
              <w:t>项目夜间</w:t>
            </w:r>
            <w:r>
              <w:rPr>
                <w:rFonts w:hint="eastAsia" w:ascii="Times New Roman" w:hAnsi="Times New Roman" w:eastAsia="宋体" w:cs="Times New Roman"/>
                <w:sz w:val="24"/>
              </w:rPr>
              <w:t>不进行生产活动</w:t>
            </w:r>
            <w:r>
              <w:rPr>
                <w:rFonts w:ascii="Times New Roman" w:hAnsi="Times New Roman" w:eastAsia="宋体" w:cs="Times New Roman"/>
                <w:sz w:val="24"/>
              </w:rPr>
              <w:t>。</w:t>
            </w:r>
          </w:p>
          <w:p w14:paraId="77362F96">
            <w:pPr>
              <w:wordWrap w:val="0"/>
              <w:topLinePunct/>
              <w:spacing w:line="360" w:lineRule="auto"/>
              <w:jc w:val="center"/>
              <w:rPr>
                <w:rFonts w:ascii="Times New Roman" w:hAnsi="Times New Roman" w:eastAsia="宋体" w:cs="宋体-PUA"/>
                <w:b/>
                <w:sz w:val="24"/>
                <w:shd w:val="clear" w:color="auto" w:fill="FFFFFF"/>
              </w:rPr>
            </w:pPr>
            <w:r>
              <w:rPr>
                <w:rFonts w:ascii="Times New Roman" w:hAnsi="Times New Roman" w:eastAsia="宋体" w:cs="宋体-PUA"/>
                <w:b/>
                <w:sz w:val="24"/>
                <w:shd w:val="clear" w:color="auto" w:fill="FFFFFF"/>
              </w:rPr>
              <w:t>表</w:t>
            </w:r>
            <w:r>
              <w:rPr>
                <w:rFonts w:hint="eastAsia" w:ascii="Times New Roman" w:hAnsi="Times New Roman" w:eastAsia="宋体" w:cs="宋体-PUA"/>
                <w:b/>
                <w:sz w:val="24"/>
                <w:shd w:val="clear" w:color="auto" w:fill="FFFFFF"/>
              </w:rPr>
              <w:t xml:space="preserve">4-33  </w:t>
            </w:r>
            <w:r>
              <w:rPr>
                <w:rFonts w:ascii="Times New Roman" w:hAnsi="Times New Roman" w:eastAsia="宋体" w:cs="宋体-PUA"/>
                <w:b/>
                <w:sz w:val="24"/>
                <w:shd w:val="clear" w:color="auto" w:fill="FFFFFF"/>
              </w:rPr>
              <w:t>项目厂界噪声预测结果与达标分析表</w:t>
            </w:r>
          </w:p>
          <w:tbl>
            <w:tblPr>
              <w:tblStyle w:val="28"/>
              <w:tblW w:w="49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2"/>
              <w:gridCol w:w="1248"/>
              <w:gridCol w:w="903"/>
              <w:gridCol w:w="1323"/>
              <w:gridCol w:w="1403"/>
              <w:gridCol w:w="1728"/>
            </w:tblGrid>
            <w:tr w14:paraId="2868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875" w:type="pct"/>
                  <w:vMerge w:val="restart"/>
                  <w:tcBorders>
                    <w:tl2br w:val="nil"/>
                    <w:tr2bl w:val="nil"/>
                  </w:tcBorders>
                  <w:vAlign w:val="center"/>
                </w:tcPr>
                <w:p w14:paraId="74CC8380">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序号</w:t>
                  </w:r>
                </w:p>
              </w:tc>
              <w:tc>
                <w:tcPr>
                  <w:tcW w:w="779" w:type="pct"/>
                  <w:vMerge w:val="restart"/>
                  <w:tcBorders>
                    <w:tl2br w:val="nil"/>
                    <w:tr2bl w:val="nil"/>
                  </w:tcBorders>
                  <w:vAlign w:val="center"/>
                </w:tcPr>
                <w:p w14:paraId="64DDC8FF">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预测点位</w:t>
                  </w:r>
                </w:p>
              </w:tc>
              <w:tc>
                <w:tcPr>
                  <w:tcW w:w="564" w:type="pct"/>
                  <w:vMerge w:val="restart"/>
                  <w:tcBorders>
                    <w:tl2br w:val="nil"/>
                    <w:tr2bl w:val="nil"/>
                  </w:tcBorders>
                  <w:vAlign w:val="center"/>
                </w:tcPr>
                <w:p w14:paraId="2B74D673">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时段</w:t>
                  </w:r>
                </w:p>
              </w:tc>
              <w:tc>
                <w:tcPr>
                  <w:tcW w:w="825" w:type="pct"/>
                  <w:vMerge w:val="restart"/>
                  <w:tcBorders>
                    <w:tl2br w:val="nil"/>
                    <w:tr2bl w:val="nil"/>
                  </w:tcBorders>
                  <w:vAlign w:val="center"/>
                </w:tcPr>
                <w:p w14:paraId="3C53BE43">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贡献值</w:t>
                  </w:r>
                </w:p>
                <w:p w14:paraId="73B6EAED">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Leq[dB(A)]</w:t>
                  </w:r>
                </w:p>
              </w:tc>
              <w:tc>
                <w:tcPr>
                  <w:tcW w:w="1953" w:type="pct"/>
                  <w:gridSpan w:val="2"/>
                  <w:tcBorders>
                    <w:tl2br w:val="nil"/>
                    <w:tr2bl w:val="nil"/>
                  </w:tcBorders>
                  <w:vAlign w:val="center"/>
                </w:tcPr>
                <w:p w14:paraId="4B5F7717">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评价结果</w:t>
                  </w:r>
                </w:p>
              </w:tc>
            </w:tr>
            <w:tr w14:paraId="0ED0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875" w:type="pct"/>
                  <w:vMerge w:val="continue"/>
                  <w:tcBorders>
                    <w:tl2br w:val="nil"/>
                    <w:tr2bl w:val="nil"/>
                  </w:tcBorders>
                  <w:vAlign w:val="center"/>
                </w:tcPr>
                <w:p w14:paraId="4C98E087">
                  <w:pPr>
                    <w:adjustRightInd w:val="0"/>
                    <w:spacing w:line="240" w:lineRule="exact"/>
                    <w:jc w:val="center"/>
                    <w:textAlignment w:val="baseline"/>
                    <w:rPr>
                      <w:rFonts w:ascii="Times New Roman" w:hAnsi="Times New Roman" w:eastAsia="宋体" w:cs="Times New Roman"/>
                      <w:b/>
                      <w:bCs/>
                      <w:szCs w:val="21"/>
                    </w:rPr>
                  </w:pPr>
                </w:p>
              </w:tc>
              <w:tc>
                <w:tcPr>
                  <w:tcW w:w="779" w:type="pct"/>
                  <w:vMerge w:val="continue"/>
                  <w:tcBorders>
                    <w:tl2br w:val="nil"/>
                    <w:tr2bl w:val="nil"/>
                  </w:tcBorders>
                  <w:vAlign w:val="center"/>
                </w:tcPr>
                <w:p w14:paraId="1FEA69F2">
                  <w:pPr>
                    <w:adjustRightInd w:val="0"/>
                    <w:spacing w:line="240" w:lineRule="exact"/>
                    <w:jc w:val="center"/>
                    <w:textAlignment w:val="baseline"/>
                    <w:rPr>
                      <w:rFonts w:ascii="Times New Roman" w:hAnsi="Times New Roman" w:eastAsia="宋体" w:cs="Times New Roman"/>
                      <w:b/>
                      <w:bCs/>
                      <w:szCs w:val="21"/>
                    </w:rPr>
                  </w:pPr>
                </w:p>
              </w:tc>
              <w:tc>
                <w:tcPr>
                  <w:tcW w:w="564" w:type="pct"/>
                  <w:vMerge w:val="continue"/>
                  <w:tcBorders>
                    <w:tl2br w:val="nil"/>
                    <w:tr2bl w:val="nil"/>
                  </w:tcBorders>
                  <w:vAlign w:val="center"/>
                </w:tcPr>
                <w:p w14:paraId="7EEF26A7">
                  <w:pPr>
                    <w:adjustRightInd w:val="0"/>
                    <w:spacing w:line="240" w:lineRule="exact"/>
                    <w:jc w:val="center"/>
                    <w:textAlignment w:val="baseline"/>
                    <w:rPr>
                      <w:rFonts w:ascii="Times New Roman" w:hAnsi="Times New Roman" w:eastAsia="宋体" w:cs="Times New Roman"/>
                      <w:b/>
                      <w:bCs/>
                      <w:szCs w:val="21"/>
                    </w:rPr>
                  </w:pPr>
                </w:p>
              </w:tc>
              <w:tc>
                <w:tcPr>
                  <w:tcW w:w="825" w:type="pct"/>
                  <w:vMerge w:val="continue"/>
                  <w:tcBorders>
                    <w:tl2br w:val="nil"/>
                    <w:tr2bl w:val="nil"/>
                  </w:tcBorders>
                  <w:vAlign w:val="center"/>
                </w:tcPr>
                <w:p w14:paraId="37AAC848">
                  <w:pPr>
                    <w:adjustRightInd w:val="0"/>
                    <w:spacing w:line="240" w:lineRule="exact"/>
                    <w:jc w:val="center"/>
                    <w:textAlignment w:val="baseline"/>
                    <w:rPr>
                      <w:rFonts w:ascii="Times New Roman" w:hAnsi="Times New Roman" w:eastAsia="宋体" w:cs="Times New Roman"/>
                      <w:b/>
                      <w:bCs/>
                      <w:szCs w:val="21"/>
                    </w:rPr>
                  </w:pPr>
                </w:p>
              </w:tc>
              <w:tc>
                <w:tcPr>
                  <w:tcW w:w="875" w:type="pct"/>
                  <w:tcBorders>
                    <w:tl2br w:val="nil"/>
                    <w:tr2bl w:val="nil"/>
                  </w:tcBorders>
                  <w:vAlign w:val="center"/>
                </w:tcPr>
                <w:p w14:paraId="2DD2567D">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标准dB（A）</w:t>
                  </w:r>
                </w:p>
              </w:tc>
              <w:tc>
                <w:tcPr>
                  <w:tcW w:w="1077" w:type="pct"/>
                  <w:tcBorders>
                    <w:tl2br w:val="nil"/>
                    <w:tr2bl w:val="nil"/>
                  </w:tcBorders>
                  <w:vAlign w:val="center"/>
                </w:tcPr>
                <w:p w14:paraId="794CB533">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超标情况dB（A）</w:t>
                  </w:r>
                </w:p>
              </w:tc>
            </w:tr>
            <w:tr w14:paraId="0C6A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875" w:type="pct"/>
                  <w:vMerge w:val="restart"/>
                  <w:tcBorders>
                    <w:tl2br w:val="nil"/>
                    <w:tr2bl w:val="nil"/>
                  </w:tcBorders>
                  <w:vAlign w:val="center"/>
                </w:tcPr>
                <w:p w14:paraId="6B90CC0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w:t>
                  </w:r>
                </w:p>
              </w:tc>
              <w:tc>
                <w:tcPr>
                  <w:tcW w:w="779" w:type="pct"/>
                  <w:vMerge w:val="restart"/>
                  <w:tcBorders>
                    <w:tl2br w:val="nil"/>
                    <w:tr2bl w:val="nil"/>
                  </w:tcBorders>
                  <w:vAlign w:val="center"/>
                </w:tcPr>
                <w:p w14:paraId="2CF09A6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厂界东侧</w:t>
                  </w:r>
                </w:p>
              </w:tc>
              <w:tc>
                <w:tcPr>
                  <w:tcW w:w="564" w:type="pct"/>
                  <w:tcBorders>
                    <w:tl2br w:val="nil"/>
                    <w:tr2bl w:val="nil"/>
                  </w:tcBorders>
                  <w:vAlign w:val="center"/>
                </w:tcPr>
                <w:p w14:paraId="256094E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昼间</w:t>
                  </w:r>
                </w:p>
              </w:tc>
              <w:tc>
                <w:tcPr>
                  <w:tcW w:w="825" w:type="pct"/>
                  <w:tcBorders>
                    <w:tl2br w:val="nil"/>
                    <w:tr2bl w:val="nil"/>
                  </w:tcBorders>
                  <w:vAlign w:val="center"/>
                </w:tcPr>
                <w:p w14:paraId="053C09F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58.76</w:t>
                  </w:r>
                </w:p>
              </w:tc>
              <w:tc>
                <w:tcPr>
                  <w:tcW w:w="875" w:type="pct"/>
                  <w:tcBorders>
                    <w:tl2br w:val="nil"/>
                    <w:tr2bl w:val="nil"/>
                  </w:tcBorders>
                  <w:vAlign w:val="center"/>
                </w:tcPr>
                <w:p w14:paraId="6B5782E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昼间：65</w:t>
                  </w:r>
                </w:p>
              </w:tc>
              <w:tc>
                <w:tcPr>
                  <w:tcW w:w="1077" w:type="pct"/>
                  <w:tcBorders>
                    <w:tl2br w:val="nil"/>
                    <w:tr2bl w:val="nil"/>
                  </w:tcBorders>
                  <w:vAlign w:val="center"/>
                </w:tcPr>
                <w:p w14:paraId="1746A66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不超标</w:t>
                  </w:r>
                </w:p>
              </w:tc>
            </w:tr>
            <w:tr w14:paraId="50627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 w:hRule="atLeast"/>
                <w:jc w:val="center"/>
              </w:trPr>
              <w:tc>
                <w:tcPr>
                  <w:tcW w:w="875" w:type="pct"/>
                  <w:vMerge w:val="continue"/>
                  <w:tcBorders>
                    <w:tl2br w:val="nil"/>
                    <w:tr2bl w:val="nil"/>
                  </w:tcBorders>
                  <w:vAlign w:val="center"/>
                </w:tcPr>
                <w:p w14:paraId="6993DD35">
                  <w:pPr>
                    <w:adjustRightInd w:val="0"/>
                    <w:spacing w:line="240" w:lineRule="exact"/>
                    <w:jc w:val="center"/>
                    <w:textAlignment w:val="baseline"/>
                    <w:rPr>
                      <w:rFonts w:ascii="Times New Roman" w:hAnsi="Times New Roman" w:eastAsia="宋体" w:cs="Times New Roman"/>
                      <w:szCs w:val="21"/>
                    </w:rPr>
                  </w:pPr>
                </w:p>
              </w:tc>
              <w:tc>
                <w:tcPr>
                  <w:tcW w:w="779" w:type="pct"/>
                  <w:vMerge w:val="continue"/>
                  <w:tcBorders>
                    <w:tl2br w:val="nil"/>
                    <w:tr2bl w:val="nil"/>
                  </w:tcBorders>
                  <w:vAlign w:val="center"/>
                </w:tcPr>
                <w:p w14:paraId="689A2A6B">
                  <w:pPr>
                    <w:adjustRightInd w:val="0"/>
                    <w:spacing w:line="240" w:lineRule="exact"/>
                    <w:jc w:val="center"/>
                    <w:textAlignment w:val="baseline"/>
                    <w:rPr>
                      <w:rFonts w:ascii="Times New Roman" w:hAnsi="Times New Roman" w:eastAsia="宋体" w:cs="Times New Roman"/>
                      <w:szCs w:val="21"/>
                    </w:rPr>
                  </w:pPr>
                </w:p>
              </w:tc>
              <w:tc>
                <w:tcPr>
                  <w:tcW w:w="564" w:type="pct"/>
                  <w:tcBorders>
                    <w:tl2br w:val="nil"/>
                    <w:tr2bl w:val="nil"/>
                  </w:tcBorders>
                  <w:vAlign w:val="center"/>
                </w:tcPr>
                <w:p w14:paraId="7D5A47D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夜间</w:t>
                  </w:r>
                </w:p>
              </w:tc>
              <w:tc>
                <w:tcPr>
                  <w:tcW w:w="825" w:type="pct"/>
                  <w:tcBorders>
                    <w:tl2br w:val="nil"/>
                    <w:tr2bl w:val="nil"/>
                  </w:tcBorders>
                  <w:vAlign w:val="center"/>
                </w:tcPr>
                <w:p w14:paraId="0B834F2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875" w:type="pct"/>
                  <w:tcBorders>
                    <w:tl2br w:val="nil"/>
                    <w:tr2bl w:val="nil"/>
                  </w:tcBorders>
                  <w:vAlign w:val="center"/>
                </w:tcPr>
                <w:p w14:paraId="477FBC9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夜间：55</w:t>
                  </w:r>
                </w:p>
              </w:tc>
              <w:tc>
                <w:tcPr>
                  <w:tcW w:w="1077" w:type="pct"/>
                  <w:tcBorders>
                    <w:tl2br w:val="nil"/>
                    <w:tr2bl w:val="nil"/>
                  </w:tcBorders>
                  <w:vAlign w:val="center"/>
                </w:tcPr>
                <w:p w14:paraId="0A71F22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不超标</w:t>
                  </w:r>
                </w:p>
              </w:tc>
            </w:tr>
            <w:tr w14:paraId="02E42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875" w:type="pct"/>
                  <w:vMerge w:val="restart"/>
                  <w:tcBorders>
                    <w:tl2br w:val="nil"/>
                    <w:tr2bl w:val="nil"/>
                  </w:tcBorders>
                  <w:vAlign w:val="center"/>
                </w:tcPr>
                <w:p w14:paraId="6D1E7CD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w:t>
                  </w:r>
                </w:p>
              </w:tc>
              <w:tc>
                <w:tcPr>
                  <w:tcW w:w="779" w:type="pct"/>
                  <w:vMerge w:val="restart"/>
                  <w:tcBorders>
                    <w:tl2br w:val="nil"/>
                    <w:tr2bl w:val="nil"/>
                  </w:tcBorders>
                  <w:vAlign w:val="center"/>
                </w:tcPr>
                <w:p w14:paraId="45A75DD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厂界南侧</w:t>
                  </w:r>
                </w:p>
              </w:tc>
              <w:tc>
                <w:tcPr>
                  <w:tcW w:w="564" w:type="pct"/>
                  <w:tcBorders>
                    <w:tl2br w:val="nil"/>
                    <w:tr2bl w:val="nil"/>
                  </w:tcBorders>
                  <w:vAlign w:val="center"/>
                </w:tcPr>
                <w:p w14:paraId="40C76A4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昼间</w:t>
                  </w:r>
                </w:p>
              </w:tc>
              <w:tc>
                <w:tcPr>
                  <w:tcW w:w="825" w:type="pct"/>
                  <w:tcBorders>
                    <w:tl2br w:val="nil"/>
                    <w:tr2bl w:val="nil"/>
                  </w:tcBorders>
                  <w:vAlign w:val="center"/>
                </w:tcPr>
                <w:p w14:paraId="3D440A1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55.89</w:t>
                  </w:r>
                </w:p>
              </w:tc>
              <w:tc>
                <w:tcPr>
                  <w:tcW w:w="875" w:type="pct"/>
                  <w:tcBorders>
                    <w:tl2br w:val="nil"/>
                    <w:tr2bl w:val="nil"/>
                  </w:tcBorders>
                  <w:vAlign w:val="center"/>
                </w:tcPr>
                <w:p w14:paraId="7644035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昼间：65</w:t>
                  </w:r>
                </w:p>
              </w:tc>
              <w:tc>
                <w:tcPr>
                  <w:tcW w:w="1077" w:type="pct"/>
                  <w:tcBorders>
                    <w:tl2br w:val="nil"/>
                    <w:tr2bl w:val="nil"/>
                  </w:tcBorders>
                  <w:vAlign w:val="center"/>
                </w:tcPr>
                <w:p w14:paraId="2A40615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不超标</w:t>
                  </w:r>
                </w:p>
              </w:tc>
            </w:tr>
            <w:tr w14:paraId="674E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875" w:type="pct"/>
                  <w:vMerge w:val="continue"/>
                  <w:tcBorders>
                    <w:tl2br w:val="nil"/>
                    <w:tr2bl w:val="nil"/>
                  </w:tcBorders>
                  <w:vAlign w:val="center"/>
                </w:tcPr>
                <w:p w14:paraId="04DE4BC3">
                  <w:pPr>
                    <w:adjustRightInd w:val="0"/>
                    <w:spacing w:line="240" w:lineRule="exact"/>
                    <w:jc w:val="center"/>
                    <w:textAlignment w:val="baseline"/>
                    <w:rPr>
                      <w:rFonts w:ascii="Times New Roman" w:hAnsi="Times New Roman" w:eastAsia="宋体" w:cs="Times New Roman"/>
                      <w:szCs w:val="21"/>
                    </w:rPr>
                  </w:pPr>
                </w:p>
              </w:tc>
              <w:tc>
                <w:tcPr>
                  <w:tcW w:w="779" w:type="pct"/>
                  <w:vMerge w:val="continue"/>
                  <w:tcBorders>
                    <w:tl2br w:val="nil"/>
                    <w:tr2bl w:val="nil"/>
                  </w:tcBorders>
                  <w:vAlign w:val="center"/>
                </w:tcPr>
                <w:p w14:paraId="5F0D2193">
                  <w:pPr>
                    <w:adjustRightInd w:val="0"/>
                    <w:spacing w:line="240" w:lineRule="exact"/>
                    <w:jc w:val="center"/>
                    <w:textAlignment w:val="baseline"/>
                    <w:rPr>
                      <w:rFonts w:ascii="Times New Roman" w:hAnsi="Times New Roman" w:eastAsia="宋体" w:cs="Times New Roman"/>
                      <w:szCs w:val="21"/>
                    </w:rPr>
                  </w:pPr>
                </w:p>
              </w:tc>
              <w:tc>
                <w:tcPr>
                  <w:tcW w:w="564" w:type="pct"/>
                  <w:tcBorders>
                    <w:tl2br w:val="nil"/>
                    <w:tr2bl w:val="nil"/>
                  </w:tcBorders>
                  <w:vAlign w:val="center"/>
                </w:tcPr>
                <w:p w14:paraId="15CDFBE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夜间</w:t>
                  </w:r>
                </w:p>
              </w:tc>
              <w:tc>
                <w:tcPr>
                  <w:tcW w:w="825" w:type="pct"/>
                  <w:tcBorders>
                    <w:tl2br w:val="nil"/>
                    <w:tr2bl w:val="nil"/>
                  </w:tcBorders>
                  <w:vAlign w:val="center"/>
                </w:tcPr>
                <w:p w14:paraId="1A45B2F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875" w:type="pct"/>
                  <w:tcBorders>
                    <w:tl2br w:val="nil"/>
                    <w:tr2bl w:val="nil"/>
                  </w:tcBorders>
                  <w:vAlign w:val="center"/>
                </w:tcPr>
                <w:p w14:paraId="7EEFBD1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夜间：55</w:t>
                  </w:r>
                </w:p>
              </w:tc>
              <w:tc>
                <w:tcPr>
                  <w:tcW w:w="1077" w:type="pct"/>
                  <w:tcBorders>
                    <w:tl2br w:val="nil"/>
                    <w:tr2bl w:val="nil"/>
                  </w:tcBorders>
                  <w:vAlign w:val="center"/>
                </w:tcPr>
                <w:p w14:paraId="4E35215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不超标</w:t>
                  </w:r>
                </w:p>
              </w:tc>
            </w:tr>
            <w:tr w14:paraId="55A6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875" w:type="pct"/>
                  <w:vMerge w:val="restart"/>
                  <w:tcBorders>
                    <w:tl2br w:val="nil"/>
                    <w:tr2bl w:val="nil"/>
                  </w:tcBorders>
                  <w:vAlign w:val="center"/>
                </w:tcPr>
                <w:p w14:paraId="3AF2A23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w:t>
                  </w:r>
                </w:p>
              </w:tc>
              <w:tc>
                <w:tcPr>
                  <w:tcW w:w="779" w:type="pct"/>
                  <w:vMerge w:val="restart"/>
                  <w:tcBorders>
                    <w:tl2br w:val="nil"/>
                    <w:tr2bl w:val="nil"/>
                  </w:tcBorders>
                  <w:vAlign w:val="center"/>
                </w:tcPr>
                <w:p w14:paraId="0946685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厂界西侧</w:t>
                  </w:r>
                </w:p>
              </w:tc>
              <w:tc>
                <w:tcPr>
                  <w:tcW w:w="564" w:type="pct"/>
                  <w:tcBorders>
                    <w:tl2br w:val="nil"/>
                    <w:tr2bl w:val="nil"/>
                  </w:tcBorders>
                  <w:vAlign w:val="center"/>
                </w:tcPr>
                <w:p w14:paraId="6D1E4A5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昼间</w:t>
                  </w:r>
                </w:p>
              </w:tc>
              <w:tc>
                <w:tcPr>
                  <w:tcW w:w="825" w:type="pct"/>
                  <w:tcBorders>
                    <w:tl2br w:val="nil"/>
                    <w:tr2bl w:val="nil"/>
                  </w:tcBorders>
                  <w:vAlign w:val="center"/>
                </w:tcPr>
                <w:p w14:paraId="3E17D3C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45.46</w:t>
                  </w:r>
                </w:p>
              </w:tc>
              <w:tc>
                <w:tcPr>
                  <w:tcW w:w="875" w:type="pct"/>
                  <w:tcBorders>
                    <w:tl2br w:val="nil"/>
                    <w:tr2bl w:val="nil"/>
                  </w:tcBorders>
                  <w:vAlign w:val="center"/>
                </w:tcPr>
                <w:p w14:paraId="3324A58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昼间：65</w:t>
                  </w:r>
                </w:p>
              </w:tc>
              <w:tc>
                <w:tcPr>
                  <w:tcW w:w="1077" w:type="pct"/>
                  <w:tcBorders>
                    <w:tl2br w:val="nil"/>
                    <w:tr2bl w:val="nil"/>
                  </w:tcBorders>
                  <w:vAlign w:val="center"/>
                </w:tcPr>
                <w:p w14:paraId="1FF002C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不超标</w:t>
                  </w:r>
                </w:p>
              </w:tc>
            </w:tr>
            <w:tr w14:paraId="51408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875" w:type="pct"/>
                  <w:vMerge w:val="continue"/>
                  <w:tcBorders>
                    <w:tl2br w:val="nil"/>
                    <w:tr2bl w:val="nil"/>
                  </w:tcBorders>
                  <w:vAlign w:val="center"/>
                </w:tcPr>
                <w:p w14:paraId="7FC40A4E">
                  <w:pPr>
                    <w:adjustRightInd w:val="0"/>
                    <w:spacing w:line="240" w:lineRule="exact"/>
                    <w:jc w:val="center"/>
                    <w:textAlignment w:val="baseline"/>
                    <w:rPr>
                      <w:rFonts w:ascii="Times New Roman" w:hAnsi="Times New Roman" w:eastAsia="宋体" w:cs="Times New Roman"/>
                      <w:szCs w:val="21"/>
                    </w:rPr>
                  </w:pPr>
                </w:p>
              </w:tc>
              <w:tc>
                <w:tcPr>
                  <w:tcW w:w="779" w:type="pct"/>
                  <w:vMerge w:val="continue"/>
                  <w:tcBorders>
                    <w:tl2br w:val="nil"/>
                    <w:tr2bl w:val="nil"/>
                  </w:tcBorders>
                  <w:vAlign w:val="center"/>
                </w:tcPr>
                <w:p w14:paraId="1ECC455A">
                  <w:pPr>
                    <w:adjustRightInd w:val="0"/>
                    <w:spacing w:line="240" w:lineRule="exact"/>
                    <w:jc w:val="center"/>
                    <w:textAlignment w:val="baseline"/>
                    <w:rPr>
                      <w:rFonts w:ascii="Times New Roman" w:hAnsi="Times New Roman" w:eastAsia="宋体" w:cs="Times New Roman"/>
                      <w:szCs w:val="21"/>
                    </w:rPr>
                  </w:pPr>
                </w:p>
              </w:tc>
              <w:tc>
                <w:tcPr>
                  <w:tcW w:w="564" w:type="pct"/>
                  <w:tcBorders>
                    <w:tl2br w:val="nil"/>
                    <w:tr2bl w:val="nil"/>
                  </w:tcBorders>
                  <w:vAlign w:val="center"/>
                </w:tcPr>
                <w:p w14:paraId="1D8D60A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夜间</w:t>
                  </w:r>
                </w:p>
              </w:tc>
              <w:tc>
                <w:tcPr>
                  <w:tcW w:w="825" w:type="pct"/>
                  <w:tcBorders>
                    <w:tl2br w:val="nil"/>
                    <w:tr2bl w:val="nil"/>
                  </w:tcBorders>
                  <w:vAlign w:val="center"/>
                </w:tcPr>
                <w:p w14:paraId="53C1505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875" w:type="pct"/>
                  <w:tcBorders>
                    <w:tl2br w:val="nil"/>
                    <w:tr2bl w:val="nil"/>
                  </w:tcBorders>
                  <w:vAlign w:val="center"/>
                </w:tcPr>
                <w:p w14:paraId="3A33EE8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夜间：55</w:t>
                  </w:r>
                </w:p>
              </w:tc>
              <w:tc>
                <w:tcPr>
                  <w:tcW w:w="1077" w:type="pct"/>
                  <w:tcBorders>
                    <w:tl2br w:val="nil"/>
                    <w:tr2bl w:val="nil"/>
                  </w:tcBorders>
                  <w:vAlign w:val="center"/>
                </w:tcPr>
                <w:p w14:paraId="7551769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不超标</w:t>
                  </w:r>
                </w:p>
              </w:tc>
            </w:tr>
            <w:tr w14:paraId="1BD7E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875" w:type="pct"/>
                  <w:vMerge w:val="restart"/>
                  <w:tcBorders>
                    <w:tl2br w:val="nil"/>
                    <w:tr2bl w:val="nil"/>
                  </w:tcBorders>
                  <w:vAlign w:val="center"/>
                </w:tcPr>
                <w:p w14:paraId="34AB5F8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w:t>
                  </w:r>
                </w:p>
              </w:tc>
              <w:tc>
                <w:tcPr>
                  <w:tcW w:w="779" w:type="pct"/>
                  <w:vMerge w:val="restart"/>
                  <w:tcBorders>
                    <w:tl2br w:val="nil"/>
                    <w:tr2bl w:val="nil"/>
                  </w:tcBorders>
                  <w:vAlign w:val="center"/>
                </w:tcPr>
                <w:p w14:paraId="2D7C464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厂界北侧</w:t>
                  </w:r>
                </w:p>
              </w:tc>
              <w:tc>
                <w:tcPr>
                  <w:tcW w:w="564" w:type="pct"/>
                  <w:tcBorders>
                    <w:tl2br w:val="nil"/>
                    <w:tr2bl w:val="nil"/>
                  </w:tcBorders>
                  <w:vAlign w:val="center"/>
                </w:tcPr>
                <w:p w14:paraId="13A1379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昼间</w:t>
                  </w:r>
                </w:p>
              </w:tc>
              <w:tc>
                <w:tcPr>
                  <w:tcW w:w="825" w:type="pct"/>
                  <w:tcBorders>
                    <w:tl2br w:val="nil"/>
                    <w:tr2bl w:val="nil"/>
                  </w:tcBorders>
                  <w:vAlign w:val="center"/>
                </w:tcPr>
                <w:p w14:paraId="2ADF346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51.08</w:t>
                  </w:r>
                </w:p>
              </w:tc>
              <w:tc>
                <w:tcPr>
                  <w:tcW w:w="875" w:type="pct"/>
                  <w:tcBorders>
                    <w:tl2br w:val="nil"/>
                    <w:tr2bl w:val="nil"/>
                  </w:tcBorders>
                  <w:vAlign w:val="center"/>
                </w:tcPr>
                <w:p w14:paraId="4FE9963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昼间：65</w:t>
                  </w:r>
                </w:p>
              </w:tc>
              <w:tc>
                <w:tcPr>
                  <w:tcW w:w="1077" w:type="pct"/>
                  <w:tcBorders>
                    <w:tl2br w:val="nil"/>
                    <w:tr2bl w:val="nil"/>
                  </w:tcBorders>
                  <w:vAlign w:val="center"/>
                </w:tcPr>
                <w:p w14:paraId="4F34135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不超标</w:t>
                  </w:r>
                </w:p>
              </w:tc>
            </w:tr>
            <w:tr w14:paraId="70C1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875" w:type="pct"/>
                  <w:vMerge w:val="continue"/>
                  <w:tcBorders>
                    <w:tl2br w:val="nil"/>
                    <w:tr2bl w:val="nil"/>
                  </w:tcBorders>
                  <w:vAlign w:val="center"/>
                </w:tcPr>
                <w:p w14:paraId="458A151D">
                  <w:pPr>
                    <w:adjustRightInd w:val="0"/>
                    <w:spacing w:line="240" w:lineRule="exact"/>
                    <w:jc w:val="center"/>
                    <w:textAlignment w:val="baseline"/>
                    <w:rPr>
                      <w:rFonts w:ascii="Times New Roman" w:hAnsi="Times New Roman" w:eastAsia="宋体" w:cs="Times New Roman"/>
                      <w:szCs w:val="21"/>
                    </w:rPr>
                  </w:pPr>
                </w:p>
              </w:tc>
              <w:tc>
                <w:tcPr>
                  <w:tcW w:w="779" w:type="pct"/>
                  <w:vMerge w:val="continue"/>
                  <w:tcBorders>
                    <w:tl2br w:val="nil"/>
                    <w:tr2bl w:val="nil"/>
                  </w:tcBorders>
                  <w:vAlign w:val="center"/>
                </w:tcPr>
                <w:p w14:paraId="5D58C7AF">
                  <w:pPr>
                    <w:adjustRightInd w:val="0"/>
                    <w:spacing w:line="240" w:lineRule="exact"/>
                    <w:jc w:val="center"/>
                    <w:textAlignment w:val="baseline"/>
                    <w:rPr>
                      <w:rFonts w:ascii="Times New Roman" w:hAnsi="Times New Roman" w:eastAsia="宋体" w:cs="Times New Roman"/>
                      <w:szCs w:val="21"/>
                    </w:rPr>
                  </w:pPr>
                </w:p>
              </w:tc>
              <w:tc>
                <w:tcPr>
                  <w:tcW w:w="564" w:type="pct"/>
                  <w:tcBorders>
                    <w:tl2br w:val="nil"/>
                    <w:tr2bl w:val="nil"/>
                  </w:tcBorders>
                  <w:vAlign w:val="center"/>
                </w:tcPr>
                <w:p w14:paraId="31F16FB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夜间</w:t>
                  </w:r>
                </w:p>
              </w:tc>
              <w:tc>
                <w:tcPr>
                  <w:tcW w:w="825" w:type="pct"/>
                  <w:tcBorders>
                    <w:tl2br w:val="nil"/>
                    <w:tr2bl w:val="nil"/>
                  </w:tcBorders>
                  <w:vAlign w:val="center"/>
                </w:tcPr>
                <w:p w14:paraId="1657DC4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875" w:type="pct"/>
                  <w:tcBorders>
                    <w:tl2br w:val="nil"/>
                    <w:tr2bl w:val="nil"/>
                  </w:tcBorders>
                  <w:vAlign w:val="center"/>
                </w:tcPr>
                <w:p w14:paraId="43AB7CD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夜间：55</w:t>
                  </w:r>
                </w:p>
              </w:tc>
              <w:tc>
                <w:tcPr>
                  <w:tcW w:w="1077" w:type="pct"/>
                  <w:tcBorders>
                    <w:tl2br w:val="nil"/>
                    <w:tr2bl w:val="nil"/>
                  </w:tcBorders>
                  <w:vAlign w:val="center"/>
                </w:tcPr>
                <w:p w14:paraId="24E1428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不超标</w:t>
                  </w:r>
                </w:p>
              </w:tc>
            </w:tr>
          </w:tbl>
          <w:p w14:paraId="45789486">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由上述噪声衰减预测结果可知，厂界四周的噪声贡献值约为45.46-58.76dB(A)，可以满足《工业企业厂界环境噪声排放标准》（GB12348-2008）3类声环境功能区标准限值。</w:t>
            </w:r>
          </w:p>
          <w:p w14:paraId="3DE6C45A">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(2)对声环境保护目标影响分析</w:t>
            </w:r>
          </w:p>
          <w:p w14:paraId="59078B35">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本项目厂界外200m范围内无住宅区、人员密集区、学校、医院等声环境保护目标。在落实各项降噪措施后，本项目运行噪声不会对周边环境造成不利影响。</w:t>
            </w:r>
          </w:p>
          <w:p w14:paraId="11745A48">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综上所述，通过采取严格的噪声防治措施后，噪声对周围环境的影响可接受。</w:t>
            </w:r>
          </w:p>
          <w:p w14:paraId="37B83075">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4.5</w:t>
            </w:r>
            <w:r>
              <w:rPr>
                <w:rFonts w:ascii="Times New Roman" w:hAnsi="Times New Roman" w:eastAsia="宋体" w:cs="Times New Roman"/>
                <w:b/>
                <w:bCs/>
                <w:sz w:val="24"/>
              </w:rPr>
              <w:t>噪声</w:t>
            </w:r>
            <w:r>
              <w:rPr>
                <w:rFonts w:hint="eastAsia" w:ascii="Times New Roman" w:hAnsi="Times New Roman" w:eastAsia="宋体" w:cs="Times New Roman"/>
                <w:b/>
                <w:bCs/>
                <w:sz w:val="24"/>
              </w:rPr>
              <w:t>防治</w:t>
            </w:r>
            <w:r>
              <w:rPr>
                <w:rFonts w:ascii="Times New Roman" w:hAnsi="Times New Roman" w:eastAsia="宋体" w:cs="Times New Roman"/>
                <w:b/>
                <w:bCs/>
                <w:sz w:val="24"/>
              </w:rPr>
              <w:t>措施</w:t>
            </w:r>
            <w:r>
              <w:rPr>
                <w:rFonts w:hint="eastAsia" w:ascii="Times New Roman" w:hAnsi="Times New Roman" w:eastAsia="宋体" w:cs="Times New Roman"/>
                <w:b/>
                <w:bCs/>
                <w:sz w:val="24"/>
              </w:rPr>
              <w:t>及可行性分析</w:t>
            </w:r>
          </w:p>
          <w:p w14:paraId="3027CA1A">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本项目从声源控制、阻断传播途径及运营管理三个方面综合采取噪声防治措施：</w:t>
            </w:r>
          </w:p>
          <w:p w14:paraId="018119DF">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（1）</w:t>
            </w:r>
            <w:r>
              <w:rPr>
                <w:rFonts w:ascii="Times New Roman" w:hAnsi="Times New Roman" w:eastAsia="宋体" w:cs="Times New Roman"/>
                <w:sz w:val="24"/>
              </w:rPr>
              <w:t>在设备选型上优先选用低噪声设备，同时合理规划</w:t>
            </w:r>
            <w:r>
              <w:rPr>
                <w:rFonts w:hint="eastAsia" w:ascii="Times New Roman" w:hAnsi="Times New Roman" w:eastAsia="宋体" w:cs="Times New Roman"/>
                <w:sz w:val="24"/>
              </w:rPr>
              <w:t>厂区</w:t>
            </w:r>
            <w:r>
              <w:rPr>
                <w:rFonts w:ascii="Times New Roman" w:hAnsi="Times New Roman" w:eastAsia="宋体" w:cs="Times New Roman"/>
                <w:sz w:val="24"/>
              </w:rPr>
              <w:t>总图布局，将高噪声生产设备尽量集中布置于厂区中心位置，远离厂界；</w:t>
            </w:r>
          </w:p>
          <w:p w14:paraId="50CA2BFE">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Times New Roman" w:eastAsia="宋体" w:cs="Times New Roman"/>
                <w:sz w:val="24"/>
              </w:rPr>
              <w:t>针对主要高</w:t>
            </w:r>
            <w:r>
              <w:rPr>
                <w:rFonts w:hint="eastAsia" w:ascii="Times New Roman" w:hAnsi="Times New Roman" w:eastAsia="宋体" w:cs="Times New Roman"/>
                <w:sz w:val="24"/>
              </w:rPr>
              <w:t>噪声</w:t>
            </w:r>
            <w:r>
              <w:rPr>
                <w:rFonts w:ascii="Times New Roman" w:hAnsi="Times New Roman" w:eastAsia="宋体" w:cs="Times New Roman"/>
                <w:sz w:val="24"/>
              </w:rPr>
              <w:t>设备，严格落实基础减振措施；对风机等空气动力性噪声源安装消声器；对产生高强度机械噪声的设备（如拌合、筛分及输送系统等）采取隔声或设备隔声罩进行物理隔断</w:t>
            </w:r>
            <w:r>
              <w:rPr>
                <w:rFonts w:hint="eastAsia" w:ascii="Times New Roman" w:hAnsi="Times New Roman" w:eastAsia="宋体" w:cs="Times New Roman"/>
                <w:sz w:val="24"/>
              </w:rPr>
              <w:t>声源</w:t>
            </w:r>
            <w:r>
              <w:rPr>
                <w:rFonts w:ascii="Times New Roman" w:hAnsi="Times New Roman" w:eastAsia="宋体" w:cs="Times New Roman"/>
                <w:sz w:val="24"/>
              </w:rPr>
              <w:t>；</w:t>
            </w:r>
          </w:p>
          <w:p w14:paraId="7706A103">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（3）</w:t>
            </w:r>
            <w:r>
              <w:rPr>
                <w:rFonts w:ascii="Times New Roman" w:hAnsi="Times New Roman" w:eastAsia="宋体" w:cs="Times New Roman"/>
                <w:sz w:val="24"/>
              </w:rPr>
              <w:t>强化厂区内所有生产设备及输送设备的日常维护保养，定期检查、清洁、润滑，及时更换磨损严重部件，确保设备处于良好的运行状态，避免因设备松动或异常磨损产生额外噪音；</w:t>
            </w:r>
          </w:p>
          <w:p w14:paraId="545BF16A">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Times New Roman" w:eastAsia="宋体" w:cs="Times New Roman"/>
                <w:sz w:val="24"/>
              </w:rPr>
              <w:t>严格管理进出厂区的运输车辆，实行厂区内限速、禁鸣制度，合理规划运输路线避开</w:t>
            </w:r>
            <w:r>
              <w:rPr>
                <w:rFonts w:hint="eastAsia" w:ascii="Times New Roman" w:hAnsi="Times New Roman" w:eastAsia="宋体" w:cs="Times New Roman"/>
                <w:sz w:val="24"/>
              </w:rPr>
              <w:t>沿路</w:t>
            </w:r>
            <w:r>
              <w:rPr>
                <w:rFonts w:ascii="Times New Roman" w:hAnsi="Times New Roman" w:eastAsia="宋体" w:cs="Times New Roman"/>
                <w:sz w:val="24"/>
              </w:rPr>
              <w:t>环境敏感点，禁止夜间运输；同时，加强对运输车辆</w:t>
            </w:r>
            <w:r>
              <w:rPr>
                <w:rFonts w:hint="eastAsia" w:ascii="Times New Roman" w:hAnsi="Times New Roman" w:eastAsia="宋体" w:cs="Times New Roman"/>
                <w:sz w:val="24"/>
              </w:rPr>
              <w:t>、铲车等</w:t>
            </w:r>
            <w:r>
              <w:rPr>
                <w:rFonts w:ascii="Times New Roman" w:hAnsi="Times New Roman" w:eastAsia="宋体" w:cs="Times New Roman"/>
                <w:sz w:val="24"/>
              </w:rPr>
              <w:t>的日常检修保养，避免因车况不良产生额外的交通噪声。</w:t>
            </w:r>
          </w:p>
          <w:p w14:paraId="66495D20">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综上所述，本项目从源头选用低噪声设备，并通过基础减振、隔声、消声等综合降噪措施，结合厂区平面布局及空间距离自然衰减，</w:t>
            </w:r>
            <w:r>
              <w:rPr>
                <w:rFonts w:hint="eastAsia" w:ascii="Times New Roman" w:hAnsi="Times New Roman" w:eastAsia="宋体" w:cs="Times New Roman"/>
                <w:sz w:val="24"/>
              </w:rPr>
              <w:t>可有效降低本项目设备噪声对外环境产生的影响。在落实各项降噪措施后，本项目厂界噪声能够</w:t>
            </w:r>
            <w:r>
              <w:rPr>
                <w:rFonts w:ascii="Times New Roman" w:hAnsi="Times New Roman" w:eastAsia="宋体" w:cs="Times New Roman"/>
                <w:sz w:val="24"/>
              </w:rPr>
              <w:t>满足《工业企业厂界环境噪声排放标准》（GB12348-2008）中3类声环境功能区标准限值要求</w:t>
            </w:r>
            <w:r>
              <w:rPr>
                <w:rFonts w:hint="eastAsia" w:ascii="Times New Roman" w:hAnsi="Times New Roman" w:eastAsia="宋体" w:cs="Times New Roman"/>
                <w:sz w:val="24"/>
              </w:rPr>
              <w:t>，</w:t>
            </w:r>
            <w:r>
              <w:rPr>
                <w:rFonts w:ascii="Times New Roman" w:hAnsi="Times New Roman" w:eastAsia="宋体" w:cs="Times New Roman"/>
                <w:sz w:val="24"/>
              </w:rPr>
              <w:t>措施可行。</w:t>
            </w:r>
          </w:p>
          <w:p w14:paraId="27868ADD">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4.6噪声自行</w:t>
            </w:r>
            <w:r>
              <w:rPr>
                <w:rFonts w:ascii="Times New Roman" w:hAnsi="Times New Roman" w:eastAsia="宋体" w:cs="Times New Roman"/>
                <w:b/>
                <w:bCs/>
                <w:sz w:val="24"/>
              </w:rPr>
              <w:t>监测计划</w:t>
            </w:r>
          </w:p>
          <w:p w14:paraId="6F8A0BE3">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参照《排污单位自行监测技术指南总则》（HJ819-2017）、《排污许可证申请与核发技术规范 石墨及其他非金属矿物制品制造》（HJ1119-2020）制定本项目噪声监测计划，详见表4-34。</w:t>
            </w:r>
          </w:p>
          <w:p w14:paraId="1DF6E7DF">
            <w:pPr>
              <w:widowControl/>
              <w:wordWrap w:val="0"/>
              <w:topLinePunct/>
              <w:spacing w:line="360" w:lineRule="auto"/>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表4-34  噪声监测方案一览表</w:t>
            </w:r>
          </w:p>
          <w:tbl>
            <w:tblPr>
              <w:tblStyle w:val="29"/>
              <w:tblW w:w="49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1"/>
              <w:gridCol w:w="1401"/>
              <w:gridCol w:w="1198"/>
              <w:gridCol w:w="3276"/>
            </w:tblGrid>
            <w:tr w14:paraId="7EC5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330" w:type="pct"/>
                  <w:tcBorders>
                    <w:tl2br w:val="nil"/>
                    <w:tr2bl w:val="nil"/>
                  </w:tcBorders>
                  <w:vAlign w:val="center"/>
                </w:tcPr>
                <w:p w14:paraId="242A18C6">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监测点位</w:t>
                  </w:r>
                </w:p>
              </w:tc>
              <w:tc>
                <w:tcPr>
                  <w:tcW w:w="875" w:type="pct"/>
                  <w:tcBorders>
                    <w:tl2br w:val="nil"/>
                    <w:tr2bl w:val="nil"/>
                  </w:tcBorders>
                  <w:vAlign w:val="center"/>
                </w:tcPr>
                <w:p w14:paraId="7E0537B2">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监测指标</w:t>
                  </w:r>
                </w:p>
              </w:tc>
              <w:tc>
                <w:tcPr>
                  <w:tcW w:w="748" w:type="pct"/>
                  <w:tcBorders>
                    <w:tl2br w:val="nil"/>
                    <w:tr2bl w:val="nil"/>
                  </w:tcBorders>
                  <w:vAlign w:val="center"/>
                </w:tcPr>
                <w:p w14:paraId="2936AAB7">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监测频次</w:t>
                  </w:r>
                </w:p>
              </w:tc>
              <w:tc>
                <w:tcPr>
                  <w:tcW w:w="2045" w:type="pct"/>
                  <w:tcBorders>
                    <w:tl2br w:val="nil"/>
                    <w:tr2bl w:val="nil"/>
                  </w:tcBorders>
                  <w:vAlign w:val="center"/>
                </w:tcPr>
                <w:p w14:paraId="313FFC7B">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执行排放标准</w:t>
                  </w:r>
                </w:p>
              </w:tc>
            </w:tr>
            <w:tr w14:paraId="01075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330" w:type="pct"/>
                  <w:tcBorders>
                    <w:tl2br w:val="nil"/>
                    <w:tr2bl w:val="nil"/>
                  </w:tcBorders>
                  <w:vAlign w:val="center"/>
                </w:tcPr>
                <w:p w14:paraId="06F8448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厂界东侧（1#）</w:t>
                  </w:r>
                </w:p>
                <w:p w14:paraId="7D69F53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厂界南侧（2#）</w:t>
                  </w:r>
                </w:p>
                <w:p w14:paraId="64F20B3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厂界西侧（3#）</w:t>
                  </w:r>
                </w:p>
                <w:p w14:paraId="34A4FFB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厂界北侧（4#）</w:t>
                  </w:r>
                </w:p>
              </w:tc>
              <w:tc>
                <w:tcPr>
                  <w:tcW w:w="875" w:type="pct"/>
                  <w:tcBorders>
                    <w:tl2br w:val="nil"/>
                    <w:tr2bl w:val="nil"/>
                  </w:tcBorders>
                  <w:vAlign w:val="center"/>
                </w:tcPr>
                <w:p w14:paraId="38F3EFC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Leq(A)</w:t>
                  </w:r>
                </w:p>
              </w:tc>
              <w:tc>
                <w:tcPr>
                  <w:tcW w:w="748" w:type="pct"/>
                  <w:tcBorders>
                    <w:tl2br w:val="nil"/>
                    <w:tr2bl w:val="nil"/>
                  </w:tcBorders>
                  <w:vAlign w:val="center"/>
                </w:tcPr>
                <w:p w14:paraId="01431B7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季度/次</w:t>
                  </w:r>
                </w:p>
              </w:tc>
              <w:tc>
                <w:tcPr>
                  <w:tcW w:w="2045" w:type="pct"/>
                  <w:tcBorders>
                    <w:tl2br w:val="nil"/>
                    <w:tr2bl w:val="nil"/>
                  </w:tcBorders>
                  <w:vAlign w:val="center"/>
                </w:tcPr>
                <w:p w14:paraId="06803F4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《工业企业厂界环境噪声排放标准》（GB12348-2008）3类声环境功能区标准</w:t>
                  </w:r>
                </w:p>
              </w:tc>
            </w:tr>
          </w:tbl>
          <w:p w14:paraId="10A7D9BC">
            <w:pPr>
              <w:wordWrap w:val="0"/>
              <w:topLinePunct/>
              <w:spacing w:line="360" w:lineRule="auto"/>
              <w:rPr>
                <w:rFonts w:hint="eastAsia" w:ascii="Times New Roman" w:hAnsi="宋体" w:eastAsia="宋体" w:cs="Times New Roman"/>
                <w:b/>
                <w:sz w:val="24"/>
              </w:rPr>
            </w:pPr>
            <w:r>
              <w:rPr>
                <w:rFonts w:hint="eastAsia" w:ascii="Times New Roman" w:hAnsi="宋体" w:eastAsia="宋体" w:cs="Times New Roman"/>
                <w:b/>
                <w:sz w:val="24"/>
              </w:rPr>
              <w:t>5</w:t>
            </w:r>
            <w:r>
              <w:rPr>
                <w:rFonts w:ascii="Times New Roman" w:hAnsi="宋体" w:eastAsia="宋体" w:cs="Times New Roman"/>
                <w:b/>
                <w:sz w:val="24"/>
              </w:rPr>
              <w:t>固体废物影响分析及治理措施</w:t>
            </w:r>
          </w:p>
          <w:p w14:paraId="1258C157">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5.1固体废物产生情况</w:t>
            </w:r>
          </w:p>
          <w:p w14:paraId="71FDF16B">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本项目固体废弃物产生情况如下：</w:t>
            </w:r>
          </w:p>
          <w:p w14:paraId="36239104">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5.1.1一般工业固体废物</w:t>
            </w:r>
          </w:p>
          <w:p w14:paraId="0D7F2158">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（1）</w:t>
            </w:r>
            <w:r>
              <w:rPr>
                <w:rFonts w:ascii="Times New Roman" w:hAnsi="Times New Roman" w:eastAsia="宋体" w:cs="Times New Roman"/>
                <w:sz w:val="24"/>
              </w:rPr>
              <w:t>除尘灰</w:t>
            </w:r>
          </w:p>
          <w:p w14:paraId="612EED1B">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本项目烘干工序（</w:t>
            </w:r>
            <w:r>
              <w:rPr>
                <w:rFonts w:hint="eastAsia" w:ascii="Times New Roman" w:hAnsi="Times New Roman" w:eastAsia="宋体" w:cs="Times New Roman"/>
                <w:sz w:val="24"/>
              </w:rPr>
              <w:t>含</w:t>
            </w:r>
            <w:r>
              <w:rPr>
                <w:rFonts w:ascii="Times New Roman" w:hAnsi="Times New Roman" w:eastAsia="宋体" w:cs="Times New Roman"/>
                <w:sz w:val="24"/>
              </w:rPr>
              <w:t>烘干滚筒燃烧器燃油废气）、筛分工序及热骨料仓产生的混合废气，经</w:t>
            </w:r>
            <w:r>
              <w:rPr>
                <w:rFonts w:hint="eastAsia" w:ascii="Times New Roman" w:hAnsi="Times New Roman" w:eastAsia="宋体" w:cs="Times New Roman"/>
                <w:sz w:val="24"/>
              </w:rPr>
              <w:t>“</w:t>
            </w:r>
            <w:r>
              <w:rPr>
                <w:rFonts w:ascii="Times New Roman" w:hAnsi="Times New Roman" w:eastAsia="宋体" w:cs="Times New Roman"/>
                <w:sz w:val="24"/>
              </w:rPr>
              <w:t>蜗壳除尘+布袋除尘器</w:t>
            </w:r>
            <w:r>
              <w:rPr>
                <w:rFonts w:hint="eastAsia" w:ascii="Times New Roman" w:hAnsi="Times New Roman" w:eastAsia="宋体" w:cs="Times New Roman"/>
                <w:sz w:val="24"/>
              </w:rPr>
              <w:t>”</w:t>
            </w:r>
            <w:r>
              <w:rPr>
                <w:rFonts w:ascii="Times New Roman" w:hAnsi="Times New Roman" w:eastAsia="宋体" w:cs="Times New Roman"/>
                <w:sz w:val="24"/>
              </w:rPr>
              <w:t>收集处理后，通过1根22m高排气筒排放。根据前文2.2节</w:t>
            </w:r>
            <w:r>
              <w:rPr>
                <w:rFonts w:hint="eastAsia" w:ascii="Times New Roman" w:hAnsi="Times New Roman" w:eastAsia="宋体" w:cs="Times New Roman"/>
                <w:sz w:val="24"/>
              </w:rPr>
              <w:t>源强</w:t>
            </w:r>
            <w:r>
              <w:rPr>
                <w:rFonts w:ascii="Times New Roman" w:hAnsi="Times New Roman" w:eastAsia="宋体" w:cs="Times New Roman"/>
                <w:sz w:val="24"/>
              </w:rPr>
              <w:t>核算，进入该除尘系统的粉尘量为40.689t/a。除尘系统收集的干粉尘经回收粉提升螺旋输送至回收粉仓，经粉尘加湿装置</w:t>
            </w:r>
            <w:r>
              <w:rPr>
                <w:rFonts w:hint="eastAsia" w:ascii="Times New Roman" w:hAnsi="Times New Roman" w:eastAsia="宋体" w:cs="Times New Roman"/>
                <w:sz w:val="24"/>
              </w:rPr>
              <w:t>湿化</w:t>
            </w:r>
            <w:r>
              <w:rPr>
                <w:rFonts w:ascii="Times New Roman" w:hAnsi="Times New Roman" w:eastAsia="宋体" w:cs="Times New Roman"/>
                <w:sz w:val="24"/>
              </w:rPr>
              <w:t>处理后，进入半封闭废料仓（1#）</w:t>
            </w:r>
            <w:r>
              <w:rPr>
                <w:rFonts w:hint="eastAsia" w:ascii="Times New Roman" w:hAnsi="Times New Roman" w:eastAsia="宋体" w:cs="Times New Roman"/>
                <w:sz w:val="24"/>
              </w:rPr>
              <w:t>缓冲</w:t>
            </w:r>
            <w:r>
              <w:rPr>
                <w:rFonts w:ascii="Times New Roman" w:hAnsi="Times New Roman" w:eastAsia="宋体" w:cs="Times New Roman"/>
                <w:sz w:val="24"/>
              </w:rPr>
              <w:t>暂存</w:t>
            </w:r>
            <w:r>
              <w:rPr>
                <w:rFonts w:hint="eastAsia" w:ascii="Times New Roman" w:hAnsi="Times New Roman" w:eastAsia="宋体" w:cs="Times New Roman"/>
                <w:sz w:val="24"/>
              </w:rPr>
              <w:t>，装袋后转移至一般固体废物暂存间，</w:t>
            </w:r>
            <w:r>
              <w:rPr>
                <w:rFonts w:ascii="Times New Roman" w:hAnsi="Times New Roman" w:eastAsia="宋体" w:cs="Times New Roman"/>
                <w:sz w:val="24"/>
              </w:rPr>
              <w:t>最终外售</w:t>
            </w:r>
            <w:r>
              <w:rPr>
                <w:rFonts w:hint="eastAsia" w:ascii="Times New Roman" w:hAnsi="Times New Roman" w:eastAsia="宋体" w:cs="Times New Roman"/>
                <w:sz w:val="24"/>
              </w:rPr>
              <w:t>至</w:t>
            </w:r>
            <w:r>
              <w:rPr>
                <w:rFonts w:ascii="Times New Roman" w:hAnsi="Times New Roman" w:eastAsia="宋体" w:cs="Times New Roman"/>
                <w:sz w:val="24"/>
              </w:rPr>
              <w:t>建材企业进行资源化</w:t>
            </w:r>
            <w:r>
              <w:rPr>
                <w:rFonts w:hint="eastAsia" w:ascii="Times New Roman" w:hAnsi="Times New Roman" w:eastAsia="宋体" w:cs="Times New Roman"/>
                <w:sz w:val="24"/>
              </w:rPr>
              <w:t>综合</w:t>
            </w:r>
            <w:r>
              <w:rPr>
                <w:rFonts w:ascii="Times New Roman" w:hAnsi="Times New Roman" w:eastAsia="宋体" w:cs="Times New Roman"/>
                <w:sz w:val="24"/>
              </w:rPr>
              <w:t>利用。</w:t>
            </w:r>
          </w:p>
          <w:p w14:paraId="604B113A">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（2）不合格石料</w:t>
            </w:r>
          </w:p>
          <w:p w14:paraId="3AE0D7E8">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根据建设单位提供的沥青混凝土生产配比参数，石料筛分损失及残料</w:t>
            </w:r>
            <w:r>
              <w:rPr>
                <w:rFonts w:hint="eastAsia" w:ascii="Times New Roman" w:hAnsi="Times New Roman" w:eastAsia="宋体" w:cs="Times New Roman"/>
                <w:sz w:val="24"/>
              </w:rPr>
              <w:t>综合</w:t>
            </w:r>
            <w:r>
              <w:rPr>
                <w:rFonts w:ascii="Times New Roman" w:hAnsi="Times New Roman" w:eastAsia="宋体" w:cs="Times New Roman"/>
                <w:sz w:val="24"/>
              </w:rPr>
              <w:t>占比约为15%，据此计算，不合格石料产生量约为24716.981t/a。</w:t>
            </w:r>
          </w:p>
          <w:p w14:paraId="5EC7A018">
            <w:pPr>
              <w:wordWrap w:val="0"/>
              <w:topLinePunct/>
              <w:spacing w:line="360" w:lineRule="auto"/>
              <w:ind w:firstLine="480" w:firstLineChars="200"/>
              <w:rPr>
                <w:rFonts w:ascii="Times New Roman" w:hAnsi="Times New Roman" w:eastAsia="宋体" w:cs="Times New Roman"/>
                <w:color w:val="FF0000"/>
                <w:sz w:val="24"/>
              </w:rPr>
            </w:pPr>
            <w:r>
              <w:rPr>
                <w:rFonts w:ascii="Times New Roman" w:hAnsi="Times New Roman" w:eastAsia="宋体" w:cs="Times New Roman"/>
                <w:sz w:val="24"/>
              </w:rPr>
              <w:t>本项目石料经振动筛进行分级筛选，粒径满足要求的石料进入搅拌工序，不符合粒径要求的石料及筛分残料经筛分设备分离后，通过废料管排出，进入（2#）半封闭废料仓</w:t>
            </w:r>
            <w:r>
              <w:rPr>
                <w:rFonts w:hint="eastAsia" w:ascii="Times New Roman" w:hAnsi="Times New Roman" w:eastAsia="宋体" w:cs="Times New Roman"/>
                <w:sz w:val="24"/>
              </w:rPr>
              <w:t>（接收仓）缓冲收集后</w:t>
            </w:r>
            <w:r>
              <w:rPr>
                <w:rFonts w:ascii="Times New Roman" w:hAnsi="Times New Roman" w:eastAsia="宋体" w:cs="Times New Roman"/>
                <w:sz w:val="24"/>
              </w:rPr>
              <w:t>，</w:t>
            </w:r>
            <w:r>
              <w:rPr>
                <w:rFonts w:hint="eastAsia" w:ascii="Times New Roman" w:hAnsi="Times New Roman" w:eastAsia="宋体" w:cs="Times New Roman"/>
                <w:sz w:val="24"/>
              </w:rPr>
              <w:t>转运至原料堆棚分类堆放，</w:t>
            </w:r>
            <w:r>
              <w:rPr>
                <w:rFonts w:ascii="Times New Roman" w:hAnsi="Times New Roman" w:eastAsia="宋体" w:cs="Times New Roman"/>
                <w:sz w:val="24"/>
              </w:rPr>
              <w:t>定期由石料供应商回收，经破碎加工后重新利用。</w:t>
            </w:r>
          </w:p>
          <w:p w14:paraId="2B559721">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（3）车辆冲洗废水沉淀池沉渣</w:t>
            </w:r>
          </w:p>
          <w:p w14:paraId="0D93A1BC">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根据建设单位提供的经验数据，并类比同类型项目，本项目车辆冲洗废水沉淀池沉渣产生量约为0.08t/a</w:t>
            </w:r>
            <w:r>
              <w:rPr>
                <w:rFonts w:hint="eastAsia" w:ascii="Times New Roman" w:hAnsi="Times New Roman" w:eastAsia="宋体" w:cs="Times New Roman"/>
                <w:sz w:val="24"/>
              </w:rPr>
              <w:t>，</w:t>
            </w:r>
            <w:r>
              <w:rPr>
                <w:rFonts w:ascii="Times New Roman" w:hAnsi="Times New Roman" w:eastAsia="宋体" w:cs="Times New Roman"/>
                <w:sz w:val="24"/>
              </w:rPr>
              <w:t>沉渣主要由车辆轮胎冲洗废水中夹带的砂石颗粒、泥土及极少量沥青残渣组成</w:t>
            </w:r>
            <w:r>
              <w:rPr>
                <w:rFonts w:hint="eastAsia" w:ascii="Times New Roman" w:hAnsi="Times New Roman" w:eastAsia="宋体" w:cs="Times New Roman"/>
                <w:sz w:val="24"/>
              </w:rPr>
              <w:t>，定期收集后</w:t>
            </w:r>
            <w:r>
              <w:rPr>
                <w:rFonts w:ascii="Times New Roman" w:hAnsi="Times New Roman" w:eastAsia="宋体" w:cs="Times New Roman"/>
                <w:sz w:val="24"/>
              </w:rPr>
              <w:t>最终外售</w:t>
            </w:r>
            <w:r>
              <w:rPr>
                <w:rFonts w:hint="eastAsia" w:ascii="Times New Roman" w:hAnsi="Times New Roman" w:eastAsia="宋体" w:cs="Times New Roman"/>
                <w:sz w:val="24"/>
              </w:rPr>
              <w:t>至</w:t>
            </w:r>
            <w:r>
              <w:rPr>
                <w:rFonts w:ascii="Times New Roman" w:hAnsi="Times New Roman" w:eastAsia="宋体" w:cs="Times New Roman"/>
                <w:sz w:val="24"/>
              </w:rPr>
              <w:t>建材企业进行资源化</w:t>
            </w:r>
            <w:r>
              <w:rPr>
                <w:rFonts w:hint="eastAsia" w:ascii="Times New Roman" w:hAnsi="Times New Roman" w:eastAsia="宋体" w:cs="Times New Roman"/>
                <w:sz w:val="24"/>
              </w:rPr>
              <w:t>综合</w:t>
            </w:r>
            <w:r>
              <w:rPr>
                <w:rFonts w:ascii="Times New Roman" w:hAnsi="Times New Roman" w:eastAsia="宋体" w:cs="Times New Roman"/>
                <w:sz w:val="24"/>
              </w:rPr>
              <w:t>利用。</w:t>
            </w:r>
          </w:p>
          <w:p w14:paraId="73B06D7B">
            <w:pPr>
              <w:wordWrap w:val="0"/>
              <w:topLinePunct/>
              <w:spacing w:line="360" w:lineRule="auto"/>
              <w:ind w:firstLine="480" w:firstLineChars="200"/>
              <w:rPr>
                <w:rFonts w:ascii="Times New Roman" w:hAnsi="Times New Roman" w:eastAsia="宋体" w:cs="Times New Roman"/>
                <w:color w:val="FF0000"/>
                <w:sz w:val="24"/>
              </w:rPr>
            </w:pPr>
            <w:r>
              <w:rPr>
                <w:rFonts w:ascii="Times New Roman" w:hAnsi="Times New Roman" w:eastAsia="宋体" w:cs="Times New Roman"/>
                <w:sz w:val="24"/>
              </w:rPr>
              <w:t>（4）废布袋</w:t>
            </w:r>
            <w:r>
              <w:rPr>
                <w:rFonts w:hint="eastAsia" w:ascii="Times New Roman" w:hAnsi="Times New Roman" w:eastAsia="宋体" w:cs="Times New Roman"/>
                <w:sz w:val="24"/>
              </w:rPr>
              <w:t>、废滤芯</w:t>
            </w:r>
          </w:p>
          <w:p w14:paraId="5264ECC3">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本项目</w:t>
            </w:r>
            <w:r>
              <w:rPr>
                <w:rFonts w:hint="eastAsia" w:ascii="Times New Roman" w:hAnsi="Times New Roman" w:eastAsia="宋体" w:cs="Times New Roman"/>
                <w:sz w:val="24"/>
              </w:rPr>
              <w:t>“</w:t>
            </w:r>
            <w:r>
              <w:rPr>
                <w:rFonts w:ascii="Times New Roman" w:hAnsi="Times New Roman" w:eastAsia="宋体" w:cs="Times New Roman"/>
                <w:sz w:val="24"/>
              </w:rPr>
              <w:t>蜗壳除尘+布袋除尘器</w:t>
            </w:r>
            <w:r>
              <w:rPr>
                <w:rFonts w:hint="eastAsia" w:ascii="Times New Roman" w:hAnsi="Times New Roman" w:eastAsia="宋体" w:cs="Times New Roman"/>
                <w:sz w:val="24"/>
              </w:rPr>
              <w:t>”</w:t>
            </w:r>
            <w:r>
              <w:rPr>
                <w:rFonts w:ascii="Times New Roman" w:hAnsi="Times New Roman" w:eastAsia="宋体" w:cs="Times New Roman"/>
                <w:sz w:val="24"/>
              </w:rPr>
              <w:t>的布袋</w:t>
            </w:r>
            <w:r>
              <w:rPr>
                <w:rFonts w:hint="eastAsia" w:ascii="Times New Roman" w:hAnsi="Times New Roman" w:eastAsia="宋体" w:cs="Times New Roman"/>
                <w:sz w:val="24"/>
              </w:rPr>
              <w:t>（滤袋）</w:t>
            </w:r>
            <w:r>
              <w:rPr>
                <w:rFonts w:ascii="Times New Roman" w:hAnsi="Times New Roman" w:eastAsia="宋体" w:cs="Times New Roman"/>
                <w:sz w:val="24"/>
              </w:rPr>
              <w:t>，以及矿粉筒仓顶部振动式仓顶收尘机的滤芯，</w:t>
            </w:r>
            <w:r>
              <w:rPr>
                <w:rFonts w:hint="eastAsia" w:ascii="Times New Roman" w:hAnsi="Times New Roman" w:eastAsia="宋体" w:cs="Times New Roman"/>
                <w:sz w:val="24"/>
              </w:rPr>
              <w:t>因</w:t>
            </w:r>
            <w:r>
              <w:rPr>
                <w:rFonts w:ascii="Times New Roman" w:hAnsi="Times New Roman" w:eastAsia="宋体" w:cs="Times New Roman"/>
                <w:sz w:val="24"/>
              </w:rPr>
              <w:t>长期受粉尘磨削和气流冲击，会逐渐出现磨损、破损或堵塞，需根据设备运行状况定期更换。</w:t>
            </w:r>
            <w:r>
              <w:rPr>
                <w:rFonts w:hint="eastAsia" w:ascii="Times New Roman" w:hAnsi="Times New Roman" w:eastAsia="宋体" w:cs="Times New Roman"/>
                <w:sz w:val="24"/>
              </w:rPr>
              <w:t>类比同类型项目，</w:t>
            </w:r>
            <w:r>
              <w:rPr>
                <w:rFonts w:ascii="Times New Roman" w:hAnsi="Times New Roman" w:eastAsia="宋体" w:cs="Times New Roman"/>
                <w:sz w:val="24"/>
              </w:rPr>
              <w:t>废布袋</w:t>
            </w:r>
            <w:r>
              <w:rPr>
                <w:rFonts w:hint="eastAsia" w:ascii="Times New Roman" w:hAnsi="Times New Roman" w:eastAsia="宋体" w:cs="Times New Roman"/>
                <w:sz w:val="24"/>
              </w:rPr>
              <w:t>（滤袋）</w:t>
            </w:r>
            <w:r>
              <w:rPr>
                <w:rFonts w:ascii="Times New Roman" w:hAnsi="Times New Roman" w:eastAsia="宋体" w:cs="Times New Roman"/>
                <w:sz w:val="24"/>
              </w:rPr>
              <w:t>、废滤芯产生量约为0.8t/a</w:t>
            </w:r>
            <w:r>
              <w:rPr>
                <w:rFonts w:hint="eastAsia" w:ascii="Times New Roman" w:hAnsi="Times New Roman" w:eastAsia="宋体" w:cs="Times New Roman"/>
                <w:sz w:val="24"/>
              </w:rPr>
              <w:t>，</w:t>
            </w:r>
            <w:r>
              <w:rPr>
                <w:rFonts w:ascii="Times New Roman" w:hAnsi="Times New Roman" w:eastAsia="宋体" w:cs="Times New Roman"/>
                <w:sz w:val="24"/>
              </w:rPr>
              <w:t>经统一收集后，</w:t>
            </w:r>
            <w:r>
              <w:rPr>
                <w:rFonts w:hint="eastAsia" w:ascii="Times New Roman" w:hAnsi="Times New Roman" w:eastAsia="宋体" w:cs="Times New Roman"/>
                <w:sz w:val="24"/>
              </w:rPr>
              <w:t>定期</w:t>
            </w:r>
            <w:r>
              <w:rPr>
                <w:rFonts w:ascii="Times New Roman" w:hAnsi="Times New Roman" w:eastAsia="宋体" w:cs="Times New Roman"/>
                <w:sz w:val="24"/>
              </w:rPr>
              <w:t>返回原供应商进行回收</w:t>
            </w:r>
            <w:r>
              <w:rPr>
                <w:rFonts w:hint="eastAsia" w:ascii="Times New Roman" w:hAnsi="Times New Roman" w:eastAsia="宋体" w:cs="Times New Roman"/>
                <w:sz w:val="24"/>
              </w:rPr>
              <w:t>利用</w:t>
            </w:r>
            <w:r>
              <w:rPr>
                <w:rFonts w:ascii="Times New Roman" w:hAnsi="Times New Roman" w:eastAsia="宋体" w:cs="Times New Roman"/>
                <w:sz w:val="24"/>
              </w:rPr>
              <w:t>。</w:t>
            </w:r>
          </w:p>
          <w:p w14:paraId="04DBD008">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（5）</w:t>
            </w:r>
            <w:r>
              <w:rPr>
                <w:rFonts w:ascii="Times New Roman" w:hAnsi="Times New Roman" w:eastAsia="宋体" w:cs="Times New Roman"/>
                <w:sz w:val="24"/>
              </w:rPr>
              <w:t>滴漏沥青及拌合残渣</w:t>
            </w:r>
          </w:p>
          <w:p w14:paraId="7FC8788D">
            <w:pPr>
              <w:wordWrap w:val="0"/>
              <w:topLinePunct/>
              <w:spacing w:line="360" w:lineRule="auto"/>
              <w:ind w:firstLine="480" w:firstLineChars="200"/>
              <w:rPr>
                <w:rFonts w:ascii="Times New Roman" w:hAnsi="Times New Roman" w:eastAsia="宋体" w:cs="Times New Roman"/>
                <w:color w:val="FF0000"/>
                <w:sz w:val="24"/>
              </w:rPr>
            </w:pPr>
            <w:r>
              <w:rPr>
                <w:rFonts w:ascii="Times New Roman" w:hAnsi="Times New Roman" w:eastAsia="宋体" w:cs="Times New Roman"/>
                <w:sz w:val="24"/>
              </w:rPr>
              <w:t>本项目在散装沥青运输车辆卸料入罐，以及沥青泵输送沥青过程中，由于设备接口密封性能及操作过程影响，可能产生少量滴漏沥青；同时，搅拌设备运行过程中会产生少量拌合残渣。类比同类型项目，滴漏沥青及拌合残渣产生量约为1.5t/a</w:t>
            </w:r>
            <w:r>
              <w:rPr>
                <w:rFonts w:hint="eastAsia" w:ascii="Times New Roman" w:hAnsi="Times New Roman" w:eastAsia="宋体" w:cs="Times New Roman"/>
                <w:sz w:val="24"/>
              </w:rPr>
              <w:t>，及时清理，经收集后</w:t>
            </w:r>
            <w:r>
              <w:rPr>
                <w:rFonts w:ascii="Times New Roman" w:hAnsi="Times New Roman" w:eastAsia="宋体" w:cs="Times New Roman"/>
                <w:sz w:val="24"/>
              </w:rPr>
              <w:t>直接返回沥青混凝土拌合生产工序中重复利用。</w:t>
            </w:r>
          </w:p>
          <w:p w14:paraId="48C5BB86">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5.1.2生活垃圾</w:t>
            </w:r>
          </w:p>
          <w:p w14:paraId="64B7D8B9">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（1）</w:t>
            </w:r>
            <w:r>
              <w:rPr>
                <w:rFonts w:ascii="Times New Roman" w:hAnsi="Times New Roman" w:eastAsia="宋体" w:cs="Times New Roman"/>
                <w:sz w:val="24"/>
              </w:rPr>
              <w:t>职工生活垃圾</w:t>
            </w:r>
          </w:p>
          <w:p w14:paraId="7C021143">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本项目劳动定员5人，生活垃圾产生量按0.5kg/(人·d)计，则生活垃圾产生量为0.45t/a。</w:t>
            </w:r>
            <w:r>
              <w:rPr>
                <w:rFonts w:hint="eastAsia" w:ascii="Times New Roman" w:hAnsi="Times New Roman" w:eastAsia="宋体" w:cs="Times New Roman"/>
                <w:sz w:val="24"/>
              </w:rPr>
              <w:t>分类收集、避雨存放，由工业园区环卫定期清运处置。</w:t>
            </w:r>
          </w:p>
          <w:p w14:paraId="765D324B">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（2）食堂餐厨垃圾</w:t>
            </w:r>
          </w:p>
          <w:p w14:paraId="705F6A4B">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食堂餐厨垃圾产生量按0.3kg/</w:t>
            </w:r>
            <w:r>
              <w:rPr>
                <w:rFonts w:ascii="Times New Roman" w:hAnsi="Times New Roman" w:eastAsia="宋体" w:cs="Times New Roman"/>
                <w:sz w:val="24"/>
              </w:rPr>
              <w:t>(人·d)</w:t>
            </w:r>
            <w:r>
              <w:rPr>
                <w:rFonts w:hint="eastAsia" w:ascii="Times New Roman" w:hAnsi="Times New Roman" w:eastAsia="宋体" w:cs="Times New Roman"/>
                <w:sz w:val="24"/>
              </w:rPr>
              <w:t>计，本项目食堂就餐人数按5人/d计，则餐厨垃圾产生量约为0.27t/a。经加盖收集桶收集后由工业园区指定专业单位定期集中清运、处置。</w:t>
            </w:r>
          </w:p>
          <w:p w14:paraId="177DB39D">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（3）隔油池、化粪池沉渣</w:t>
            </w:r>
          </w:p>
          <w:p w14:paraId="4C6044F5">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根据各污染物削减量及含水率综合核算，化粪池湿沉渣年产生量约为0.164t/a，隔油池油脂及沉积混合物年产生量约为0.023</w:t>
            </w:r>
            <w:r>
              <w:rPr>
                <w:rFonts w:ascii="Times New Roman" w:hAnsi="Times New Roman" w:eastAsia="宋体" w:cs="Times New Roman"/>
                <w:sz w:val="24"/>
              </w:rPr>
              <w:t>t/</w:t>
            </w:r>
            <w:r>
              <w:rPr>
                <w:rFonts w:hint="eastAsia" w:ascii="Times New Roman" w:hAnsi="Times New Roman" w:eastAsia="宋体" w:cs="Times New Roman"/>
                <w:sz w:val="24"/>
              </w:rPr>
              <w:t>a。为保障预处理设施的稳定运行及去除效率，防止设施淤积及异味产生，定期委托专业吸污车对化粪池进行抽吸清运；隔油池油脂及沉积混合物清掏后，交由具备专业餐厨废弃物处理能力的单位进行无害化处置。运营期，建设单位应签订处置协议。</w:t>
            </w:r>
          </w:p>
          <w:p w14:paraId="24424A51">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5.1.3危险废物</w:t>
            </w:r>
          </w:p>
          <w:p w14:paraId="1E29BAB4">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w:t>
            </w:r>
            <w:r>
              <w:rPr>
                <w:rFonts w:hint="eastAsia" w:ascii="Times New Roman" w:hAnsi="Times New Roman" w:eastAsia="宋体" w:cs="Times New Roman"/>
                <w:sz w:val="24"/>
              </w:rPr>
              <w:t>1</w:t>
            </w:r>
            <w:r>
              <w:rPr>
                <w:rFonts w:ascii="Times New Roman" w:hAnsi="Times New Roman" w:eastAsia="宋体" w:cs="Times New Roman"/>
                <w:sz w:val="24"/>
              </w:rPr>
              <w:t>）废活性炭</w:t>
            </w:r>
          </w:p>
          <w:p w14:paraId="41EC447C">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根据前述2.2节</w:t>
            </w:r>
            <w:r>
              <w:rPr>
                <w:rFonts w:hint="eastAsia" w:ascii="Times New Roman" w:hAnsi="Times New Roman" w:eastAsia="宋体" w:cs="Times New Roman"/>
                <w:sz w:val="24"/>
              </w:rPr>
              <w:t>源强核算</w:t>
            </w:r>
            <w:r>
              <w:rPr>
                <w:rFonts w:ascii="Times New Roman" w:hAnsi="Times New Roman" w:eastAsia="宋体" w:cs="Times New Roman"/>
                <w:sz w:val="24"/>
              </w:rPr>
              <w:t>结果，DA002沥青烟气</w:t>
            </w:r>
            <w:r>
              <w:rPr>
                <w:rFonts w:hint="eastAsia" w:ascii="Times New Roman" w:hAnsi="Times New Roman" w:eastAsia="宋体" w:cs="Times New Roman"/>
                <w:sz w:val="24"/>
              </w:rPr>
              <w:t>（含搅拌粉尘）采用“洗涤塔+电捕焦油器+等离子光解净化除尘器+活性炭吸附装置”</w:t>
            </w:r>
            <w:r>
              <w:rPr>
                <w:rFonts w:ascii="Times New Roman" w:hAnsi="Times New Roman" w:eastAsia="宋体" w:cs="Times New Roman"/>
                <w:sz w:val="24"/>
              </w:rPr>
              <w:t>处理</w:t>
            </w:r>
            <w:r>
              <w:rPr>
                <w:rFonts w:hint="eastAsia" w:ascii="Times New Roman" w:hAnsi="Times New Roman" w:eastAsia="宋体" w:cs="Times New Roman"/>
                <w:sz w:val="24"/>
              </w:rPr>
              <w:t>，</w:t>
            </w:r>
            <w:r>
              <w:rPr>
                <w:rFonts w:ascii="Times New Roman" w:hAnsi="Times New Roman" w:eastAsia="宋体" w:cs="Times New Roman"/>
                <w:sz w:val="24"/>
              </w:rPr>
              <w:t>根据设计参数，</w:t>
            </w:r>
            <w:r>
              <w:rPr>
                <w:rFonts w:hint="eastAsia" w:ascii="Times New Roman" w:hAnsi="Times New Roman" w:eastAsia="宋体" w:cs="Times New Roman"/>
                <w:sz w:val="24"/>
              </w:rPr>
              <w:t>活性炭吸附单元</w:t>
            </w:r>
            <w:r>
              <w:rPr>
                <w:rFonts w:ascii="Times New Roman" w:hAnsi="Times New Roman" w:eastAsia="宋体" w:cs="Times New Roman"/>
                <w:sz w:val="24"/>
              </w:rPr>
              <w:t>活性炭装填量为5.4t</w:t>
            </w:r>
            <w:r>
              <w:rPr>
                <w:rFonts w:hint="eastAsia" w:ascii="Times New Roman" w:hAnsi="Times New Roman" w:eastAsia="宋体" w:cs="Times New Roman"/>
                <w:sz w:val="24"/>
              </w:rPr>
              <w:t>，</w:t>
            </w:r>
            <w:r>
              <w:rPr>
                <w:rFonts w:ascii="Times New Roman" w:hAnsi="Times New Roman" w:eastAsia="宋体" w:cs="Times New Roman"/>
                <w:sz w:val="24"/>
              </w:rPr>
              <w:t>所采用活性炭碘值为800mg/g，挥发性有机废气综合动态吸附容量按15%计，</w:t>
            </w:r>
            <w:r>
              <w:rPr>
                <w:rFonts w:hint="eastAsia" w:ascii="Times New Roman" w:hAnsi="Times New Roman" w:eastAsia="宋体" w:cs="Times New Roman"/>
                <w:sz w:val="24"/>
              </w:rPr>
              <w:t>则</w:t>
            </w:r>
            <w:r>
              <w:rPr>
                <w:rFonts w:ascii="Times New Roman" w:hAnsi="Times New Roman" w:eastAsia="宋体" w:cs="Times New Roman"/>
                <w:sz w:val="24"/>
              </w:rPr>
              <w:t>单次更换废活性炭产生量约为6.21t。DA002活性炭吸附单元活性炭按每季度更换1次（90天/次）计，项目年运行180天，全年需更换约2次，</w:t>
            </w:r>
            <w:r>
              <w:rPr>
                <w:rFonts w:hint="eastAsia" w:ascii="Times New Roman" w:hAnsi="Times New Roman" w:eastAsia="宋体" w:cs="Times New Roman"/>
                <w:sz w:val="24"/>
              </w:rPr>
              <w:t>则</w:t>
            </w:r>
            <w:r>
              <w:rPr>
                <w:rFonts w:ascii="Times New Roman" w:hAnsi="Times New Roman" w:eastAsia="宋体" w:cs="Times New Roman"/>
                <w:sz w:val="24"/>
              </w:rPr>
              <w:t>废活性炭年产生量约为12.42t/a。</w:t>
            </w:r>
          </w:p>
          <w:p w14:paraId="200C32A0">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DA003乳化沥青胶磨工序废气经二级活性炭吸附装置处理后排放。根据设计参数，活性炭装填量为0.5t，所采用活性炭动态吸附容量按15%计，单次更换废活性炭产生量约为0.575t。考虑该</w:t>
            </w:r>
            <w:r>
              <w:rPr>
                <w:rFonts w:hint="eastAsia" w:ascii="Times New Roman" w:hAnsi="Times New Roman" w:eastAsia="宋体" w:cs="Times New Roman"/>
                <w:sz w:val="24"/>
              </w:rPr>
              <w:t>生产线</w:t>
            </w:r>
            <w:r>
              <w:rPr>
                <w:rFonts w:ascii="Times New Roman" w:hAnsi="Times New Roman" w:eastAsia="宋体" w:cs="Times New Roman"/>
                <w:sz w:val="24"/>
              </w:rPr>
              <w:t>年生产时间较短（约50h），活性炭更换周期按2年/次计，折算废活性炭年产生量约为0.288t/a。</w:t>
            </w:r>
          </w:p>
          <w:p w14:paraId="0EFED4FB">
            <w:pPr>
              <w:wordWrap w:val="0"/>
              <w:topLinePunct/>
              <w:spacing w:line="360" w:lineRule="auto"/>
              <w:ind w:firstLine="480" w:firstLineChars="200"/>
              <w:rPr>
                <w:rFonts w:ascii="Times New Roman" w:hAnsi="Times New Roman" w:eastAsia="宋体" w:cs="Times New Roman"/>
                <w:color w:val="FF0000"/>
                <w:sz w:val="24"/>
              </w:rPr>
            </w:pPr>
            <w:r>
              <w:rPr>
                <w:rFonts w:hint="eastAsia" w:ascii="Times New Roman" w:hAnsi="Times New Roman" w:eastAsia="宋体" w:cs="Times New Roman"/>
                <w:sz w:val="24"/>
              </w:rPr>
              <w:t>根据</w:t>
            </w:r>
            <w:r>
              <w:rPr>
                <w:rFonts w:ascii="Times New Roman" w:hAnsi="Times New Roman" w:eastAsia="宋体" w:cs="Times New Roman"/>
                <w:sz w:val="24"/>
              </w:rPr>
              <w:t>《国家危险废物名录》（2025年版），该</w:t>
            </w:r>
            <w:r>
              <w:rPr>
                <w:rFonts w:hint="eastAsia" w:ascii="Times New Roman" w:hAnsi="Times New Roman" w:eastAsia="宋体" w:cs="Times New Roman"/>
                <w:sz w:val="24"/>
              </w:rPr>
              <w:t>危险废物</w:t>
            </w:r>
            <w:r>
              <w:rPr>
                <w:rFonts w:ascii="Times New Roman" w:hAnsi="Times New Roman" w:eastAsia="宋体" w:cs="Times New Roman"/>
                <w:sz w:val="24"/>
              </w:rPr>
              <w:t>类别为HW49其他废物</w:t>
            </w:r>
            <w:r>
              <w:rPr>
                <w:rFonts w:hint="eastAsia" w:ascii="Times New Roman" w:hAnsi="Times New Roman" w:eastAsia="宋体" w:cs="Times New Roman"/>
                <w:sz w:val="24"/>
              </w:rPr>
              <w:t>，危险废物</w:t>
            </w:r>
            <w:r>
              <w:rPr>
                <w:rFonts w:ascii="Times New Roman" w:hAnsi="Times New Roman" w:eastAsia="宋体" w:cs="Times New Roman"/>
                <w:sz w:val="24"/>
              </w:rPr>
              <w:t>代码900-039-49（</w:t>
            </w:r>
            <w:r>
              <w:rPr>
                <w:rFonts w:hint="eastAsia" w:ascii="Times New Roman" w:hAnsi="Times New Roman" w:eastAsia="宋体" w:cs="Times New Roman"/>
                <w:sz w:val="24"/>
              </w:rPr>
              <w:t>烟气、VOC</w:t>
            </w:r>
            <w:r>
              <w:rPr>
                <w:rFonts w:hint="eastAsia" w:ascii="Times New Roman" w:hAnsi="Times New Roman" w:eastAsia="宋体" w:cs="Times New Roman"/>
                <w:sz w:val="24"/>
                <w:vertAlign w:val="subscript"/>
              </w:rPr>
              <w:t xml:space="preserve">s </w:t>
            </w:r>
            <w:r>
              <w:rPr>
                <w:rFonts w:hint="eastAsia" w:ascii="Times New Roman" w:hAnsi="Times New Roman" w:eastAsia="宋体" w:cs="Times New Roman"/>
                <w:sz w:val="24"/>
              </w:rPr>
              <w:t>治理过程（不包括餐饮行业油烟治理过程）产生的废活性炭，化学原料和化学制品脱色（不包括有机合成食品添加剂脱色）、除杂、净化过程产生的废活性炭（不包括 900-405-06、772-005-18、261-053-29、265-002-29、384-003-29、387-001-29 类危险废物）</w:t>
            </w:r>
            <w:r>
              <w:rPr>
                <w:rFonts w:ascii="Times New Roman" w:hAnsi="Times New Roman" w:eastAsia="宋体" w:cs="Times New Roman"/>
                <w:sz w:val="24"/>
              </w:rPr>
              <w:t>）</w:t>
            </w:r>
            <w:r>
              <w:rPr>
                <w:rFonts w:hint="eastAsia" w:ascii="Times New Roman" w:hAnsi="Times New Roman" w:eastAsia="宋体" w:cs="Times New Roman"/>
                <w:sz w:val="24"/>
              </w:rPr>
              <w:t>。废活性炭采用密封防腐防渗容器</w:t>
            </w:r>
            <w:r>
              <w:rPr>
                <w:rFonts w:ascii="Times New Roman" w:hAnsi="Times New Roman" w:eastAsia="宋体" w:cs="Times New Roman"/>
                <w:sz w:val="24"/>
              </w:rPr>
              <w:t>规范</w:t>
            </w:r>
            <w:r>
              <w:rPr>
                <w:rFonts w:hint="eastAsia" w:ascii="Times New Roman" w:hAnsi="Times New Roman" w:eastAsia="宋体" w:cs="Times New Roman"/>
                <w:sz w:val="24"/>
              </w:rPr>
              <w:t>收集后</w:t>
            </w:r>
            <w:r>
              <w:rPr>
                <w:rFonts w:ascii="Times New Roman" w:hAnsi="Times New Roman" w:eastAsia="宋体" w:cs="Times New Roman"/>
                <w:sz w:val="24"/>
              </w:rPr>
              <w:t>，</w:t>
            </w:r>
            <w:r>
              <w:rPr>
                <w:rFonts w:hint="eastAsia" w:ascii="Times New Roman" w:hAnsi="Times New Roman" w:eastAsia="宋体" w:cs="Times New Roman"/>
                <w:sz w:val="24"/>
              </w:rPr>
              <w:t>暂存于危废贮存点，</w:t>
            </w:r>
            <w:r>
              <w:rPr>
                <w:rFonts w:ascii="Times New Roman" w:hAnsi="Times New Roman" w:eastAsia="宋体" w:cs="Times New Roman"/>
                <w:sz w:val="24"/>
              </w:rPr>
              <w:t>委托具备相应危险废物处置资质的危险废物处置单位</w:t>
            </w:r>
            <w:r>
              <w:rPr>
                <w:rFonts w:hint="eastAsia" w:ascii="Times New Roman" w:hAnsi="Times New Roman" w:eastAsia="宋体" w:cs="Times New Roman"/>
                <w:sz w:val="24"/>
              </w:rPr>
              <w:t>定期清运，</w:t>
            </w:r>
            <w:r>
              <w:rPr>
                <w:rFonts w:ascii="Times New Roman" w:hAnsi="Times New Roman" w:eastAsia="宋体" w:cs="Times New Roman"/>
                <w:sz w:val="24"/>
              </w:rPr>
              <w:t>进行安全、无害化处置。</w:t>
            </w:r>
          </w:p>
          <w:p w14:paraId="613D6524">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（2）废焦油</w:t>
            </w:r>
          </w:p>
          <w:p w14:paraId="0B5E0C9E">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w:t>
            </w:r>
            <w:r>
              <w:rPr>
                <w:rFonts w:ascii="Times New Roman" w:hAnsi="Times New Roman" w:eastAsia="宋体" w:cs="Times New Roman"/>
                <w:sz w:val="24"/>
              </w:rPr>
              <w:t>DA002</w:t>
            </w:r>
            <w:r>
              <w:rPr>
                <w:rFonts w:hint="eastAsia" w:ascii="Times New Roman" w:hAnsi="Times New Roman" w:eastAsia="宋体" w:cs="Times New Roman"/>
                <w:sz w:val="24"/>
              </w:rPr>
              <w:t>沥青烟气处理系统前端配置有电捕焦油器，沥青烟中的颗粒及大分子有机物在静电场作用下被捕集并凝聚成液态焦油，从电捕焦油器底部定期排出。本项目年产15万吨沥青混凝土，根据前述2.2小节物料衡算，本项目废焦油产生量约为0.8t/a。</w:t>
            </w:r>
          </w:p>
          <w:p w14:paraId="3216CA83">
            <w:pPr>
              <w:wordWrap w:val="0"/>
              <w:topLinePunct/>
              <w:spacing w:line="360" w:lineRule="auto"/>
              <w:ind w:firstLine="480" w:firstLineChars="200"/>
              <w:rPr>
                <w:rFonts w:ascii="Times New Roman" w:hAnsi="Times New Roman" w:eastAsia="宋体" w:cs="Times New Roman"/>
                <w:color w:val="FF0000"/>
                <w:sz w:val="24"/>
              </w:rPr>
            </w:pPr>
            <w:r>
              <w:rPr>
                <w:rFonts w:hint="eastAsia" w:ascii="Times New Roman" w:hAnsi="Times New Roman" w:eastAsia="宋体" w:cs="Times New Roman"/>
                <w:sz w:val="24"/>
              </w:rPr>
              <w:t>根据</w:t>
            </w:r>
            <w:r>
              <w:rPr>
                <w:rFonts w:ascii="Times New Roman" w:hAnsi="Times New Roman" w:eastAsia="宋体" w:cs="Times New Roman"/>
                <w:sz w:val="24"/>
              </w:rPr>
              <w:t>《国家危险废物名录》（2025年版），该</w:t>
            </w:r>
            <w:r>
              <w:rPr>
                <w:rFonts w:hint="eastAsia" w:ascii="Times New Roman" w:hAnsi="Times New Roman" w:eastAsia="宋体" w:cs="Times New Roman"/>
                <w:sz w:val="24"/>
              </w:rPr>
              <w:t>危险废物</w:t>
            </w:r>
            <w:r>
              <w:rPr>
                <w:rFonts w:ascii="Times New Roman" w:hAnsi="Times New Roman" w:eastAsia="宋体" w:cs="Times New Roman"/>
                <w:sz w:val="24"/>
              </w:rPr>
              <w:t>类别</w:t>
            </w:r>
            <w:r>
              <w:rPr>
                <w:rFonts w:hint="eastAsia" w:ascii="Times New Roman" w:hAnsi="Times New Roman" w:eastAsia="宋体" w:cs="Times New Roman"/>
                <w:sz w:val="24"/>
              </w:rPr>
              <w:t>参照</w:t>
            </w:r>
            <w:r>
              <w:rPr>
                <w:rFonts w:ascii="Times New Roman" w:hAnsi="Times New Roman" w:eastAsia="宋体" w:cs="Times New Roman"/>
                <w:sz w:val="24"/>
              </w:rPr>
              <w:t>HW11精（蒸）馏残渣</w:t>
            </w:r>
            <w:r>
              <w:rPr>
                <w:rFonts w:hint="eastAsia" w:ascii="Times New Roman" w:hAnsi="Times New Roman" w:eastAsia="宋体" w:cs="Times New Roman"/>
                <w:sz w:val="24"/>
              </w:rPr>
              <w:t>—</w:t>
            </w:r>
            <w:r>
              <w:rPr>
                <w:rFonts w:ascii="Times New Roman" w:hAnsi="Times New Roman" w:eastAsia="宋体" w:cs="Times New Roman"/>
                <w:sz w:val="24"/>
              </w:rPr>
              <w:t>石墨及其他非金属矿物制品制造</w:t>
            </w:r>
            <w:r>
              <w:rPr>
                <w:rFonts w:hint="eastAsia" w:ascii="Times New Roman" w:hAnsi="Times New Roman" w:eastAsia="宋体" w:cs="Times New Roman"/>
                <w:sz w:val="24"/>
              </w:rPr>
              <w:t>，危险废物</w:t>
            </w:r>
            <w:r>
              <w:rPr>
                <w:rFonts w:ascii="Times New Roman" w:hAnsi="Times New Roman" w:eastAsia="宋体" w:cs="Times New Roman"/>
                <w:sz w:val="24"/>
              </w:rPr>
              <w:t>代码309-001-11（</w:t>
            </w:r>
            <w:r>
              <w:rPr>
                <w:rFonts w:hint="eastAsia" w:ascii="Times New Roman" w:hAnsi="Times New Roman" w:eastAsia="宋体" w:cs="Times New Roman"/>
                <w:sz w:val="24"/>
              </w:rPr>
              <w:t>电解铝及其他有色金属电解精炼过程中预焙阳极、碳块及其它碳素制品制造过程烟气处理所产生的含焦油废物</w:t>
            </w:r>
            <w:r>
              <w:rPr>
                <w:rFonts w:ascii="Times New Roman" w:hAnsi="Times New Roman" w:eastAsia="宋体" w:cs="Times New Roman"/>
                <w:sz w:val="24"/>
              </w:rPr>
              <w:t>）</w:t>
            </w:r>
            <w:r>
              <w:rPr>
                <w:rFonts w:hint="eastAsia" w:ascii="Times New Roman" w:hAnsi="Times New Roman" w:eastAsia="宋体" w:cs="Times New Roman"/>
                <w:sz w:val="24"/>
              </w:rPr>
              <w:t>。废焦油采用密封防腐防渗容器</w:t>
            </w:r>
            <w:r>
              <w:rPr>
                <w:rFonts w:ascii="Times New Roman" w:hAnsi="Times New Roman" w:eastAsia="宋体" w:cs="Times New Roman"/>
                <w:sz w:val="24"/>
              </w:rPr>
              <w:t>规范</w:t>
            </w:r>
            <w:r>
              <w:rPr>
                <w:rFonts w:hint="eastAsia" w:ascii="Times New Roman" w:hAnsi="Times New Roman" w:eastAsia="宋体" w:cs="Times New Roman"/>
                <w:sz w:val="24"/>
              </w:rPr>
              <w:t>收集后</w:t>
            </w:r>
            <w:r>
              <w:rPr>
                <w:rFonts w:ascii="Times New Roman" w:hAnsi="Times New Roman" w:eastAsia="宋体" w:cs="Times New Roman"/>
                <w:sz w:val="24"/>
              </w:rPr>
              <w:t>，</w:t>
            </w:r>
            <w:r>
              <w:rPr>
                <w:rFonts w:hint="eastAsia" w:ascii="Times New Roman" w:hAnsi="Times New Roman" w:eastAsia="宋体" w:cs="Times New Roman"/>
                <w:sz w:val="24"/>
              </w:rPr>
              <w:t>暂存于危废贮存点，</w:t>
            </w:r>
            <w:r>
              <w:rPr>
                <w:rFonts w:ascii="Times New Roman" w:hAnsi="Times New Roman" w:eastAsia="宋体" w:cs="Times New Roman"/>
                <w:sz w:val="24"/>
              </w:rPr>
              <w:t>委托具备相应危险废物处置资质的危险废物处置单位</w:t>
            </w:r>
            <w:r>
              <w:rPr>
                <w:rFonts w:hint="eastAsia" w:ascii="Times New Roman" w:hAnsi="Times New Roman" w:eastAsia="宋体" w:cs="Times New Roman"/>
                <w:sz w:val="24"/>
              </w:rPr>
              <w:t>定期清运，</w:t>
            </w:r>
            <w:r>
              <w:rPr>
                <w:rFonts w:ascii="Times New Roman" w:hAnsi="Times New Roman" w:eastAsia="宋体" w:cs="Times New Roman"/>
                <w:sz w:val="24"/>
              </w:rPr>
              <w:t>进行安全、无害化处置。</w:t>
            </w:r>
          </w:p>
          <w:p w14:paraId="2F63D783">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（3）洗涤塔循环废液及沉淀焦油渣</w:t>
            </w:r>
          </w:p>
          <w:p w14:paraId="244F80DA">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洗涤塔底部循环水箱设沉淀分区，喷淋废水经沉淀处理后上清液循环使用，根据工程分析-水平衡分析，循环水定期更换（整池）产生的</w:t>
            </w:r>
            <w:r>
              <w:rPr>
                <w:rFonts w:ascii="Times New Roman" w:hAnsi="Times New Roman" w:eastAsia="宋体" w:cs="Times New Roman"/>
                <w:sz w:val="24"/>
              </w:rPr>
              <w:t>废液</w:t>
            </w:r>
            <w:r>
              <w:rPr>
                <w:rFonts w:hint="eastAsia" w:ascii="Times New Roman" w:hAnsi="Times New Roman" w:eastAsia="宋体" w:cs="Times New Roman"/>
                <w:sz w:val="24"/>
              </w:rPr>
              <w:t>为</w:t>
            </w:r>
            <w:r>
              <w:rPr>
                <w:rFonts w:ascii="Times New Roman" w:hAnsi="Times New Roman" w:eastAsia="宋体" w:cs="Times New Roman"/>
                <w:sz w:val="24"/>
              </w:rPr>
              <w:t>10m³/a</w:t>
            </w:r>
            <w:r>
              <w:rPr>
                <w:rFonts w:hint="eastAsia" w:ascii="Times New Roman" w:hAnsi="Times New Roman" w:eastAsia="宋体" w:cs="Times New Roman"/>
                <w:sz w:val="24"/>
              </w:rPr>
              <w:t>，</w:t>
            </w:r>
            <w:r>
              <w:rPr>
                <w:rFonts w:ascii="Times New Roman" w:hAnsi="Times New Roman" w:eastAsia="宋体" w:cs="Times New Roman"/>
                <w:sz w:val="24"/>
              </w:rPr>
              <w:t> 沉淀池底部定期清理出的焦油渣产生量约1.0t/a</w:t>
            </w:r>
            <w:r>
              <w:rPr>
                <w:rFonts w:hint="eastAsia" w:ascii="Times New Roman" w:hAnsi="Times New Roman" w:eastAsia="宋体" w:cs="Times New Roman"/>
                <w:sz w:val="24"/>
              </w:rPr>
              <w:t>。</w:t>
            </w:r>
          </w:p>
          <w:p w14:paraId="190EF0E2">
            <w:pPr>
              <w:wordWrap w:val="0"/>
              <w:topLinePunct/>
              <w:spacing w:line="360" w:lineRule="auto"/>
              <w:ind w:firstLine="480" w:firstLineChars="200"/>
              <w:rPr>
                <w:rFonts w:ascii="Times New Roman" w:hAnsi="Times New Roman" w:eastAsia="宋体" w:cs="Times New Roman"/>
                <w:color w:val="FF0000"/>
                <w:sz w:val="24"/>
              </w:rPr>
            </w:pPr>
            <w:r>
              <w:rPr>
                <w:rFonts w:hint="eastAsia" w:ascii="Times New Roman" w:hAnsi="Times New Roman" w:eastAsia="宋体" w:cs="Times New Roman"/>
                <w:sz w:val="24"/>
              </w:rPr>
              <w:t>根据</w:t>
            </w:r>
            <w:r>
              <w:rPr>
                <w:rFonts w:ascii="Times New Roman" w:hAnsi="Times New Roman" w:eastAsia="宋体" w:cs="Times New Roman"/>
                <w:sz w:val="24"/>
              </w:rPr>
              <w:t>《国家危险废物名录》（2025年版），洗涤塔循环废液及沉淀焦油渣</w:t>
            </w:r>
            <w:r>
              <w:rPr>
                <w:rFonts w:hint="eastAsia" w:ascii="Times New Roman" w:hAnsi="Times New Roman" w:eastAsia="宋体" w:cs="Times New Roman"/>
                <w:sz w:val="24"/>
              </w:rPr>
              <w:t>均按照危险废物管理，</w:t>
            </w:r>
            <w:r>
              <w:rPr>
                <w:rFonts w:ascii="Times New Roman" w:hAnsi="Times New Roman" w:eastAsia="宋体" w:cs="Times New Roman"/>
                <w:sz w:val="24"/>
              </w:rPr>
              <w:t>该</w:t>
            </w:r>
            <w:r>
              <w:rPr>
                <w:rFonts w:hint="eastAsia" w:ascii="Times New Roman" w:hAnsi="Times New Roman" w:eastAsia="宋体" w:cs="Times New Roman"/>
                <w:sz w:val="24"/>
              </w:rPr>
              <w:t>类危险废物</w:t>
            </w:r>
            <w:r>
              <w:rPr>
                <w:rFonts w:ascii="Times New Roman" w:hAnsi="Times New Roman" w:eastAsia="宋体" w:cs="Times New Roman"/>
                <w:sz w:val="24"/>
              </w:rPr>
              <w:t>类别</w:t>
            </w:r>
            <w:r>
              <w:rPr>
                <w:rFonts w:hint="eastAsia" w:ascii="Times New Roman" w:hAnsi="Times New Roman" w:eastAsia="宋体" w:cs="Times New Roman"/>
                <w:sz w:val="24"/>
              </w:rPr>
              <w:t>参照</w:t>
            </w:r>
            <w:r>
              <w:rPr>
                <w:rFonts w:ascii="Times New Roman" w:hAnsi="Times New Roman" w:eastAsia="宋体" w:cs="Times New Roman"/>
                <w:sz w:val="24"/>
              </w:rPr>
              <w:t>HW11精（蒸）馏残渣</w:t>
            </w:r>
            <w:r>
              <w:rPr>
                <w:rFonts w:hint="eastAsia" w:ascii="Times New Roman" w:hAnsi="Times New Roman" w:eastAsia="宋体" w:cs="Times New Roman"/>
                <w:sz w:val="24"/>
              </w:rPr>
              <w:t>—</w:t>
            </w:r>
            <w:r>
              <w:rPr>
                <w:rFonts w:ascii="Times New Roman" w:hAnsi="Times New Roman" w:eastAsia="宋体" w:cs="Times New Roman"/>
                <w:sz w:val="24"/>
              </w:rPr>
              <w:t>石墨及其他非金属矿物制品制造</w:t>
            </w:r>
            <w:r>
              <w:rPr>
                <w:rFonts w:hint="eastAsia" w:ascii="Times New Roman" w:hAnsi="Times New Roman" w:eastAsia="宋体" w:cs="Times New Roman"/>
                <w:sz w:val="24"/>
              </w:rPr>
              <w:t>，</w:t>
            </w:r>
            <w:r>
              <w:rPr>
                <w:rFonts w:ascii="Times New Roman" w:hAnsi="Times New Roman" w:eastAsia="宋体" w:cs="Times New Roman"/>
                <w:sz w:val="24"/>
              </w:rPr>
              <w:t>危废代码309-001-11（</w:t>
            </w:r>
            <w:r>
              <w:rPr>
                <w:rFonts w:hint="eastAsia" w:ascii="Times New Roman" w:hAnsi="Times New Roman" w:eastAsia="宋体" w:cs="Times New Roman"/>
                <w:sz w:val="24"/>
              </w:rPr>
              <w:t>电解铝及其他有色金属电解精炼过程中预焙阳极、碳块及其它碳素制品制造过程烟气处理所产生的含焦油废物</w:t>
            </w:r>
            <w:r>
              <w:rPr>
                <w:rFonts w:ascii="Times New Roman" w:hAnsi="Times New Roman" w:eastAsia="宋体" w:cs="Times New Roman"/>
                <w:sz w:val="24"/>
              </w:rPr>
              <w:t>）</w:t>
            </w:r>
            <w:r>
              <w:rPr>
                <w:rFonts w:hint="eastAsia" w:ascii="Times New Roman" w:hAnsi="Times New Roman" w:eastAsia="宋体" w:cs="Times New Roman"/>
                <w:sz w:val="24"/>
              </w:rPr>
              <w:t>。洗涤塔循环废液及沉淀焦油渣分别采用密封防腐防渗容器</w:t>
            </w:r>
            <w:r>
              <w:rPr>
                <w:rFonts w:ascii="Times New Roman" w:hAnsi="Times New Roman" w:eastAsia="宋体" w:cs="Times New Roman"/>
                <w:sz w:val="24"/>
              </w:rPr>
              <w:t>规范</w:t>
            </w:r>
            <w:r>
              <w:rPr>
                <w:rFonts w:hint="eastAsia" w:ascii="Times New Roman" w:hAnsi="Times New Roman" w:eastAsia="宋体" w:cs="Times New Roman"/>
                <w:sz w:val="24"/>
              </w:rPr>
              <w:t>收集后</w:t>
            </w:r>
            <w:r>
              <w:rPr>
                <w:rFonts w:ascii="Times New Roman" w:hAnsi="Times New Roman" w:eastAsia="宋体" w:cs="Times New Roman"/>
                <w:sz w:val="24"/>
              </w:rPr>
              <w:t>，</w:t>
            </w:r>
            <w:r>
              <w:rPr>
                <w:rFonts w:hint="eastAsia" w:ascii="Times New Roman" w:hAnsi="Times New Roman" w:eastAsia="宋体" w:cs="Times New Roman"/>
                <w:sz w:val="24"/>
              </w:rPr>
              <w:t>暂存于危废贮存点，</w:t>
            </w:r>
            <w:r>
              <w:rPr>
                <w:rFonts w:ascii="Times New Roman" w:hAnsi="Times New Roman" w:eastAsia="宋体" w:cs="Times New Roman"/>
                <w:sz w:val="24"/>
              </w:rPr>
              <w:t>委托具备相应危险废物处置资质的危险废物处置单位</w:t>
            </w:r>
            <w:r>
              <w:rPr>
                <w:rFonts w:hint="eastAsia" w:ascii="Times New Roman" w:hAnsi="Times New Roman" w:eastAsia="宋体" w:cs="Times New Roman"/>
                <w:sz w:val="24"/>
              </w:rPr>
              <w:t>定期清运，</w:t>
            </w:r>
            <w:r>
              <w:rPr>
                <w:rFonts w:ascii="Times New Roman" w:hAnsi="Times New Roman" w:eastAsia="宋体" w:cs="Times New Roman"/>
                <w:sz w:val="24"/>
              </w:rPr>
              <w:t>进行安全、无害化处置。</w:t>
            </w:r>
          </w:p>
          <w:p w14:paraId="6D3BBEBA">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Times New Roman" w:eastAsia="宋体" w:cs="Times New Roman"/>
                <w:sz w:val="24"/>
              </w:rPr>
              <w:t>废导热油</w:t>
            </w:r>
          </w:p>
          <w:p w14:paraId="2810E15B">
            <w:pPr>
              <w:wordWrap w:val="0"/>
              <w:topLinePunct/>
              <w:spacing w:line="360" w:lineRule="auto"/>
              <w:ind w:firstLine="480" w:firstLineChars="200"/>
              <w:rPr>
                <w:rFonts w:hint="eastAsia" w:ascii="Times New Roman" w:hAnsi="宋体" w:eastAsia="宋体" w:cs="Times New Roman"/>
                <w:bCs/>
                <w:sz w:val="24"/>
              </w:rPr>
            </w:pPr>
            <w:r>
              <w:rPr>
                <w:rFonts w:ascii="Times New Roman" w:hAnsi="宋体" w:eastAsia="宋体" w:cs="Times New Roman"/>
                <w:bCs/>
                <w:sz w:val="24"/>
              </w:rPr>
              <w:t>导热油（有机热载体）在长期高温运行过程中，因发生老化、结焦及物理化学性质改变，导致热传导性能下降，需定期更换。根据</w:t>
            </w:r>
            <w:r>
              <w:rPr>
                <w:rFonts w:hint="eastAsia" w:ascii="Times New Roman" w:hAnsi="宋体" w:eastAsia="宋体" w:cs="Times New Roman"/>
                <w:bCs/>
                <w:sz w:val="24"/>
              </w:rPr>
              <w:t>建设单位</w:t>
            </w:r>
            <w:r>
              <w:rPr>
                <w:rFonts w:ascii="Times New Roman" w:hAnsi="宋体" w:eastAsia="宋体" w:cs="Times New Roman"/>
                <w:bCs/>
                <w:sz w:val="24"/>
              </w:rPr>
              <w:t>提供</w:t>
            </w:r>
            <w:r>
              <w:rPr>
                <w:rFonts w:hint="eastAsia" w:ascii="Times New Roman" w:hAnsi="宋体" w:eastAsia="宋体" w:cs="Times New Roman"/>
                <w:bCs/>
                <w:sz w:val="24"/>
              </w:rPr>
              <w:t>的</w:t>
            </w:r>
            <w:r>
              <w:rPr>
                <w:rFonts w:ascii="Times New Roman" w:hAnsi="宋体" w:eastAsia="宋体" w:cs="Times New Roman"/>
                <w:bCs/>
                <w:sz w:val="24"/>
              </w:rPr>
              <w:t>资料及设备设计要求，导热油平均每 </w:t>
            </w:r>
            <w:r>
              <w:rPr>
                <w:rFonts w:hint="eastAsia" w:ascii="Times New Roman" w:hAnsi="宋体" w:eastAsia="宋体" w:cs="Times New Roman"/>
                <w:bCs/>
                <w:sz w:val="24"/>
              </w:rPr>
              <w:t>7</w:t>
            </w:r>
            <w:r>
              <w:rPr>
                <w:rFonts w:ascii="Times New Roman" w:hAnsi="宋体" w:eastAsia="宋体" w:cs="Times New Roman"/>
                <w:bCs/>
                <w:sz w:val="24"/>
              </w:rPr>
              <w:t>年更换一次，单次更换量为 </w:t>
            </w:r>
            <w:r>
              <w:rPr>
                <w:rFonts w:hint="eastAsia" w:ascii="Times New Roman" w:hAnsi="宋体" w:eastAsia="宋体" w:cs="Times New Roman"/>
                <w:bCs/>
                <w:sz w:val="24"/>
              </w:rPr>
              <w:t>8</w:t>
            </w:r>
            <w:r>
              <w:rPr>
                <w:rFonts w:ascii="Times New Roman" w:hAnsi="宋体" w:eastAsia="宋体" w:cs="Times New Roman"/>
                <w:bCs/>
                <w:sz w:val="24"/>
              </w:rPr>
              <w:t>t（折算年产生量为</w:t>
            </w:r>
            <w:r>
              <w:rPr>
                <w:rFonts w:hint="eastAsia" w:ascii="Times New Roman" w:hAnsi="宋体" w:eastAsia="宋体" w:cs="Times New Roman"/>
                <w:bCs/>
                <w:sz w:val="24"/>
              </w:rPr>
              <w:t>1.14</w:t>
            </w:r>
            <w:r>
              <w:rPr>
                <w:rFonts w:ascii="Times New Roman" w:hAnsi="宋体" w:eastAsia="宋体" w:cs="Times New Roman"/>
                <w:bCs/>
                <w:sz w:val="24"/>
              </w:rPr>
              <w:t>t/a）。</w:t>
            </w:r>
          </w:p>
          <w:p w14:paraId="2AA2163C">
            <w:pPr>
              <w:wordWrap w:val="0"/>
              <w:topLinePunct/>
              <w:spacing w:line="360" w:lineRule="auto"/>
              <w:ind w:firstLine="480" w:firstLineChars="200"/>
              <w:rPr>
                <w:rFonts w:hint="eastAsia" w:ascii="Times New Roman" w:hAnsi="宋体" w:eastAsia="宋体" w:cs="Times New Roman"/>
                <w:bCs/>
                <w:color w:val="FF0000"/>
                <w:sz w:val="24"/>
              </w:rPr>
            </w:pPr>
            <w:r>
              <w:rPr>
                <w:rFonts w:ascii="Times New Roman" w:hAnsi="Times New Roman" w:eastAsia="宋体" w:cs="Times New Roman"/>
                <w:sz w:val="24"/>
              </w:rPr>
              <w:t>根据《国家危险废物名录》（2025年版），该危险废物类别为HW08废矿物油与含矿物油废物</w:t>
            </w:r>
            <w:r>
              <w:rPr>
                <w:rFonts w:hint="eastAsia" w:ascii="Times New Roman" w:hAnsi="Times New Roman" w:eastAsia="宋体" w:cs="Times New Roman"/>
                <w:sz w:val="24"/>
              </w:rPr>
              <w:t>，危险</w:t>
            </w:r>
            <w:r>
              <w:rPr>
                <w:rFonts w:ascii="Times New Roman" w:hAnsi="Times New Roman" w:eastAsia="宋体" w:cs="Times New Roman"/>
                <w:sz w:val="24"/>
              </w:rPr>
              <w:t>废物代码为900-249-08（其他生产</w:t>
            </w:r>
            <w:r>
              <w:rPr>
                <w:rFonts w:hint="eastAsia" w:ascii="Times New Roman" w:hAnsi="Times New Roman" w:eastAsia="宋体" w:cs="Times New Roman"/>
                <w:sz w:val="24"/>
              </w:rPr>
              <w:t>、</w:t>
            </w:r>
            <w:r>
              <w:rPr>
                <w:rFonts w:ascii="Times New Roman" w:hAnsi="Times New Roman" w:eastAsia="宋体" w:cs="Times New Roman"/>
                <w:sz w:val="24"/>
              </w:rPr>
              <w:t>销售</w:t>
            </w:r>
            <w:r>
              <w:rPr>
                <w:rFonts w:hint="eastAsia" w:ascii="Times New Roman" w:hAnsi="Times New Roman" w:eastAsia="宋体" w:cs="Times New Roman"/>
                <w:sz w:val="24"/>
              </w:rPr>
              <w:t>、</w:t>
            </w:r>
            <w:r>
              <w:rPr>
                <w:rFonts w:ascii="Times New Roman" w:hAnsi="Times New Roman" w:eastAsia="宋体" w:cs="Times New Roman"/>
                <w:sz w:val="24"/>
              </w:rPr>
              <w:t>使用过程中产生的废矿物油及沾染矿物油的废弃包装物）。</w:t>
            </w:r>
            <w:r>
              <w:rPr>
                <w:rFonts w:hint="eastAsia" w:ascii="Times New Roman" w:hAnsi="Times New Roman" w:eastAsia="宋体" w:cs="Times New Roman"/>
                <w:sz w:val="24"/>
              </w:rPr>
              <w:t>废导热油</w:t>
            </w:r>
            <w:r>
              <w:rPr>
                <w:rFonts w:ascii="Times New Roman" w:hAnsi="Times New Roman" w:eastAsia="宋体" w:cs="Times New Roman"/>
                <w:sz w:val="24"/>
              </w:rPr>
              <w:t>经专用密闭</w:t>
            </w:r>
            <w:r>
              <w:rPr>
                <w:rFonts w:hint="eastAsia" w:ascii="Times New Roman" w:hAnsi="Times New Roman" w:eastAsia="宋体" w:cs="Times New Roman"/>
                <w:sz w:val="24"/>
              </w:rPr>
              <w:t>防腐防渗</w:t>
            </w:r>
            <w:r>
              <w:rPr>
                <w:rFonts w:ascii="Times New Roman" w:hAnsi="Times New Roman" w:eastAsia="宋体" w:cs="Times New Roman"/>
                <w:sz w:val="24"/>
              </w:rPr>
              <w:t>容器</w:t>
            </w:r>
            <w:r>
              <w:rPr>
                <w:rFonts w:hint="eastAsia" w:ascii="Times New Roman" w:hAnsi="Times New Roman" w:eastAsia="宋体" w:cs="Times New Roman"/>
                <w:sz w:val="24"/>
              </w:rPr>
              <w:t>规范</w:t>
            </w:r>
            <w:r>
              <w:rPr>
                <w:rFonts w:ascii="Times New Roman" w:hAnsi="Times New Roman" w:eastAsia="宋体" w:cs="Times New Roman"/>
                <w:sz w:val="24"/>
              </w:rPr>
              <w:t>收集后，</w:t>
            </w:r>
            <w:r>
              <w:rPr>
                <w:rFonts w:ascii="Times New Roman" w:hAnsi="宋体" w:eastAsia="宋体" w:cs="Times New Roman"/>
                <w:bCs/>
                <w:sz w:val="24"/>
              </w:rPr>
              <w:t>由</w:t>
            </w:r>
            <w:r>
              <w:rPr>
                <w:rFonts w:hint="eastAsia" w:ascii="Times New Roman" w:hAnsi="宋体" w:eastAsia="宋体" w:cs="Times New Roman"/>
                <w:bCs/>
                <w:sz w:val="24"/>
              </w:rPr>
              <w:t>具备危险废物处置资质的单位</w:t>
            </w:r>
            <w:r>
              <w:rPr>
                <w:rFonts w:ascii="Times New Roman" w:hAnsi="宋体" w:eastAsia="宋体" w:cs="Times New Roman"/>
                <w:bCs/>
                <w:sz w:val="24"/>
              </w:rPr>
              <w:t>直接回收处置，不在厂区</w:t>
            </w:r>
            <w:r>
              <w:rPr>
                <w:rFonts w:hint="eastAsia" w:ascii="Times New Roman" w:hAnsi="宋体" w:eastAsia="宋体" w:cs="Times New Roman"/>
                <w:bCs/>
                <w:sz w:val="24"/>
              </w:rPr>
              <w:t>内</w:t>
            </w:r>
            <w:r>
              <w:rPr>
                <w:rFonts w:ascii="Times New Roman" w:hAnsi="宋体" w:eastAsia="宋体" w:cs="Times New Roman"/>
                <w:bCs/>
                <w:sz w:val="24"/>
              </w:rPr>
              <w:t>暂存。</w:t>
            </w:r>
          </w:p>
          <w:p w14:paraId="273BBBCA">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w:t>
            </w:r>
            <w:r>
              <w:rPr>
                <w:rFonts w:hint="eastAsia" w:ascii="Times New Roman" w:hAnsi="Times New Roman" w:eastAsia="宋体" w:cs="Times New Roman"/>
                <w:sz w:val="24"/>
              </w:rPr>
              <w:t>5</w:t>
            </w:r>
            <w:r>
              <w:rPr>
                <w:rFonts w:ascii="Times New Roman" w:hAnsi="Times New Roman" w:eastAsia="宋体" w:cs="Times New Roman"/>
                <w:sz w:val="24"/>
              </w:rPr>
              <w:t>）废</w:t>
            </w:r>
            <w:r>
              <w:rPr>
                <w:rFonts w:hint="eastAsia" w:ascii="Times New Roman" w:hAnsi="Times New Roman" w:eastAsia="宋体" w:cs="Times New Roman"/>
                <w:sz w:val="24"/>
              </w:rPr>
              <w:t>矿物油</w:t>
            </w:r>
          </w:p>
          <w:p w14:paraId="399FEC81">
            <w:pPr>
              <w:wordWrap w:val="0"/>
              <w:topLinePunct/>
              <w:spacing w:line="360" w:lineRule="auto"/>
              <w:ind w:firstLine="480" w:firstLineChars="200"/>
              <w:rPr>
                <w:rFonts w:ascii="Times New Roman" w:hAnsi="Times New Roman" w:eastAsia="宋体" w:cs="Times New Roman"/>
                <w:color w:val="FF0000"/>
                <w:sz w:val="24"/>
              </w:rPr>
            </w:pPr>
            <w:r>
              <w:rPr>
                <w:rFonts w:ascii="Times New Roman" w:hAnsi="Times New Roman" w:eastAsia="宋体" w:cs="Times New Roman"/>
                <w:sz w:val="24"/>
              </w:rPr>
              <w:t>本项目生产设备及车辆在定期</w:t>
            </w:r>
            <w:r>
              <w:rPr>
                <w:rFonts w:hint="eastAsia" w:ascii="Times New Roman" w:hAnsi="Times New Roman" w:eastAsia="宋体" w:cs="Times New Roman"/>
                <w:sz w:val="24"/>
              </w:rPr>
              <w:t>保养维护</w:t>
            </w:r>
            <w:r>
              <w:rPr>
                <w:rFonts w:ascii="Times New Roman" w:hAnsi="Times New Roman" w:eastAsia="宋体" w:cs="Times New Roman"/>
                <w:sz w:val="24"/>
              </w:rPr>
              <w:t>过程中会产生废矿物油。根据设备</w:t>
            </w:r>
            <w:r>
              <w:rPr>
                <w:rFonts w:hint="eastAsia" w:ascii="Times New Roman" w:hAnsi="Times New Roman" w:eastAsia="宋体" w:cs="Times New Roman"/>
                <w:sz w:val="24"/>
              </w:rPr>
              <w:t>、车辆</w:t>
            </w:r>
            <w:r>
              <w:rPr>
                <w:rFonts w:ascii="Times New Roman" w:hAnsi="Times New Roman" w:eastAsia="宋体" w:cs="Times New Roman"/>
                <w:sz w:val="24"/>
              </w:rPr>
              <w:t>维护周期、保养频次及同类项目类比分析，废</w:t>
            </w:r>
            <w:r>
              <w:rPr>
                <w:rFonts w:hint="eastAsia" w:ascii="Times New Roman" w:hAnsi="Times New Roman" w:eastAsia="宋体" w:cs="Times New Roman"/>
                <w:sz w:val="24"/>
              </w:rPr>
              <w:t>矿物油</w:t>
            </w:r>
            <w:r>
              <w:rPr>
                <w:rFonts w:ascii="Times New Roman" w:hAnsi="Times New Roman" w:eastAsia="宋体" w:cs="Times New Roman"/>
                <w:sz w:val="24"/>
              </w:rPr>
              <w:t>产生量约为</w:t>
            </w:r>
            <w:r>
              <w:rPr>
                <w:rFonts w:hint="eastAsia" w:ascii="Times New Roman" w:hAnsi="Times New Roman" w:eastAsia="宋体" w:cs="Times New Roman"/>
                <w:sz w:val="24"/>
              </w:rPr>
              <w:t>0.2t</w:t>
            </w:r>
            <w:r>
              <w:rPr>
                <w:rFonts w:ascii="Times New Roman" w:hAnsi="Times New Roman" w:eastAsia="宋体" w:cs="Times New Roman"/>
                <w:sz w:val="24"/>
              </w:rPr>
              <w:t>/a。根据《国家危险废物名录》（2025年版），该危险废物类别为HW08废矿物油与含矿物油废物，</w:t>
            </w:r>
            <w:r>
              <w:rPr>
                <w:rFonts w:hint="eastAsia" w:ascii="Times New Roman" w:hAnsi="Times New Roman" w:eastAsia="宋体" w:cs="Times New Roman"/>
                <w:sz w:val="24"/>
              </w:rPr>
              <w:t>危险</w:t>
            </w:r>
            <w:r>
              <w:rPr>
                <w:rFonts w:ascii="Times New Roman" w:hAnsi="Times New Roman" w:eastAsia="宋体" w:cs="Times New Roman"/>
                <w:sz w:val="24"/>
              </w:rPr>
              <w:t>废物代码为900-214-08（车辆、轮船及其它机械维修过程中产生的废发动机油、制动器油、自动变速器油、齿轮油等废润滑油）。废</w:t>
            </w:r>
            <w:r>
              <w:rPr>
                <w:rFonts w:hint="eastAsia" w:ascii="Times New Roman" w:hAnsi="Times New Roman" w:eastAsia="宋体" w:cs="Times New Roman"/>
                <w:sz w:val="24"/>
              </w:rPr>
              <w:t>矿物油</w:t>
            </w:r>
            <w:r>
              <w:rPr>
                <w:rFonts w:ascii="Times New Roman" w:hAnsi="Times New Roman" w:eastAsia="宋体" w:cs="Times New Roman"/>
                <w:sz w:val="24"/>
              </w:rPr>
              <w:t>经专用密闭</w:t>
            </w:r>
            <w:r>
              <w:rPr>
                <w:rFonts w:hint="eastAsia" w:ascii="Times New Roman" w:hAnsi="Times New Roman" w:eastAsia="宋体" w:cs="Times New Roman"/>
                <w:sz w:val="24"/>
              </w:rPr>
              <w:t>防腐防渗</w:t>
            </w:r>
            <w:r>
              <w:rPr>
                <w:rFonts w:ascii="Times New Roman" w:hAnsi="Times New Roman" w:eastAsia="宋体" w:cs="Times New Roman"/>
                <w:sz w:val="24"/>
              </w:rPr>
              <w:t>容器</w:t>
            </w:r>
            <w:r>
              <w:rPr>
                <w:rFonts w:hint="eastAsia" w:ascii="Times New Roman" w:hAnsi="Times New Roman" w:eastAsia="宋体" w:cs="Times New Roman"/>
                <w:sz w:val="24"/>
              </w:rPr>
              <w:t>规范</w:t>
            </w:r>
            <w:r>
              <w:rPr>
                <w:rFonts w:ascii="Times New Roman" w:hAnsi="Times New Roman" w:eastAsia="宋体" w:cs="Times New Roman"/>
                <w:sz w:val="24"/>
              </w:rPr>
              <w:t>收集后，暂存于危废贮存点</w:t>
            </w:r>
            <w:r>
              <w:rPr>
                <w:rFonts w:hint="eastAsia" w:ascii="Times New Roman" w:hAnsi="Times New Roman" w:eastAsia="宋体" w:cs="Times New Roman"/>
                <w:sz w:val="24"/>
              </w:rPr>
              <w:t>，容器置于防渗托盘内</w:t>
            </w:r>
            <w:r>
              <w:rPr>
                <w:rFonts w:ascii="Times New Roman" w:hAnsi="Times New Roman" w:eastAsia="宋体" w:cs="Times New Roman"/>
                <w:sz w:val="24"/>
              </w:rPr>
              <w:t>，委托具备相应危险废物处置资质的危险废物处置单位</w:t>
            </w:r>
            <w:r>
              <w:rPr>
                <w:rFonts w:hint="eastAsia" w:ascii="Times New Roman" w:hAnsi="Times New Roman" w:eastAsia="宋体" w:cs="Times New Roman"/>
                <w:sz w:val="24"/>
              </w:rPr>
              <w:t>定期清运，</w:t>
            </w:r>
            <w:r>
              <w:rPr>
                <w:rFonts w:ascii="Times New Roman" w:hAnsi="Times New Roman" w:eastAsia="宋体" w:cs="Times New Roman"/>
                <w:sz w:val="24"/>
              </w:rPr>
              <w:t>进行安全、无害化处置。</w:t>
            </w:r>
          </w:p>
          <w:p w14:paraId="4740EC93">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（6）废油桶</w:t>
            </w:r>
          </w:p>
          <w:p w14:paraId="20C0A9D5">
            <w:pPr>
              <w:wordWrap w:val="0"/>
              <w:topLinePunct/>
              <w:spacing w:line="360" w:lineRule="auto"/>
              <w:ind w:firstLine="480" w:firstLineChars="200"/>
              <w:rPr>
                <w:rFonts w:ascii="Times New Roman" w:hAnsi="Times New Roman" w:eastAsia="宋体" w:cs="Times New Roman"/>
                <w:color w:val="FF0000"/>
                <w:sz w:val="24"/>
              </w:rPr>
            </w:pPr>
            <w:r>
              <w:rPr>
                <w:rFonts w:ascii="Times New Roman" w:hAnsi="Times New Roman" w:eastAsia="宋体" w:cs="Times New Roman"/>
                <w:sz w:val="24"/>
              </w:rPr>
              <w:t>本项目生产设备及车辆在定期</w:t>
            </w:r>
            <w:r>
              <w:rPr>
                <w:rFonts w:hint="eastAsia" w:ascii="Times New Roman" w:hAnsi="Times New Roman" w:eastAsia="宋体" w:cs="Times New Roman"/>
                <w:sz w:val="24"/>
              </w:rPr>
              <w:t>保养维护</w:t>
            </w:r>
            <w:r>
              <w:rPr>
                <w:rFonts w:ascii="Times New Roman" w:hAnsi="Times New Roman" w:eastAsia="宋体" w:cs="Times New Roman"/>
                <w:sz w:val="24"/>
              </w:rPr>
              <w:t>过程中会产生</w:t>
            </w:r>
            <w:r>
              <w:rPr>
                <w:rFonts w:hint="eastAsia" w:ascii="Times New Roman" w:hAnsi="Times New Roman" w:eastAsia="宋体" w:cs="Times New Roman"/>
                <w:sz w:val="24"/>
              </w:rPr>
              <w:t>沾染废矿物油的废弃包装桶（废油桶）。根据建设单位提供资料，废油桶产生量约为 0.02t/a。根据《国家危险废物名录》（2025年版），</w:t>
            </w:r>
            <w:r>
              <w:rPr>
                <w:rFonts w:ascii="Times New Roman" w:hAnsi="Times New Roman" w:eastAsia="宋体" w:cs="Times New Roman"/>
                <w:sz w:val="24"/>
              </w:rPr>
              <w:t>该危险废物类别为HW08废矿物油与含矿物油废物</w:t>
            </w:r>
            <w:r>
              <w:rPr>
                <w:rFonts w:hint="eastAsia" w:ascii="Times New Roman" w:hAnsi="Times New Roman" w:eastAsia="宋体" w:cs="Times New Roman"/>
                <w:sz w:val="24"/>
              </w:rPr>
              <w:t>，危险废物代码为900-249-08（其他生产、销售、使用过程中产生的废矿物油及沾染矿物油的废弃包装物）。废油桶分类收集，保持桶体完整并加盖，</w:t>
            </w:r>
            <w:r>
              <w:rPr>
                <w:rFonts w:ascii="Times New Roman" w:hAnsi="Times New Roman" w:eastAsia="宋体" w:cs="Times New Roman"/>
                <w:sz w:val="24"/>
              </w:rPr>
              <w:t>暂存于危废贮存点</w:t>
            </w:r>
            <w:r>
              <w:rPr>
                <w:rFonts w:hint="eastAsia" w:ascii="Times New Roman" w:hAnsi="Times New Roman" w:eastAsia="宋体" w:cs="Times New Roman"/>
                <w:sz w:val="24"/>
              </w:rPr>
              <w:t>，放置于托盘之上</w:t>
            </w:r>
            <w:r>
              <w:rPr>
                <w:rFonts w:ascii="Times New Roman" w:hAnsi="Times New Roman" w:eastAsia="宋体" w:cs="Times New Roman"/>
                <w:sz w:val="24"/>
              </w:rPr>
              <w:t>，委托具备相应危险废物处置资质的危险废物处置单位</w:t>
            </w:r>
            <w:r>
              <w:rPr>
                <w:rFonts w:hint="eastAsia" w:ascii="Times New Roman" w:hAnsi="Times New Roman" w:eastAsia="宋体" w:cs="Times New Roman"/>
                <w:sz w:val="24"/>
              </w:rPr>
              <w:t>定期清运，</w:t>
            </w:r>
            <w:r>
              <w:rPr>
                <w:rFonts w:ascii="Times New Roman" w:hAnsi="Times New Roman" w:eastAsia="宋体" w:cs="Times New Roman"/>
                <w:sz w:val="24"/>
              </w:rPr>
              <w:t>进行安全、无害化处置。</w:t>
            </w:r>
          </w:p>
          <w:p w14:paraId="1A400F79">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（7）柴油储罐油泥</w:t>
            </w:r>
          </w:p>
          <w:p w14:paraId="269E4630">
            <w:pPr>
              <w:wordWrap w:val="0"/>
              <w:topLinePunct/>
              <w:spacing w:line="360" w:lineRule="auto"/>
              <w:ind w:firstLine="480" w:firstLineChars="200"/>
              <w:rPr>
                <w:rFonts w:ascii="Times New Roman" w:hAnsi="Times New Roman" w:eastAsia="宋体" w:cs="Times New Roman"/>
                <w:color w:val="FF0000"/>
                <w:sz w:val="24"/>
              </w:rPr>
            </w:pPr>
            <w:r>
              <w:rPr>
                <w:rFonts w:hint="eastAsia" w:ascii="Times New Roman" w:hAnsi="Times New Roman" w:eastAsia="宋体" w:cs="Times New Roman"/>
                <w:sz w:val="24"/>
              </w:rPr>
              <w:t>本项目厂区柴油储罐长期使用后，罐底会累积一定量的油泥，需按计划定期进行清掏，根据建设单位计划，油泥清掏频率为 5年1次，单次产生量约为 0.2t（折算年产生量0.04t/a）。</w:t>
            </w:r>
          </w:p>
          <w:p w14:paraId="20F75FE1">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根据《国家危险废物名录》（2025年版），该危险废物类别为</w:t>
            </w:r>
            <w:r>
              <w:rPr>
                <w:rFonts w:ascii="Times New Roman" w:hAnsi="Times New Roman" w:eastAsia="宋体" w:cs="Times New Roman"/>
                <w:sz w:val="24"/>
              </w:rPr>
              <w:t>HW08废矿物油与含矿物油废物</w:t>
            </w:r>
            <w:r>
              <w:rPr>
                <w:rFonts w:hint="eastAsia" w:ascii="Times New Roman" w:hAnsi="Times New Roman" w:eastAsia="宋体" w:cs="Times New Roman"/>
                <w:sz w:val="24"/>
              </w:rPr>
              <w:t>，危险废物代码为900-221-08（废燃料油及燃料油储存过程中产生的油泥）。油泥清理后经专用密闭防腐防渗容器规范收集，由具备危险废物处置资质的单位直接回收处置，不在厂区内暂存。</w:t>
            </w:r>
          </w:p>
          <w:p w14:paraId="4D25F64E">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（8）废含油棉纱及废手套</w:t>
            </w:r>
          </w:p>
          <w:p w14:paraId="4466F7AF">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本项目设备及车辆维护保养过程或职工帮忙清掏各类沉积底泥时沾染的废焦油、废油泥等，会产生沾染废矿物油等的废棉纱、废抹布及废劳保手套，产生量极少，类比同类型项目产生量约为0.02t/a。</w:t>
            </w:r>
          </w:p>
          <w:p w14:paraId="3D38DD40">
            <w:pPr>
              <w:wordWrap w:val="0"/>
              <w:topLinePunct/>
              <w:spacing w:line="360" w:lineRule="auto"/>
              <w:ind w:firstLine="480" w:firstLineChars="200"/>
              <w:rPr>
                <w:rFonts w:ascii="Times New Roman" w:hAnsi="Times New Roman" w:eastAsia="宋体" w:cs="Times New Roman"/>
                <w:color w:val="FF0000"/>
                <w:sz w:val="24"/>
              </w:rPr>
            </w:pPr>
            <w:r>
              <w:rPr>
                <w:rFonts w:hint="eastAsia" w:ascii="Times New Roman" w:hAnsi="Times New Roman" w:eastAsia="宋体" w:cs="Times New Roman"/>
                <w:sz w:val="24"/>
              </w:rPr>
              <w:t>根据《国家危险废物名录》（2025年版），该危险废物类别为HW49其他废物，危险废物代码为 900-041-49（含有或者沾染毒性、感染性危险废物的废弃的包装物、容器、过滤吸附介质）。废含油棉纱及废手套等集中收集，采用</w:t>
            </w:r>
            <w:r>
              <w:rPr>
                <w:rFonts w:ascii="Times New Roman" w:hAnsi="Times New Roman" w:eastAsia="宋体" w:cs="Times New Roman"/>
                <w:sz w:val="24"/>
              </w:rPr>
              <w:t>密闭</w:t>
            </w:r>
            <w:r>
              <w:rPr>
                <w:rFonts w:hint="eastAsia" w:ascii="Times New Roman" w:hAnsi="Times New Roman" w:eastAsia="宋体" w:cs="Times New Roman"/>
                <w:sz w:val="24"/>
              </w:rPr>
              <w:t>防腐防渗</w:t>
            </w:r>
            <w:r>
              <w:rPr>
                <w:rFonts w:ascii="Times New Roman" w:hAnsi="Times New Roman" w:eastAsia="宋体" w:cs="Times New Roman"/>
                <w:sz w:val="24"/>
              </w:rPr>
              <w:t>容器</w:t>
            </w:r>
            <w:r>
              <w:rPr>
                <w:rFonts w:hint="eastAsia" w:ascii="Times New Roman" w:hAnsi="Times New Roman" w:eastAsia="宋体" w:cs="Times New Roman"/>
                <w:sz w:val="24"/>
              </w:rPr>
              <w:t>规范收集后，暂存于危废贮存点，</w:t>
            </w:r>
            <w:r>
              <w:rPr>
                <w:rFonts w:ascii="Times New Roman" w:hAnsi="Times New Roman" w:eastAsia="宋体" w:cs="Times New Roman"/>
                <w:sz w:val="24"/>
              </w:rPr>
              <w:t>委托具备相应危险废物处置资质的危险废物处置单位</w:t>
            </w:r>
            <w:r>
              <w:rPr>
                <w:rFonts w:hint="eastAsia" w:ascii="Times New Roman" w:hAnsi="Times New Roman" w:eastAsia="宋体" w:cs="Times New Roman"/>
                <w:sz w:val="24"/>
              </w:rPr>
              <w:t>定期清运，</w:t>
            </w:r>
            <w:r>
              <w:rPr>
                <w:rFonts w:ascii="Times New Roman" w:hAnsi="Times New Roman" w:eastAsia="宋体" w:cs="Times New Roman"/>
                <w:sz w:val="24"/>
              </w:rPr>
              <w:t>进行安全、无害化处置。</w:t>
            </w:r>
          </w:p>
          <w:p w14:paraId="498CB093">
            <w:pPr>
              <w:wordWrap w:val="0"/>
              <w:topLinePunct/>
              <w:spacing w:line="360" w:lineRule="auto"/>
              <w:ind w:firstLine="482" w:firstLineChars="200"/>
              <w:rPr>
                <w:rFonts w:hint="eastAsia" w:ascii="Times New Roman" w:hAnsi="宋体" w:eastAsia="宋体" w:cs="Times New Roman"/>
                <w:b/>
                <w:sz w:val="24"/>
              </w:rPr>
            </w:pPr>
            <w:r>
              <w:rPr>
                <w:rFonts w:hint="eastAsia" w:ascii="Times New Roman" w:hAnsi="宋体" w:eastAsia="宋体" w:cs="Times New Roman"/>
                <w:b/>
                <w:sz w:val="24"/>
              </w:rPr>
              <w:t>5.2固体废物属性鉴别</w:t>
            </w:r>
          </w:p>
          <w:p w14:paraId="355EC674">
            <w:pPr>
              <w:wordWrap w:val="0"/>
              <w:topLinePunct/>
              <w:spacing w:line="360" w:lineRule="auto"/>
              <w:ind w:firstLine="480" w:firstLineChars="200"/>
              <w:rPr>
                <w:rFonts w:hint="eastAsia" w:ascii="Times New Roman" w:hAnsi="宋体" w:eastAsia="宋体" w:cs="Times New Roman"/>
                <w:bCs/>
                <w:sz w:val="24"/>
              </w:rPr>
            </w:pPr>
            <w:r>
              <w:rPr>
                <w:rFonts w:ascii="Times New Roman" w:hAnsi="宋体" w:eastAsia="宋体" w:cs="Times New Roman"/>
                <w:bCs/>
                <w:sz w:val="24"/>
              </w:rPr>
              <w:t>根据《固体废物鉴别标准 通则》（GB34330-2025）</w:t>
            </w:r>
            <w:r>
              <w:rPr>
                <w:rFonts w:hint="eastAsia" w:ascii="Times New Roman" w:hAnsi="宋体" w:eastAsia="宋体" w:cs="Times New Roman"/>
                <w:bCs/>
                <w:sz w:val="24"/>
              </w:rPr>
              <w:t>、《固体废物分类与代码目录》(2024版)、《危险废物鉴别标准 通则》（GB5085.7-2019）、《国家危险废物名录（2025年版）》、《一般固体废物分类与代码》（GB/T39198-2020）、《一般工业固体废物贮存和填埋污染控制标准》（GB18599-2020）</w:t>
            </w:r>
            <w:r>
              <w:rPr>
                <w:rFonts w:ascii="Times New Roman" w:hAnsi="宋体" w:eastAsia="宋体" w:cs="Times New Roman"/>
                <w:bCs/>
                <w:sz w:val="24"/>
              </w:rPr>
              <w:t>等相关</w:t>
            </w:r>
            <w:r>
              <w:rPr>
                <w:rFonts w:hint="eastAsia" w:ascii="Times New Roman" w:hAnsi="宋体" w:eastAsia="宋体" w:cs="Times New Roman"/>
                <w:bCs/>
                <w:sz w:val="24"/>
              </w:rPr>
              <w:t>标准鉴别本项目固体废物属性。</w:t>
            </w:r>
            <w:r>
              <w:rPr>
                <w:rFonts w:ascii="Times New Roman" w:hAnsi="宋体" w:eastAsia="宋体" w:cs="Times New Roman"/>
                <w:bCs/>
                <w:sz w:val="24"/>
              </w:rPr>
              <w:t>本项目固体废物</w:t>
            </w:r>
            <w:r>
              <w:rPr>
                <w:rFonts w:hint="eastAsia" w:ascii="Times New Roman" w:hAnsi="宋体" w:eastAsia="宋体" w:cs="Times New Roman"/>
                <w:bCs/>
                <w:sz w:val="24"/>
              </w:rPr>
              <w:t>属性</w:t>
            </w:r>
            <w:r>
              <w:rPr>
                <w:rFonts w:ascii="Times New Roman" w:hAnsi="宋体" w:eastAsia="宋体" w:cs="Times New Roman"/>
                <w:bCs/>
                <w:sz w:val="24"/>
              </w:rPr>
              <w:t>鉴别分析汇总见表</w:t>
            </w:r>
            <w:r>
              <w:rPr>
                <w:rFonts w:hint="eastAsia" w:ascii="Times New Roman" w:hAnsi="宋体" w:eastAsia="宋体" w:cs="Times New Roman"/>
                <w:bCs/>
                <w:sz w:val="24"/>
              </w:rPr>
              <w:t>4-35。</w:t>
            </w:r>
          </w:p>
          <w:p w14:paraId="0FF01BD2">
            <w:pPr>
              <w:widowControl/>
              <w:wordWrap w:val="0"/>
              <w:topLinePunct/>
              <w:spacing w:line="360" w:lineRule="auto"/>
              <w:jc w:val="center"/>
              <w:rPr>
                <w:rFonts w:ascii="Times New Roman" w:hAnsi="Times New Roman" w:eastAsia="宋体" w:cs="宋体-PUA"/>
                <w:b/>
                <w:color w:val="FF0000"/>
                <w:sz w:val="24"/>
                <w:shd w:val="clear" w:color="auto" w:fill="FFFFFF"/>
              </w:rPr>
            </w:pPr>
            <w:r>
              <w:rPr>
                <w:rFonts w:hint="eastAsia" w:ascii="Times New Roman" w:hAnsi="Times New Roman" w:eastAsia="宋体" w:cs="宋体-PUA"/>
                <w:b/>
                <w:color w:val="000000" w:themeColor="text1"/>
                <w:sz w:val="24"/>
                <w:shd w:val="clear" w:color="auto" w:fill="FFFFFF"/>
                <w14:textFill>
                  <w14:solidFill>
                    <w14:schemeClr w14:val="tx1"/>
                  </w14:solidFill>
                </w14:textFill>
              </w:rPr>
              <w:t xml:space="preserve">    </w:t>
            </w:r>
            <w:r>
              <w:rPr>
                <w:rFonts w:ascii="Times New Roman" w:hAnsi="Times New Roman" w:eastAsia="宋体" w:cs="宋体-PUA"/>
                <w:b/>
                <w:color w:val="000000" w:themeColor="text1"/>
                <w:sz w:val="24"/>
                <w:shd w:val="clear" w:color="auto" w:fill="FFFFFF"/>
                <w14:textFill>
                  <w14:solidFill>
                    <w14:schemeClr w14:val="tx1"/>
                  </w14:solidFill>
                </w14:textFill>
              </w:rPr>
              <w:t>表4-</w:t>
            </w:r>
            <w:r>
              <w:rPr>
                <w:rFonts w:hint="eastAsia" w:ascii="Times New Roman" w:hAnsi="Times New Roman" w:eastAsia="宋体" w:cs="宋体-PUA"/>
                <w:b/>
                <w:color w:val="000000" w:themeColor="text1"/>
                <w:sz w:val="24"/>
                <w:shd w:val="clear" w:color="auto" w:fill="FFFFFF"/>
                <w14:textFill>
                  <w14:solidFill>
                    <w14:schemeClr w14:val="tx1"/>
                  </w14:solidFill>
                </w14:textFill>
              </w:rPr>
              <w:t>35</w:t>
            </w:r>
            <w:r>
              <w:rPr>
                <w:rFonts w:ascii="Times New Roman" w:hAnsi="Times New Roman" w:eastAsia="宋体" w:cs="宋体-PUA"/>
                <w:b/>
                <w:color w:val="000000" w:themeColor="text1"/>
                <w:sz w:val="24"/>
                <w:shd w:val="clear" w:color="auto" w:fill="FFFFFF"/>
                <w14:textFill>
                  <w14:solidFill>
                    <w14:schemeClr w14:val="tx1"/>
                  </w14:solidFill>
                </w14:textFill>
              </w:rPr>
              <w:t xml:space="preserve"> 本项目固体废物属性判定表</w:t>
            </w:r>
          </w:p>
          <w:tbl>
            <w:tblPr>
              <w:tblStyle w:val="28"/>
              <w:tblW w:w="81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
              <w:gridCol w:w="1115"/>
              <w:gridCol w:w="760"/>
              <w:gridCol w:w="1116"/>
              <w:gridCol w:w="670"/>
              <w:gridCol w:w="859"/>
              <w:gridCol w:w="849"/>
              <w:gridCol w:w="898"/>
              <w:gridCol w:w="1432"/>
            </w:tblGrid>
            <w:tr w14:paraId="00D91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69" w:type="pct"/>
                  <w:tcBorders>
                    <w:tl2br w:val="nil"/>
                    <w:tr2bl w:val="nil"/>
                  </w:tcBorders>
                  <w:vAlign w:val="center"/>
                </w:tcPr>
                <w:p w14:paraId="09680C4D">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序号</w:t>
                  </w:r>
                </w:p>
              </w:tc>
              <w:tc>
                <w:tcPr>
                  <w:tcW w:w="684" w:type="pct"/>
                  <w:tcBorders>
                    <w:tl2br w:val="nil"/>
                    <w:tr2bl w:val="nil"/>
                  </w:tcBorders>
                  <w:vAlign w:val="center"/>
                </w:tcPr>
                <w:p w14:paraId="77ACA49C">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固体废物</w:t>
                  </w:r>
                </w:p>
                <w:p w14:paraId="3533EF2E">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名称</w:t>
                  </w:r>
                </w:p>
              </w:tc>
              <w:tc>
                <w:tcPr>
                  <w:tcW w:w="467" w:type="pct"/>
                  <w:tcBorders>
                    <w:tl2br w:val="nil"/>
                    <w:tr2bl w:val="nil"/>
                  </w:tcBorders>
                  <w:vAlign w:val="center"/>
                </w:tcPr>
                <w:p w14:paraId="246B90F4">
                  <w:pPr>
                    <w:adjustRightInd w:val="0"/>
                    <w:spacing w:line="240" w:lineRule="exact"/>
                    <w:jc w:val="center"/>
                    <w:textAlignment w:val="baseline"/>
                    <w:rPr>
                      <w:rFonts w:ascii="Times New Roman" w:hAnsi="Times New Roman" w:eastAsia="宋体" w:cs="Times New Roman"/>
                      <w:b/>
                      <w:bCs/>
                      <w:color w:val="1331F5"/>
                      <w:szCs w:val="21"/>
                    </w:rPr>
                  </w:pPr>
                  <w:r>
                    <w:rPr>
                      <w:rFonts w:hint="eastAsia" w:ascii="Times New Roman" w:hAnsi="Times New Roman" w:eastAsia="宋体" w:cs="Times New Roman"/>
                      <w:b/>
                      <w:bCs/>
                      <w:color w:val="1331F5"/>
                      <w:szCs w:val="21"/>
                    </w:rPr>
                    <w:t>废物</w:t>
                  </w:r>
                </w:p>
                <w:p w14:paraId="4DA4A0EE">
                  <w:pPr>
                    <w:adjustRightInd w:val="0"/>
                    <w:spacing w:line="240" w:lineRule="exact"/>
                    <w:jc w:val="center"/>
                    <w:textAlignment w:val="baseline"/>
                    <w:rPr>
                      <w:rFonts w:ascii="Times New Roman" w:hAnsi="Times New Roman" w:eastAsia="宋体" w:cs="Times New Roman"/>
                      <w:b/>
                      <w:bCs/>
                      <w:color w:val="1331F5"/>
                      <w:szCs w:val="21"/>
                    </w:rPr>
                  </w:pPr>
                  <w:r>
                    <w:rPr>
                      <w:rFonts w:hint="eastAsia" w:ascii="Times New Roman" w:hAnsi="Times New Roman" w:eastAsia="宋体" w:cs="Times New Roman"/>
                      <w:b/>
                      <w:bCs/>
                      <w:color w:val="1331F5"/>
                      <w:szCs w:val="21"/>
                    </w:rPr>
                    <w:t>代码</w:t>
                  </w:r>
                </w:p>
              </w:tc>
              <w:tc>
                <w:tcPr>
                  <w:tcW w:w="685" w:type="pct"/>
                  <w:tcBorders>
                    <w:tl2br w:val="nil"/>
                    <w:tr2bl w:val="nil"/>
                  </w:tcBorders>
                  <w:vAlign w:val="center"/>
                </w:tcPr>
                <w:p w14:paraId="3FBE9E75">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产生</w:t>
                  </w:r>
                </w:p>
                <w:p w14:paraId="0ED1B9BC">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工序</w:t>
                  </w:r>
                </w:p>
              </w:tc>
              <w:tc>
                <w:tcPr>
                  <w:tcW w:w="412" w:type="pct"/>
                  <w:tcBorders>
                    <w:tl2br w:val="nil"/>
                    <w:tr2bl w:val="nil"/>
                  </w:tcBorders>
                  <w:vAlign w:val="center"/>
                </w:tcPr>
                <w:p w14:paraId="1ECF22DD">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物理</w:t>
                  </w:r>
                </w:p>
                <w:p w14:paraId="0B79294B">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性状</w:t>
                  </w:r>
                </w:p>
              </w:tc>
              <w:tc>
                <w:tcPr>
                  <w:tcW w:w="527" w:type="pct"/>
                  <w:tcBorders>
                    <w:tl2br w:val="nil"/>
                    <w:tr2bl w:val="nil"/>
                  </w:tcBorders>
                  <w:vAlign w:val="center"/>
                </w:tcPr>
                <w:p w14:paraId="4231CDC8">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主要</w:t>
                  </w:r>
                </w:p>
                <w:p w14:paraId="0BB03997">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成分</w:t>
                  </w:r>
                </w:p>
              </w:tc>
              <w:tc>
                <w:tcPr>
                  <w:tcW w:w="521" w:type="pct"/>
                  <w:tcBorders>
                    <w:tl2br w:val="nil"/>
                    <w:tr2bl w:val="nil"/>
                  </w:tcBorders>
                  <w:vAlign w:val="center"/>
                </w:tcPr>
                <w:p w14:paraId="029E17B9">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是否属于</w:t>
                  </w:r>
                  <w:r>
                    <w:rPr>
                      <w:rFonts w:hint="eastAsia" w:ascii="Times New Roman" w:hAnsi="Times New Roman" w:eastAsia="宋体" w:cs="Times New Roman"/>
                      <w:b/>
                      <w:bCs/>
                      <w:color w:val="000000" w:themeColor="text1"/>
                      <w:szCs w:val="21"/>
                      <w14:textFill>
                        <w14:solidFill>
                          <w14:schemeClr w14:val="tx1"/>
                        </w14:solidFill>
                      </w14:textFill>
                    </w:rPr>
                    <w:t>固体废物</w:t>
                  </w:r>
                </w:p>
              </w:tc>
              <w:tc>
                <w:tcPr>
                  <w:tcW w:w="551" w:type="pct"/>
                  <w:tcBorders>
                    <w:tl2br w:val="nil"/>
                    <w:tr2bl w:val="nil"/>
                  </w:tcBorders>
                  <w:vAlign w:val="center"/>
                </w:tcPr>
                <w:p w14:paraId="0600BAB9">
                  <w:pPr>
                    <w:adjustRightInd w:val="0"/>
                    <w:spacing w:line="240" w:lineRule="exact"/>
                    <w:jc w:val="center"/>
                    <w:textAlignment w:val="baseline"/>
                    <w:rPr>
                      <w:rFonts w:ascii="Times New Roman" w:hAnsi="Times New Roman" w:eastAsia="宋体" w:cs="Times New Roman"/>
                      <w:b/>
                      <w:bCs/>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固体废物性质</w:t>
                  </w:r>
                </w:p>
              </w:tc>
              <w:tc>
                <w:tcPr>
                  <w:tcW w:w="879" w:type="pct"/>
                  <w:tcBorders>
                    <w:tl2br w:val="nil"/>
                    <w:tr2bl w:val="nil"/>
                  </w:tcBorders>
                  <w:vAlign w:val="center"/>
                </w:tcPr>
                <w:p w14:paraId="65080C9F">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判定依据</w:t>
                  </w:r>
                </w:p>
              </w:tc>
            </w:tr>
            <w:tr w14:paraId="1359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69" w:type="pct"/>
                  <w:tcBorders>
                    <w:tl2br w:val="nil"/>
                    <w:tr2bl w:val="nil"/>
                  </w:tcBorders>
                  <w:vAlign w:val="center"/>
                </w:tcPr>
                <w:p w14:paraId="224EC33A">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1</w:t>
                  </w:r>
                </w:p>
              </w:tc>
              <w:tc>
                <w:tcPr>
                  <w:tcW w:w="684" w:type="pct"/>
                  <w:tcBorders>
                    <w:tl2br w:val="nil"/>
                    <w:tr2bl w:val="nil"/>
                  </w:tcBorders>
                  <w:vAlign w:val="center"/>
                </w:tcPr>
                <w:p w14:paraId="42A44DFB">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除尘灰</w:t>
                  </w:r>
                </w:p>
              </w:tc>
              <w:tc>
                <w:tcPr>
                  <w:tcW w:w="467" w:type="pct"/>
                  <w:tcBorders>
                    <w:tl2br w:val="nil"/>
                    <w:tr2bl w:val="nil"/>
                  </w:tcBorders>
                  <w:vAlign w:val="center"/>
                </w:tcPr>
                <w:p w14:paraId="34506738">
                  <w:pPr>
                    <w:adjustRightInd w:val="0"/>
                    <w:spacing w:line="240" w:lineRule="exact"/>
                    <w:jc w:val="center"/>
                    <w:textAlignment w:val="baseline"/>
                    <w:rPr>
                      <w:rFonts w:ascii="Times New Roman" w:hAnsi="Times New Roman" w:eastAsia="宋体" w:cs="Times New Roman"/>
                      <w:color w:val="1331F5"/>
                      <w:szCs w:val="21"/>
                    </w:rPr>
                  </w:pPr>
                  <w:r>
                    <w:rPr>
                      <w:rFonts w:hint="eastAsia" w:ascii="Times New Roman" w:hAnsi="Times New Roman" w:eastAsia="宋体" w:cs="Times New Roman"/>
                      <w:color w:val="1331F5"/>
                      <w:szCs w:val="21"/>
                    </w:rPr>
                    <w:t>900-999-66</w:t>
                  </w:r>
                </w:p>
              </w:tc>
              <w:tc>
                <w:tcPr>
                  <w:tcW w:w="685" w:type="pct"/>
                  <w:tcBorders>
                    <w:tl2br w:val="nil"/>
                    <w:tr2bl w:val="nil"/>
                  </w:tcBorders>
                  <w:vAlign w:val="center"/>
                </w:tcPr>
                <w:p w14:paraId="0B94A703">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烘干、筛分、热骨料仓工序</w:t>
                  </w:r>
                </w:p>
              </w:tc>
              <w:tc>
                <w:tcPr>
                  <w:tcW w:w="412" w:type="pct"/>
                  <w:tcBorders>
                    <w:tl2br w:val="nil"/>
                    <w:tr2bl w:val="nil"/>
                  </w:tcBorders>
                  <w:vAlign w:val="center"/>
                </w:tcPr>
                <w:p w14:paraId="60D7E57F">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固态</w:t>
                  </w:r>
                </w:p>
              </w:tc>
              <w:tc>
                <w:tcPr>
                  <w:tcW w:w="527" w:type="pct"/>
                  <w:tcBorders>
                    <w:tl2br w:val="nil"/>
                    <w:tr2bl w:val="nil"/>
                  </w:tcBorders>
                  <w:vAlign w:val="center"/>
                </w:tcPr>
                <w:p w14:paraId="558C16F2">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szCs w:val="21"/>
                    </w:rPr>
                    <w:t>细颗粒物</w:t>
                  </w:r>
                </w:p>
              </w:tc>
              <w:tc>
                <w:tcPr>
                  <w:tcW w:w="521" w:type="pct"/>
                  <w:tcBorders>
                    <w:tl2br w:val="nil"/>
                    <w:tr2bl w:val="nil"/>
                  </w:tcBorders>
                  <w:vAlign w:val="center"/>
                </w:tcPr>
                <w:p w14:paraId="7A592BA2">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是</w:t>
                  </w:r>
                </w:p>
              </w:tc>
              <w:tc>
                <w:tcPr>
                  <w:tcW w:w="551" w:type="pct"/>
                  <w:tcBorders>
                    <w:tl2br w:val="nil"/>
                    <w:tr2bl w:val="nil"/>
                  </w:tcBorders>
                  <w:vAlign w:val="center"/>
                </w:tcPr>
                <w:p w14:paraId="49EBF15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一般工业固体废物</w:t>
                  </w:r>
                </w:p>
              </w:tc>
              <w:tc>
                <w:tcPr>
                  <w:tcW w:w="879" w:type="pct"/>
                  <w:vMerge w:val="restart"/>
                  <w:tcBorders>
                    <w:tl2br w:val="nil"/>
                    <w:tr2bl w:val="nil"/>
                  </w:tcBorders>
                  <w:vAlign w:val="center"/>
                </w:tcPr>
                <w:p w14:paraId="7B978560">
                  <w:pPr>
                    <w:numPr>
                      <w:ilvl w:val="0"/>
                      <w:numId w:val="6"/>
                    </w:numPr>
                    <w:wordWrap w:val="0"/>
                    <w:topLinePunct/>
                    <w:adjustRightInd w:val="0"/>
                    <w:spacing w:line="240" w:lineRule="exact"/>
                    <w:textAlignment w:val="baseline"/>
                    <w:rPr>
                      <w:rFonts w:ascii="Times New Roman" w:hAnsi="Times New Roman" w:eastAsia="宋体" w:cs="Times New Roman"/>
                      <w:szCs w:val="21"/>
                    </w:rPr>
                  </w:pPr>
                  <w:r>
                    <w:rPr>
                      <w:rFonts w:hint="eastAsia" w:ascii="Times New Roman" w:hAnsi="Times New Roman" w:eastAsia="宋体" w:cs="Times New Roman"/>
                      <w:szCs w:val="21"/>
                    </w:rPr>
                    <w:t>在工业生产过程中产生且不属于危险废物的工业固体废物；</w:t>
                  </w:r>
                </w:p>
                <w:p w14:paraId="7EE4B918">
                  <w:pPr>
                    <w:numPr>
                      <w:ilvl w:val="0"/>
                      <w:numId w:val="6"/>
                    </w:numPr>
                    <w:wordWrap w:val="0"/>
                    <w:topLinePunct/>
                    <w:adjustRightInd w:val="0"/>
                    <w:spacing w:line="240" w:lineRule="exact"/>
                    <w:textAlignment w:val="baseline"/>
                    <w:rPr>
                      <w:rFonts w:ascii="Times New Roman" w:hAnsi="Times New Roman" w:eastAsia="宋体" w:cs="Times New Roman"/>
                      <w:szCs w:val="21"/>
                    </w:rPr>
                  </w:pPr>
                  <w:r>
                    <w:rPr>
                      <w:rFonts w:ascii="Times New Roman" w:hAnsi="Times New Roman" w:eastAsia="宋体" w:cs="Times New Roman"/>
                      <w:szCs w:val="21"/>
                    </w:rPr>
                    <w:t>未列入</w:t>
                  </w:r>
                  <w:r>
                    <w:rPr>
                      <w:rFonts w:hint="eastAsia" w:ascii="Times New Roman" w:hAnsi="Times New Roman" w:eastAsia="宋体" w:cs="Times New Roman"/>
                      <w:szCs w:val="21"/>
                    </w:rPr>
                    <w:t>《国家危险废物名录（2025年版）》</w:t>
                  </w:r>
                  <w:r>
                    <w:rPr>
                      <w:rFonts w:ascii="Times New Roman" w:hAnsi="Times New Roman" w:eastAsia="宋体" w:cs="Times New Roman"/>
                      <w:szCs w:val="21"/>
                    </w:rPr>
                    <w:t>且不具有危险特性的工业固体废物；</w:t>
                  </w:r>
                </w:p>
                <w:p w14:paraId="279DCC6D">
                  <w:pPr>
                    <w:wordWrap w:val="0"/>
                    <w:topLinePunct/>
                    <w:adjustRightInd w:val="0"/>
                    <w:spacing w:line="240" w:lineRule="exact"/>
                    <w:textAlignment w:val="baseline"/>
                    <w:rPr>
                      <w:rFonts w:ascii="Times New Roman" w:hAnsi="Times New Roman" w:eastAsia="宋体" w:cs="Times New Roman"/>
                      <w:color w:val="022DF6"/>
                      <w:szCs w:val="21"/>
                    </w:rPr>
                  </w:pPr>
                  <w:r>
                    <w:rPr>
                      <w:rFonts w:ascii="Times New Roman" w:hAnsi="Times New Roman" w:eastAsia="宋体" w:cs="Times New Roman"/>
                      <w:color w:val="022DF6"/>
                      <w:szCs w:val="21"/>
                    </w:rPr>
                    <w:t>(3)《固体废物鉴别标准 通则》（GB</w:t>
                  </w:r>
                  <w:r>
                    <w:rPr>
                      <w:rFonts w:hint="eastAsia" w:ascii="Times New Roman" w:hAnsi="Times New Roman" w:eastAsia="宋体" w:cs="Times New Roman"/>
                      <w:color w:val="022DF6"/>
                      <w:szCs w:val="21"/>
                    </w:rPr>
                    <w:t xml:space="preserve"> </w:t>
                  </w:r>
                  <w:r>
                    <w:rPr>
                      <w:rFonts w:ascii="Times New Roman" w:hAnsi="Times New Roman" w:eastAsia="宋体" w:cs="Times New Roman"/>
                      <w:color w:val="022DF6"/>
                      <w:szCs w:val="21"/>
                    </w:rPr>
                    <w:t>34330-2025）</w:t>
                  </w:r>
                  <w:r>
                    <w:rPr>
                      <w:rFonts w:hint="eastAsia" w:ascii="Times New Roman" w:hAnsi="Times New Roman" w:eastAsia="宋体" w:cs="Times New Roman"/>
                      <w:color w:val="022DF6"/>
                      <w:szCs w:val="21"/>
                    </w:rPr>
                    <w:t>；</w:t>
                  </w:r>
                </w:p>
                <w:p w14:paraId="6BB82B11">
                  <w:pPr>
                    <w:wordWrap w:val="0"/>
                    <w:topLinePunct/>
                    <w:adjustRightInd w:val="0"/>
                    <w:spacing w:line="240" w:lineRule="exact"/>
                    <w:textAlignment w:val="baseline"/>
                    <w:rPr>
                      <w:szCs w:val="21"/>
                    </w:rPr>
                  </w:pPr>
                  <w:r>
                    <w:rPr>
                      <w:rFonts w:ascii="Times New Roman" w:hAnsi="Times New Roman" w:eastAsia="宋体" w:cs="Times New Roman"/>
                      <w:szCs w:val="21"/>
                    </w:rPr>
                    <w:t>(4)《一般工业固体废物贮存和填埋污染控制标准》（GB18599-2020）Ⅰ、Ⅱ类一般工业固体废物定义；(5)主要成分、对环境产生的影响及处置去向。</w:t>
                  </w:r>
                </w:p>
              </w:tc>
            </w:tr>
            <w:tr w14:paraId="66534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9" w:type="pct"/>
                  <w:tcBorders>
                    <w:tl2br w:val="nil"/>
                    <w:tr2bl w:val="nil"/>
                  </w:tcBorders>
                  <w:vAlign w:val="center"/>
                </w:tcPr>
                <w:p w14:paraId="5AF6C732">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2</w:t>
                  </w:r>
                </w:p>
              </w:tc>
              <w:tc>
                <w:tcPr>
                  <w:tcW w:w="684" w:type="pct"/>
                  <w:tcBorders>
                    <w:tl2br w:val="nil"/>
                    <w:tr2bl w:val="nil"/>
                  </w:tcBorders>
                  <w:vAlign w:val="center"/>
                </w:tcPr>
                <w:p w14:paraId="48449CEF">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szCs w:val="21"/>
                    </w:rPr>
                    <w:t>不合格石料</w:t>
                  </w:r>
                </w:p>
              </w:tc>
              <w:tc>
                <w:tcPr>
                  <w:tcW w:w="467" w:type="pct"/>
                  <w:tcBorders>
                    <w:tl2br w:val="nil"/>
                    <w:tr2bl w:val="nil"/>
                  </w:tcBorders>
                  <w:vAlign w:val="center"/>
                </w:tcPr>
                <w:p w14:paraId="0B455984">
                  <w:pPr>
                    <w:adjustRightInd w:val="0"/>
                    <w:spacing w:line="240" w:lineRule="exact"/>
                    <w:jc w:val="center"/>
                    <w:textAlignment w:val="baseline"/>
                    <w:rPr>
                      <w:rFonts w:ascii="Times New Roman" w:hAnsi="Times New Roman" w:eastAsia="宋体" w:cs="Times New Roman"/>
                      <w:color w:val="1331F5"/>
                      <w:szCs w:val="21"/>
                    </w:rPr>
                  </w:pPr>
                  <w:r>
                    <w:rPr>
                      <w:rFonts w:hint="eastAsia" w:ascii="Times New Roman" w:hAnsi="Times New Roman" w:eastAsia="宋体" w:cs="Times New Roman"/>
                      <w:color w:val="1331F5"/>
                      <w:szCs w:val="21"/>
                    </w:rPr>
                    <w:t>900-999-99</w:t>
                  </w:r>
                </w:p>
              </w:tc>
              <w:tc>
                <w:tcPr>
                  <w:tcW w:w="685" w:type="pct"/>
                  <w:tcBorders>
                    <w:tl2br w:val="nil"/>
                    <w:tr2bl w:val="nil"/>
                  </w:tcBorders>
                  <w:vAlign w:val="center"/>
                </w:tcPr>
                <w:p w14:paraId="7E87C483">
                  <w:pPr>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宋体" w:cs="Times New Roman"/>
                      <w:szCs w:val="21"/>
                    </w:rPr>
                    <w:t>筛分工序产生的不符合粒径要求的石料及筛分残料</w:t>
                  </w:r>
                </w:p>
              </w:tc>
              <w:tc>
                <w:tcPr>
                  <w:tcW w:w="412" w:type="pct"/>
                  <w:tcBorders>
                    <w:tl2br w:val="nil"/>
                    <w:tr2bl w:val="nil"/>
                  </w:tcBorders>
                  <w:vAlign w:val="center"/>
                </w:tcPr>
                <w:p w14:paraId="398AD23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固态</w:t>
                  </w:r>
                </w:p>
              </w:tc>
              <w:tc>
                <w:tcPr>
                  <w:tcW w:w="527" w:type="pct"/>
                  <w:tcBorders>
                    <w:tl2br w:val="nil"/>
                    <w:tr2bl w:val="nil"/>
                  </w:tcBorders>
                  <w:vAlign w:val="center"/>
                </w:tcPr>
                <w:p w14:paraId="1DAEA4B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石料、石料残料</w:t>
                  </w:r>
                </w:p>
              </w:tc>
              <w:tc>
                <w:tcPr>
                  <w:tcW w:w="521" w:type="pct"/>
                  <w:tcBorders>
                    <w:tl2br w:val="nil"/>
                    <w:tr2bl w:val="nil"/>
                  </w:tcBorders>
                  <w:vAlign w:val="center"/>
                </w:tcPr>
                <w:p w14:paraId="4FF14D6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1" w:type="pct"/>
                  <w:tcBorders>
                    <w:tl2br w:val="nil"/>
                    <w:tr2bl w:val="nil"/>
                  </w:tcBorders>
                  <w:vAlign w:val="center"/>
                </w:tcPr>
                <w:p w14:paraId="773260B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一般工业固体废物</w:t>
                  </w:r>
                </w:p>
              </w:tc>
              <w:tc>
                <w:tcPr>
                  <w:tcW w:w="879" w:type="pct"/>
                  <w:vMerge w:val="continue"/>
                  <w:tcBorders>
                    <w:tl2br w:val="nil"/>
                    <w:tr2bl w:val="nil"/>
                  </w:tcBorders>
                  <w:vAlign w:val="center"/>
                </w:tcPr>
                <w:p w14:paraId="62B574EB">
                  <w:pPr>
                    <w:adjustRightInd w:val="0"/>
                    <w:spacing w:line="240" w:lineRule="exact"/>
                    <w:jc w:val="center"/>
                    <w:textAlignment w:val="baseline"/>
                    <w:rPr>
                      <w:rFonts w:ascii="Times New Roman" w:hAnsi="Times New Roman" w:eastAsia="宋体" w:cs="Times New Roman"/>
                      <w:szCs w:val="21"/>
                    </w:rPr>
                  </w:pPr>
                </w:p>
              </w:tc>
            </w:tr>
            <w:tr w14:paraId="3C0B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3" w:hRule="atLeast"/>
                <w:jc w:val="center"/>
              </w:trPr>
              <w:tc>
                <w:tcPr>
                  <w:tcW w:w="269" w:type="pct"/>
                  <w:tcBorders>
                    <w:tl2br w:val="nil"/>
                    <w:tr2bl w:val="nil"/>
                  </w:tcBorders>
                  <w:vAlign w:val="center"/>
                </w:tcPr>
                <w:p w14:paraId="23101490">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3</w:t>
                  </w:r>
                </w:p>
              </w:tc>
              <w:tc>
                <w:tcPr>
                  <w:tcW w:w="684" w:type="pct"/>
                  <w:tcBorders>
                    <w:tl2br w:val="nil"/>
                    <w:tr2bl w:val="nil"/>
                  </w:tcBorders>
                  <w:vAlign w:val="center"/>
                </w:tcPr>
                <w:p w14:paraId="3AF1AFE8">
                  <w:pPr>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宋体" w:cs="Times New Roman"/>
                      <w:szCs w:val="21"/>
                    </w:rPr>
                    <w:t>车辆冲洗废水沉淀池沉渣</w:t>
                  </w:r>
                </w:p>
              </w:tc>
              <w:tc>
                <w:tcPr>
                  <w:tcW w:w="467" w:type="pct"/>
                  <w:tcBorders>
                    <w:tl2br w:val="nil"/>
                    <w:tr2bl w:val="nil"/>
                  </w:tcBorders>
                  <w:vAlign w:val="center"/>
                </w:tcPr>
                <w:p w14:paraId="64F617B8">
                  <w:pPr>
                    <w:adjustRightInd w:val="0"/>
                    <w:spacing w:line="240" w:lineRule="exact"/>
                    <w:jc w:val="center"/>
                    <w:textAlignment w:val="baseline"/>
                    <w:rPr>
                      <w:rFonts w:ascii="Times New Roman" w:hAnsi="Times New Roman" w:eastAsia="宋体" w:cs="Times New Roman"/>
                      <w:color w:val="1331F5"/>
                      <w:szCs w:val="21"/>
                    </w:rPr>
                  </w:pPr>
                  <w:r>
                    <w:rPr>
                      <w:rFonts w:hint="eastAsia" w:ascii="Times New Roman" w:hAnsi="Times New Roman" w:eastAsia="宋体" w:cs="Times New Roman"/>
                      <w:color w:val="1331F5"/>
                      <w:szCs w:val="21"/>
                    </w:rPr>
                    <w:t>900-999-61</w:t>
                  </w:r>
                </w:p>
              </w:tc>
              <w:tc>
                <w:tcPr>
                  <w:tcW w:w="685" w:type="pct"/>
                  <w:tcBorders>
                    <w:tl2br w:val="nil"/>
                    <w:tr2bl w:val="nil"/>
                  </w:tcBorders>
                  <w:vAlign w:val="center"/>
                </w:tcPr>
                <w:p w14:paraId="4FF8CFC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运输车辆轮胎冲洗过程</w:t>
                  </w:r>
                </w:p>
              </w:tc>
              <w:tc>
                <w:tcPr>
                  <w:tcW w:w="412" w:type="pct"/>
                  <w:tcBorders>
                    <w:tl2br w:val="nil"/>
                    <w:tr2bl w:val="nil"/>
                  </w:tcBorders>
                  <w:vAlign w:val="center"/>
                </w:tcPr>
                <w:p w14:paraId="1747C84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固液混合态</w:t>
                  </w:r>
                </w:p>
              </w:tc>
              <w:tc>
                <w:tcPr>
                  <w:tcW w:w="527" w:type="pct"/>
                  <w:tcBorders>
                    <w:tl2br w:val="nil"/>
                    <w:tr2bl w:val="nil"/>
                  </w:tcBorders>
                  <w:vAlign w:val="center"/>
                </w:tcPr>
                <w:p w14:paraId="37DB3478">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砂石颗粒、泥土及极少量沥青</w:t>
                  </w:r>
                  <w:r>
                    <w:rPr>
                      <w:rFonts w:hint="eastAsia" w:ascii="Times New Roman" w:hAnsi="Times New Roman" w:eastAsia="宋体" w:cs="Times New Roman"/>
                      <w:szCs w:val="21"/>
                    </w:rPr>
                    <w:t>残渣</w:t>
                  </w:r>
                </w:p>
              </w:tc>
              <w:tc>
                <w:tcPr>
                  <w:tcW w:w="521" w:type="pct"/>
                  <w:tcBorders>
                    <w:tl2br w:val="nil"/>
                    <w:tr2bl w:val="nil"/>
                  </w:tcBorders>
                  <w:vAlign w:val="center"/>
                </w:tcPr>
                <w:p w14:paraId="6F78AFE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1" w:type="pct"/>
                  <w:tcBorders>
                    <w:tl2br w:val="nil"/>
                    <w:tr2bl w:val="nil"/>
                  </w:tcBorders>
                  <w:vAlign w:val="center"/>
                </w:tcPr>
                <w:p w14:paraId="0401996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一般工业固体废物</w:t>
                  </w:r>
                </w:p>
              </w:tc>
              <w:tc>
                <w:tcPr>
                  <w:tcW w:w="879" w:type="pct"/>
                  <w:vMerge w:val="continue"/>
                  <w:tcBorders>
                    <w:tl2br w:val="nil"/>
                    <w:tr2bl w:val="nil"/>
                  </w:tcBorders>
                  <w:vAlign w:val="center"/>
                </w:tcPr>
                <w:p w14:paraId="4C678FFD">
                  <w:pPr>
                    <w:adjustRightInd w:val="0"/>
                    <w:spacing w:line="240" w:lineRule="exact"/>
                    <w:jc w:val="center"/>
                    <w:textAlignment w:val="baseline"/>
                    <w:rPr>
                      <w:rFonts w:ascii="Times New Roman" w:hAnsi="Times New Roman" w:eastAsia="宋体" w:cs="Times New Roman"/>
                      <w:szCs w:val="21"/>
                    </w:rPr>
                  </w:pPr>
                </w:p>
              </w:tc>
            </w:tr>
            <w:tr w14:paraId="09CE2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269" w:type="pct"/>
                  <w:tcBorders>
                    <w:tl2br w:val="nil"/>
                    <w:tr2bl w:val="nil"/>
                  </w:tcBorders>
                  <w:vAlign w:val="center"/>
                </w:tcPr>
                <w:p w14:paraId="265AED59">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4</w:t>
                  </w:r>
                </w:p>
              </w:tc>
              <w:tc>
                <w:tcPr>
                  <w:tcW w:w="684" w:type="pct"/>
                  <w:tcBorders>
                    <w:tl2br w:val="nil"/>
                    <w:tr2bl w:val="nil"/>
                  </w:tcBorders>
                  <w:vAlign w:val="center"/>
                </w:tcPr>
                <w:p w14:paraId="095043DB">
                  <w:pPr>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宋体" w:cs="Times New Roman"/>
                      <w:szCs w:val="21"/>
                    </w:rPr>
                    <w:t>废布袋、废滤芯</w:t>
                  </w:r>
                </w:p>
              </w:tc>
              <w:tc>
                <w:tcPr>
                  <w:tcW w:w="467" w:type="pct"/>
                  <w:tcBorders>
                    <w:tl2br w:val="nil"/>
                    <w:tr2bl w:val="nil"/>
                  </w:tcBorders>
                  <w:vAlign w:val="center"/>
                </w:tcPr>
                <w:p w14:paraId="6747D7D6">
                  <w:pPr>
                    <w:adjustRightInd w:val="0"/>
                    <w:spacing w:line="240" w:lineRule="exact"/>
                    <w:jc w:val="center"/>
                    <w:textAlignment w:val="baseline"/>
                    <w:rPr>
                      <w:rFonts w:ascii="Times New Roman" w:hAnsi="Times New Roman" w:eastAsia="宋体" w:cs="Times New Roman"/>
                      <w:color w:val="1331F5"/>
                      <w:szCs w:val="21"/>
                    </w:rPr>
                  </w:pPr>
                  <w:r>
                    <w:rPr>
                      <w:rFonts w:hint="eastAsia" w:ascii="Times New Roman" w:hAnsi="Times New Roman" w:eastAsia="宋体" w:cs="Times New Roman"/>
                      <w:color w:val="1331F5"/>
                      <w:szCs w:val="21"/>
                    </w:rPr>
                    <w:t>900-999-99</w:t>
                  </w:r>
                </w:p>
              </w:tc>
              <w:tc>
                <w:tcPr>
                  <w:tcW w:w="685" w:type="pct"/>
                  <w:tcBorders>
                    <w:tl2br w:val="nil"/>
                    <w:tr2bl w:val="nil"/>
                  </w:tcBorders>
                  <w:vAlign w:val="center"/>
                </w:tcPr>
                <w:p w14:paraId="4A301E2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除尘系统粉尘捕集过程</w:t>
                  </w:r>
                </w:p>
              </w:tc>
              <w:tc>
                <w:tcPr>
                  <w:tcW w:w="412" w:type="pct"/>
                  <w:tcBorders>
                    <w:tl2br w:val="nil"/>
                    <w:tr2bl w:val="nil"/>
                  </w:tcBorders>
                  <w:vAlign w:val="center"/>
                </w:tcPr>
                <w:p w14:paraId="3302CB1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固态</w:t>
                  </w:r>
                </w:p>
              </w:tc>
              <w:tc>
                <w:tcPr>
                  <w:tcW w:w="527" w:type="pct"/>
                  <w:tcBorders>
                    <w:tl2br w:val="nil"/>
                    <w:tr2bl w:val="nil"/>
                  </w:tcBorders>
                  <w:vAlign w:val="center"/>
                </w:tcPr>
                <w:p w14:paraId="0D35046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布袋、滤芯</w:t>
                  </w:r>
                </w:p>
              </w:tc>
              <w:tc>
                <w:tcPr>
                  <w:tcW w:w="521" w:type="pct"/>
                  <w:tcBorders>
                    <w:tl2br w:val="nil"/>
                    <w:tr2bl w:val="nil"/>
                  </w:tcBorders>
                  <w:vAlign w:val="center"/>
                </w:tcPr>
                <w:p w14:paraId="45F7746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1" w:type="pct"/>
                  <w:tcBorders>
                    <w:tl2br w:val="nil"/>
                    <w:tr2bl w:val="nil"/>
                  </w:tcBorders>
                  <w:vAlign w:val="center"/>
                </w:tcPr>
                <w:p w14:paraId="4138A29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一般工业固体废物</w:t>
                  </w:r>
                </w:p>
              </w:tc>
              <w:tc>
                <w:tcPr>
                  <w:tcW w:w="879" w:type="pct"/>
                  <w:vMerge w:val="continue"/>
                  <w:tcBorders>
                    <w:tl2br w:val="nil"/>
                    <w:tr2bl w:val="nil"/>
                  </w:tcBorders>
                  <w:vAlign w:val="center"/>
                </w:tcPr>
                <w:p w14:paraId="34C1CC7A">
                  <w:pPr>
                    <w:adjustRightInd w:val="0"/>
                    <w:spacing w:line="240" w:lineRule="exact"/>
                    <w:jc w:val="center"/>
                    <w:textAlignment w:val="baseline"/>
                    <w:rPr>
                      <w:rFonts w:ascii="Times New Roman" w:hAnsi="Times New Roman" w:eastAsia="宋体" w:cs="Times New Roman"/>
                      <w:szCs w:val="21"/>
                    </w:rPr>
                  </w:pPr>
                </w:p>
              </w:tc>
            </w:tr>
            <w:tr w14:paraId="7C54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69" w:type="pct"/>
                  <w:tcBorders>
                    <w:tl2br w:val="nil"/>
                    <w:tr2bl w:val="nil"/>
                  </w:tcBorders>
                  <w:vAlign w:val="center"/>
                </w:tcPr>
                <w:p w14:paraId="45B27968">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5</w:t>
                  </w:r>
                </w:p>
              </w:tc>
              <w:tc>
                <w:tcPr>
                  <w:tcW w:w="684" w:type="pct"/>
                  <w:tcBorders>
                    <w:tl2br w:val="nil"/>
                    <w:tr2bl w:val="nil"/>
                  </w:tcBorders>
                  <w:vAlign w:val="center"/>
                </w:tcPr>
                <w:p w14:paraId="6AE86272">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滴漏沥青及拌合残渣</w:t>
                  </w:r>
                </w:p>
              </w:tc>
              <w:tc>
                <w:tcPr>
                  <w:tcW w:w="467" w:type="pct"/>
                  <w:tcBorders>
                    <w:tl2br w:val="nil"/>
                    <w:tr2bl w:val="nil"/>
                  </w:tcBorders>
                  <w:vAlign w:val="center"/>
                </w:tcPr>
                <w:p w14:paraId="70159D2E">
                  <w:pPr>
                    <w:adjustRightInd w:val="0"/>
                    <w:spacing w:line="240" w:lineRule="exact"/>
                    <w:jc w:val="center"/>
                    <w:textAlignment w:val="baseline"/>
                    <w:rPr>
                      <w:rFonts w:ascii="Times New Roman" w:hAnsi="Times New Roman" w:eastAsia="宋体" w:cs="Times New Roman"/>
                      <w:color w:val="1331F5"/>
                      <w:szCs w:val="21"/>
                    </w:rPr>
                  </w:pPr>
                  <w:r>
                    <w:rPr>
                      <w:rFonts w:hint="eastAsia" w:ascii="Times New Roman" w:hAnsi="Times New Roman" w:eastAsia="宋体" w:cs="Times New Roman"/>
                      <w:color w:val="1331F5"/>
                      <w:szCs w:val="21"/>
                    </w:rPr>
                    <w:t>900-999-99</w:t>
                  </w:r>
                </w:p>
              </w:tc>
              <w:tc>
                <w:tcPr>
                  <w:tcW w:w="685" w:type="pct"/>
                  <w:tcBorders>
                    <w:tl2br w:val="nil"/>
                    <w:tr2bl w:val="nil"/>
                  </w:tcBorders>
                  <w:vAlign w:val="center"/>
                </w:tcPr>
                <w:p w14:paraId="083BF1F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沥青卸料、输送、拌合工序</w:t>
                  </w:r>
                </w:p>
              </w:tc>
              <w:tc>
                <w:tcPr>
                  <w:tcW w:w="412" w:type="pct"/>
                  <w:tcBorders>
                    <w:tl2br w:val="nil"/>
                    <w:tr2bl w:val="nil"/>
                  </w:tcBorders>
                  <w:vAlign w:val="center"/>
                </w:tcPr>
                <w:p w14:paraId="7EBE34C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固态</w:t>
                  </w:r>
                </w:p>
              </w:tc>
              <w:tc>
                <w:tcPr>
                  <w:tcW w:w="527" w:type="pct"/>
                  <w:tcBorders>
                    <w:tl2br w:val="nil"/>
                    <w:tr2bl w:val="nil"/>
                  </w:tcBorders>
                  <w:vAlign w:val="center"/>
                </w:tcPr>
                <w:p w14:paraId="61FB519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沥青残渣</w:t>
                  </w:r>
                </w:p>
              </w:tc>
              <w:tc>
                <w:tcPr>
                  <w:tcW w:w="521" w:type="pct"/>
                  <w:tcBorders>
                    <w:tl2br w:val="nil"/>
                    <w:tr2bl w:val="nil"/>
                  </w:tcBorders>
                  <w:vAlign w:val="center"/>
                </w:tcPr>
                <w:p w14:paraId="0175060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1" w:type="pct"/>
                  <w:tcBorders>
                    <w:tl2br w:val="nil"/>
                    <w:tr2bl w:val="nil"/>
                  </w:tcBorders>
                  <w:vAlign w:val="center"/>
                </w:tcPr>
                <w:p w14:paraId="01746ED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一般工业固体废物</w:t>
                  </w:r>
                </w:p>
              </w:tc>
              <w:tc>
                <w:tcPr>
                  <w:tcW w:w="879" w:type="pct"/>
                  <w:vMerge w:val="continue"/>
                  <w:tcBorders>
                    <w:tl2br w:val="nil"/>
                    <w:tr2bl w:val="nil"/>
                  </w:tcBorders>
                  <w:vAlign w:val="center"/>
                </w:tcPr>
                <w:p w14:paraId="6ACE02F4">
                  <w:pPr>
                    <w:adjustRightInd w:val="0"/>
                    <w:spacing w:line="240" w:lineRule="exact"/>
                    <w:jc w:val="center"/>
                    <w:textAlignment w:val="baseline"/>
                    <w:rPr>
                      <w:rFonts w:ascii="Times New Roman" w:hAnsi="Times New Roman" w:eastAsia="宋体" w:cs="Times New Roman"/>
                      <w:szCs w:val="21"/>
                    </w:rPr>
                  </w:pPr>
                </w:p>
              </w:tc>
            </w:tr>
            <w:tr w14:paraId="12BEA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69" w:type="pct"/>
                  <w:tcBorders>
                    <w:tl2br w:val="nil"/>
                    <w:tr2bl w:val="nil"/>
                  </w:tcBorders>
                  <w:vAlign w:val="center"/>
                </w:tcPr>
                <w:p w14:paraId="466246DC">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6</w:t>
                  </w:r>
                </w:p>
              </w:tc>
              <w:tc>
                <w:tcPr>
                  <w:tcW w:w="684" w:type="pct"/>
                  <w:tcBorders>
                    <w:tl2br w:val="nil"/>
                    <w:tr2bl w:val="nil"/>
                  </w:tcBorders>
                  <w:vAlign w:val="center"/>
                </w:tcPr>
                <w:p w14:paraId="43455065">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职工生活垃圾</w:t>
                  </w:r>
                </w:p>
              </w:tc>
              <w:tc>
                <w:tcPr>
                  <w:tcW w:w="467" w:type="pct"/>
                  <w:tcBorders>
                    <w:tl2br w:val="nil"/>
                    <w:tr2bl w:val="nil"/>
                  </w:tcBorders>
                  <w:vAlign w:val="center"/>
                </w:tcPr>
                <w:p w14:paraId="552A10CD">
                  <w:pPr>
                    <w:adjustRightInd w:val="0"/>
                    <w:spacing w:line="240" w:lineRule="exact"/>
                    <w:jc w:val="center"/>
                    <w:textAlignment w:val="baseline"/>
                    <w:rPr>
                      <w:rFonts w:ascii="Times New Roman" w:hAnsi="Times New Roman" w:eastAsia="宋体" w:cs="Times New Roman"/>
                      <w:color w:val="1331F5"/>
                      <w:szCs w:val="21"/>
                    </w:rPr>
                  </w:pPr>
                  <w:r>
                    <w:rPr>
                      <w:rFonts w:hint="eastAsia" w:ascii="Times New Roman" w:hAnsi="Times New Roman" w:eastAsia="宋体" w:cs="Times New Roman"/>
                      <w:color w:val="1331F5"/>
                      <w:szCs w:val="21"/>
                    </w:rPr>
                    <w:t>900-099-</w:t>
                  </w:r>
                  <w:r>
                    <w:rPr>
                      <w:rFonts w:ascii="Times New Roman" w:hAnsi="Times New Roman" w:eastAsia="宋体" w:cs="Times New Roman"/>
                      <w:color w:val="1331F5"/>
                      <w:szCs w:val="21"/>
                    </w:rPr>
                    <w:t>S64</w:t>
                  </w:r>
                </w:p>
              </w:tc>
              <w:tc>
                <w:tcPr>
                  <w:tcW w:w="685" w:type="pct"/>
                  <w:tcBorders>
                    <w:tl2br w:val="nil"/>
                    <w:tr2bl w:val="nil"/>
                  </w:tcBorders>
                  <w:vAlign w:val="center"/>
                </w:tcPr>
                <w:p w14:paraId="49D367B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职工日常生活</w:t>
                  </w:r>
                </w:p>
              </w:tc>
              <w:tc>
                <w:tcPr>
                  <w:tcW w:w="412" w:type="pct"/>
                  <w:tcBorders>
                    <w:tl2br w:val="nil"/>
                    <w:tr2bl w:val="nil"/>
                  </w:tcBorders>
                  <w:vAlign w:val="center"/>
                </w:tcPr>
                <w:p w14:paraId="4E3E5F6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固态</w:t>
                  </w:r>
                </w:p>
              </w:tc>
              <w:tc>
                <w:tcPr>
                  <w:tcW w:w="527" w:type="pct"/>
                  <w:tcBorders>
                    <w:tl2br w:val="nil"/>
                    <w:tr2bl w:val="nil"/>
                  </w:tcBorders>
                  <w:vAlign w:val="center"/>
                </w:tcPr>
                <w:p w14:paraId="49DF95D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各类生活垃圾</w:t>
                  </w:r>
                </w:p>
              </w:tc>
              <w:tc>
                <w:tcPr>
                  <w:tcW w:w="521" w:type="pct"/>
                  <w:tcBorders>
                    <w:tl2br w:val="nil"/>
                    <w:tr2bl w:val="nil"/>
                  </w:tcBorders>
                  <w:vAlign w:val="center"/>
                </w:tcPr>
                <w:p w14:paraId="218335C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1" w:type="pct"/>
                  <w:tcBorders>
                    <w:tl2br w:val="nil"/>
                    <w:tr2bl w:val="nil"/>
                  </w:tcBorders>
                  <w:vAlign w:val="center"/>
                </w:tcPr>
                <w:p w14:paraId="41B2549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一般固体废物；生活垃圾</w:t>
                  </w:r>
                </w:p>
              </w:tc>
              <w:tc>
                <w:tcPr>
                  <w:tcW w:w="879" w:type="pct"/>
                  <w:vMerge w:val="restart"/>
                  <w:tcBorders>
                    <w:tl2br w:val="nil"/>
                    <w:tr2bl w:val="nil"/>
                  </w:tcBorders>
                  <w:vAlign w:val="center"/>
                </w:tcPr>
                <w:p w14:paraId="71638A54">
                  <w:pPr>
                    <w:adjustRightInd w:val="0"/>
                    <w:spacing w:line="240" w:lineRule="exact"/>
                    <w:textAlignment w:val="baseline"/>
                    <w:rPr>
                      <w:rFonts w:ascii="Times New Roman" w:hAnsi="Times New Roman" w:eastAsia="宋体" w:cs="Times New Roman"/>
                      <w:szCs w:val="21"/>
                    </w:rPr>
                  </w:pPr>
                  <w:r>
                    <w:rPr>
                      <w:rFonts w:ascii="Times New Roman" w:hAnsi="Times New Roman" w:eastAsia="宋体" w:cs="Times New Roman"/>
                      <w:szCs w:val="21"/>
                    </w:rPr>
                    <w:t>(1)</w:t>
                  </w:r>
                  <w:r>
                    <w:rPr>
                      <w:rFonts w:hint="eastAsia" w:ascii="Times New Roman" w:hAnsi="Times New Roman" w:eastAsia="宋体" w:cs="Times New Roman"/>
                      <w:szCs w:val="21"/>
                    </w:rPr>
                    <w:t>在日常生活中或者为日常生活提供服务的活动中产生的固体废物，以及法律、行政法规规定视为生活垃圾的固体废物；</w:t>
                  </w:r>
                  <w:r>
                    <w:rPr>
                      <w:rFonts w:ascii="Times New Roman" w:hAnsi="Times New Roman" w:eastAsia="宋体" w:cs="Times New Roman"/>
                      <w:szCs w:val="21"/>
                    </w:rPr>
                    <w:t>(2)</w:t>
                  </w:r>
                  <w:r>
                    <w:rPr>
                      <w:rFonts w:hint="eastAsia" w:ascii="Times New Roman" w:hAnsi="Times New Roman" w:eastAsia="宋体" w:cs="Times New Roman"/>
                      <w:szCs w:val="21"/>
                    </w:rPr>
                    <w:t>《</w:t>
                  </w:r>
                  <w:r>
                    <w:rPr>
                      <w:rFonts w:ascii="Times New Roman" w:hAnsi="Times New Roman" w:eastAsia="宋体" w:cs="Times New Roman"/>
                      <w:szCs w:val="21"/>
                    </w:rPr>
                    <w:t>固体废物分类与代码目录</w:t>
                  </w:r>
                  <w:r>
                    <w:rPr>
                      <w:rFonts w:hint="eastAsia" w:ascii="Times New Roman" w:hAnsi="Times New Roman" w:eastAsia="宋体" w:cs="Times New Roman"/>
                      <w:szCs w:val="21"/>
                    </w:rPr>
                    <w:t>》</w:t>
                  </w:r>
                  <w:r>
                    <w:rPr>
                      <w:rFonts w:ascii="Times New Roman" w:hAnsi="Times New Roman" w:eastAsia="宋体" w:cs="Times New Roman"/>
                      <w:szCs w:val="21"/>
                    </w:rPr>
                    <w:t>(</w:t>
                  </w:r>
                  <w:r>
                    <w:rPr>
                      <w:rFonts w:hint="eastAsia" w:ascii="Times New Roman" w:hAnsi="Times New Roman" w:eastAsia="宋体" w:cs="Times New Roman"/>
                      <w:szCs w:val="21"/>
                    </w:rPr>
                    <w:t>2024版</w:t>
                  </w:r>
                  <w:r>
                    <w:rPr>
                      <w:rFonts w:ascii="Times New Roman" w:hAnsi="Times New Roman" w:eastAsia="宋体" w:cs="Times New Roman"/>
                      <w:szCs w:val="21"/>
                    </w:rPr>
                    <w:t>)</w:t>
                  </w:r>
                  <w:r>
                    <w:rPr>
                      <w:rFonts w:hint="eastAsia" w:ascii="Times New Roman" w:hAnsi="Times New Roman" w:eastAsia="宋体" w:cs="Times New Roman"/>
                      <w:szCs w:val="21"/>
                    </w:rPr>
                    <w:t>。</w:t>
                  </w:r>
                </w:p>
              </w:tc>
            </w:tr>
            <w:tr w14:paraId="5580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69" w:type="pct"/>
                  <w:tcBorders>
                    <w:tl2br w:val="nil"/>
                    <w:tr2bl w:val="nil"/>
                  </w:tcBorders>
                  <w:vAlign w:val="center"/>
                </w:tcPr>
                <w:p w14:paraId="38069082">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7</w:t>
                  </w:r>
                </w:p>
              </w:tc>
              <w:tc>
                <w:tcPr>
                  <w:tcW w:w="684" w:type="pct"/>
                  <w:tcBorders>
                    <w:tl2br w:val="nil"/>
                    <w:tr2bl w:val="nil"/>
                  </w:tcBorders>
                  <w:vAlign w:val="center"/>
                </w:tcPr>
                <w:p w14:paraId="6EE29A0C">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食堂餐厨垃圾</w:t>
                  </w:r>
                </w:p>
              </w:tc>
              <w:tc>
                <w:tcPr>
                  <w:tcW w:w="467" w:type="pct"/>
                  <w:tcBorders>
                    <w:tl2br w:val="nil"/>
                    <w:tr2bl w:val="nil"/>
                  </w:tcBorders>
                  <w:vAlign w:val="center"/>
                </w:tcPr>
                <w:p w14:paraId="063CC1DD">
                  <w:pPr>
                    <w:adjustRightInd w:val="0"/>
                    <w:spacing w:line="240" w:lineRule="exact"/>
                    <w:jc w:val="center"/>
                    <w:textAlignment w:val="baseline"/>
                    <w:rPr>
                      <w:rFonts w:ascii="Times New Roman" w:hAnsi="Times New Roman" w:eastAsia="宋体" w:cs="Times New Roman"/>
                      <w:color w:val="1331F5"/>
                      <w:szCs w:val="21"/>
                    </w:rPr>
                  </w:pPr>
                  <w:r>
                    <w:rPr>
                      <w:rFonts w:hint="eastAsia" w:ascii="Times New Roman" w:hAnsi="Times New Roman" w:eastAsia="宋体" w:cs="Times New Roman"/>
                      <w:color w:val="1331F5"/>
                      <w:szCs w:val="21"/>
                    </w:rPr>
                    <w:t> 900-002-S61</w:t>
                  </w:r>
                </w:p>
              </w:tc>
              <w:tc>
                <w:tcPr>
                  <w:tcW w:w="685" w:type="pct"/>
                  <w:tcBorders>
                    <w:tl2br w:val="nil"/>
                    <w:tr2bl w:val="nil"/>
                  </w:tcBorders>
                  <w:vAlign w:val="center"/>
                </w:tcPr>
                <w:p w14:paraId="63E5E65E">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食堂职工就餐</w:t>
                  </w:r>
                </w:p>
              </w:tc>
              <w:tc>
                <w:tcPr>
                  <w:tcW w:w="412" w:type="pct"/>
                  <w:tcBorders>
                    <w:tl2br w:val="nil"/>
                    <w:tr2bl w:val="nil"/>
                  </w:tcBorders>
                  <w:vAlign w:val="center"/>
                </w:tcPr>
                <w:p w14:paraId="05C38F0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固液混合态</w:t>
                  </w:r>
                </w:p>
              </w:tc>
              <w:tc>
                <w:tcPr>
                  <w:tcW w:w="527" w:type="pct"/>
                  <w:tcBorders>
                    <w:tl2br w:val="nil"/>
                    <w:tr2bl w:val="nil"/>
                  </w:tcBorders>
                  <w:vAlign w:val="center"/>
                </w:tcPr>
                <w:p w14:paraId="3A51A73A">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厨余垃圾</w:t>
                  </w:r>
                </w:p>
              </w:tc>
              <w:tc>
                <w:tcPr>
                  <w:tcW w:w="521" w:type="pct"/>
                  <w:tcBorders>
                    <w:tl2br w:val="nil"/>
                    <w:tr2bl w:val="nil"/>
                  </w:tcBorders>
                  <w:vAlign w:val="center"/>
                </w:tcPr>
                <w:p w14:paraId="698926B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1" w:type="pct"/>
                  <w:tcBorders>
                    <w:tl2br w:val="nil"/>
                    <w:tr2bl w:val="nil"/>
                  </w:tcBorders>
                  <w:vAlign w:val="center"/>
                </w:tcPr>
                <w:p w14:paraId="4D9E779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一般固体废物；生活垃圾</w:t>
                  </w:r>
                </w:p>
              </w:tc>
              <w:tc>
                <w:tcPr>
                  <w:tcW w:w="879" w:type="pct"/>
                  <w:vMerge w:val="continue"/>
                  <w:tcBorders>
                    <w:tl2br w:val="nil"/>
                    <w:tr2bl w:val="nil"/>
                  </w:tcBorders>
                  <w:vAlign w:val="center"/>
                </w:tcPr>
                <w:p w14:paraId="535DEE02">
                  <w:pPr>
                    <w:adjustRightInd w:val="0"/>
                    <w:spacing w:line="240" w:lineRule="exact"/>
                    <w:jc w:val="center"/>
                    <w:textAlignment w:val="baseline"/>
                    <w:rPr>
                      <w:rFonts w:ascii="Times New Roman" w:hAnsi="Times New Roman" w:eastAsia="宋体" w:cs="Times New Roman"/>
                      <w:szCs w:val="21"/>
                    </w:rPr>
                  </w:pPr>
                </w:p>
              </w:tc>
            </w:tr>
            <w:tr w14:paraId="2B826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69" w:type="pct"/>
                  <w:tcBorders>
                    <w:tl2br w:val="nil"/>
                    <w:tr2bl w:val="nil"/>
                  </w:tcBorders>
                  <w:vAlign w:val="center"/>
                </w:tcPr>
                <w:p w14:paraId="461F4904">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8</w:t>
                  </w:r>
                </w:p>
              </w:tc>
              <w:tc>
                <w:tcPr>
                  <w:tcW w:w="684" w:type="pct"/>
                  <w:tcBorders>
                    <w:tl2br w:val="nil"/>
                    <w:tr2bl w:val="nil"/>
                  </w:tcBorders>
                  <w:vAlign w:val="center"/>
                </w:tcPr>
                <w:p w14:paraId="3940EBB4">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隔油池、化粪池沉渣</w:t>
                  </w:r>
                </w:p>
              </w:tc>
              <w:tc>
                <w:tcPr>
                  <w:tcW w:w="467" w:type="pct"/>
                  <w:tcBorders>
                    <w:tl2br w:val="nil"/>
                    <w:tr2bl w:val="nil"/>
                  </w:tcBorders>
                  <w:vAlign w:val="center"/>
                </w:tcPr>
                <w:p w14:paraId="0A9F3CA6">
                  <w:pPr>
                    <w:adjustRightInd w:val="0"/>
                    <w:spacing w:line="240" w:lineRule="exact"/>
                    <w:jc w:val="center"/>
                    <w:textAlignment w:val="baseline"/>
                    <w:rPr>
                      <w:rFonts w:ascii="Times New Roman" w:hAnsi="Times New Roman" w:eastAsia="宋体" w:cs="Times New Roman"/>
                      <w:color w:val="1331F5"/>
                      <w:szCs w:val="21"/>
                    </w:rPr>
                  </w:pPr>
                  <w:r>
                    <w:rPr>
                      <w:rFonts w:hint="eastAsia" w:ascii="Times New Roman" w:hAnsi="Times New Roman" w:eastAsia="宋体" w:cs="Times New Roman"/>
                      <w:color w:val="1331F5"/>
                      <w:szCs w:val="21"/>
                    </w:rPr>
                    <w:t>900-099-</w:t>
                  </w:r>
                  <w:r>
                    <w:rPr>
                      <w:rFonts w:ascii="Times New Roman" w:hAnsi="Times New Roman" w:eastAsia="宋体" w:cs="Times New Roman"/>
                      <w:color w:val="1331F5"/>
                      <w:szCs w:val="21"/>
                    </w:rPr>
                    <w:t>S64</w:t>
                  </w:r>
                </w:p>
              </w:tc>
              <w:tc>
                <w:tcPr>
                  <w:tcW w:w="685" w:type="pct"/>
                  <w:tcBorders>
                    <w:tl2br w:val="nil"/>
                    <w:tr2bl w:val="nil"/>
                  </w:tcBorders>
                  <w:vAlign w:val="center"/>
                </w:tcPr>
                <w:p w14:paraId="19E6612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职工生活污水（含食堂废水）预处理设施</w:t>
                  </w:r>
                </w:p>
              </w:tc>
              <w:tc>
                <w:tcPr>
                  <w:tcW w:w="412" w:type="pct"/>
                  <w:tcBorders>
                    <w:tl2br w:val="nil"/>
                    <w:tr2bl w:val="nil"/>
                  </w:tcBorders>
                  <w:vAlign w:val="center"/>
                </w:tcPr>
                <w:p w14:paraId="36290B0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固液混合态</w:t>
                  </w:r>
                </w:p>
              </w:tc>
              <w:tc>
                <w:tcPr>
                  <w:tcW w:w="527" w:type="pct"/>
                  <w:tcBorders>
                    <w:tl2br w:val="nil"/>
                    <w:tr2bl w:val="nil"/>
                  </w:tcBorders>
                  <w:vAlign w:val="center"/>
                </w:tcPr>
                <w:p w14:paraId="5F97DAEF">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油污、粪污、混合沉积物</w:t>
                  </w:r>
                </w:p>
              </w:tc>
              <w:tc>
                <w:tcPr>
                  <w:tcW w:w="521" w:type="pct"/>
                  <w:tcBorders>
                    <w:tl2br w:val="nil"/>
                    <w:tr2bl w:val="nil"/>
                  </w:tcBorders>
                  <w:vAlign w:val="center"/>
                </w:tcPr>
                <w:p w14:paraId="5FB6FE2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1" w:type="pct"/>
                  <w:tcBorders>
                    <w:tl2br w:val="nil"/>
                    <w:tr2bl w:val="nil"/>
                  </w:tcBorders>
                  <w:vAlign w:val="center"/>
                </w:tcPr>
                <w:p w14:paraId="0A411DA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一般固体废物；生活垃圾</w:t>
                  </w:r>
                </w:p>
              </w:tc>
              <w:tc>
                <w:tcPr>
                  <w:tcW w:w="879" w:type="pct"/>
                  <w:vMerge w:val="continue"/>
                  <w:tcBorders>
                    <w:tl2br w:val="nil"/>
                    <w:tr2bl w:val="nil"/>
                  </w:tcBorders>
                  <w:vAlign w:val="center"/>
                </w:tcPr>
                <w:p w14:paraId="7F1A3579">
                  <w:pPr>
                    <w:adjustRightInd w:val="0"/>
                    <w:spacing w:line="240" w:lineRule="exact"/>
                    <w:jc w:val="center"/>
                    <w:textAlignment w:val="baseline"/>
                    <w:rPr>
                      <w:rFonts w:ascii="Times New Roman" w:hAnsi="Times New Roman" w:eastAsia="宋体" w:cs="Times New Roman"/>
                      <w:szCs w:val="21"/>
                    </w:rPr>
                  </w:pPr>
                </w:p>
              </w:tc>
            </w:tr>
            <w:tr w14:paraId="7739F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69" w:type="pct"/>
                  <w:tcBorders>
                    <w:tl2br w:val="nil"/>
                    <w:tr2bl w:val="nil"/>
                  </w:tcBorders>
                  <w:vAlign w:val="center"/>
                </w:tcPr>
                <w:p w14:paraId="447EE981">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b/>
                      <w:bCs/>
                      <w:color w:val="000000" w:themeColor="text1"/>
                      <w:szCs w:val="21"/>
                      <w14:textFill>
                        <w14:solidFill>
                          <w14:schemeClr w14:val="tx1"/>
                        </w14:solidFill>
                      </w14:textFill>
                    </w:rPr>
                    <w:t>9</w:t>
                  </w:r>
                </w:p>
              </w:tc>
              <w:tc>
                <w:tcPr>
                  <w:tcW w:w="684" w:type="pct"/>
                  <w:tcBorders>
                    <w:tl2br w:val="nil"/>
                    <w:tr2bl w:val="nil"/>
                  </w:tcBorders>
                  <w:vAlign w:val="center"/>
                </w:tcPr>
                <w:p w14:paraId="53D0C97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废活性炭</w:t>
                  </w:r>
                </w:p>
              </w:tc>
              <w:tc>
                <w:tcPr>
                  <w:tcW w:w="467" w:type="pct"/>
                  <w:tcBorders>
                    <w:tl2br w:val="nil"/>
                    <w:tr2bl w:val="nil"/>
                  </w:tcBorders>
                  <w:vAlign w:val="center"/>
                </w:tcPr>
                <w:p w14:paraId="0BCCA3C9">
                  <w:pPr>
                    <w:adjustRightInd w:val="0"/>
                    <w:spacing w:line="240" w:lineRule="exact"/>
                    <w:jc w:val="center"/>
                    <w:textAlignment w:val="baseline"/>
                    <w:rPr>
                      <w:rFonts w:ascii="Times New Roman" w:hAnsi="Times New Roman" w:eastAsia="宋体" w:cs="Times New Roman"/>
                      <w:color w:val="1331F5"/>
                      <w:szCs w:val="21"/>
                    </w:rPr>
                  </w:pPr>
                  <w:r>
                    <w:rPr>
                      <w:rFonts w:hint="eastAsia" w:ascii="Times New Roman" w:hAnsi="Times New Roman" w:eastAsia="宋体" w:cs="Times New Roman"/>
                      <w:color w:val="1331F5"/>
                      <w:szCs w:val="21"/>
                    </w:rPr>
                    <w:t>900-039-49</w:t>
                  </w:r>
                </w:p>
              </w:tc>
              <w:tc>
                <w:tcPr>
                  <w:tcW w:w="685" w:type="pct"/>
                  <w:tcBorders>
                    <w:tl2br w:val="nil"/>
                    <w:tr2bl w:val="nil"/>
                  </w:tcBorders>
                  <w:vAlign w:val="center"/>
                </w:tcPr>
                <w:p w14:paraId="44B3FE2E">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DA002</w:t>
                  </w:r>
                  <w:r>
                    <w:rPr>
                      <w:rFonts w:hint="eastAsia" w:ascii="Times New Roman" w:hAnsi="Times New Roman" w:eastAsia="宋体" w:cs="Times New Roman"/>
                      <w:szCs w:val="21"/>
                    </w:rPr>
                    <w:t>沥青烟气处理系统活性炭吸附单元；</w:t>
                  </w:r>
                  <w:r>
                    <w:rPr>
                      <w:rFonts w:ascii="Times New Roman" w:hAnsi="Times New Roman" w:eastAsia="宋体" w:cs="Times New Roman"/>
                      <w:szCs w:val="21"/>
                    </w:rPr>
                    <w:t>DA003</w:t>
                  </w:r>
                  <w:r>
                    <w:rPr>
                      <w:rFonts w:hint="eastAsia" w:ascii="Times New Roman" w:hAnsi="Times New Roman" w:eastAsia="宋体" w:cs="Times New Roman"/>
                      <w:szCs w:val="21"/>
                    </w:rPr>
                    <w:t>废气处理</w:t>
                  </w:r>
                </w:p>
              </w:tc>
              <w:tc>
                <w:tcPr>
                  <w:tcW w:w="412" w:type="pct"/>
                  <w:tcBorders>
                    <w:tl2br w:val="nil"/>
                    <w:tr2bl w:val="nil"/>
                  </w:tcBorders>
                  <w:vAlign w:val="center"/>
                </w:tcPr>
                <w:p w14:paraId="482B125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固态</w:t>
                  </w:r>
                </w:p>
              </w:tc>
              <w:tc>
                <w:tcPr>
                  <w:tcW w:w="527" w:type="pct"/>
                  <w:tcBorders>
                    <w:tl2br w:val="nil"/>
                    <w:tr2bl w:val="nil"/>
                  </w:tcBorders>
                  <w:vAlign w:val="center"/>
                </w:tcPr>
                <w:p w14:paraId="376B4F1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废活性炭、挥发性有机废气</w:t>
                  </w:r>
                </w:p>
              </w:tc>
              <w:tc>
                <w:tcPr>
                  <w:tcW w:w="521" w:type="pct"/>
                  <w:tcBorders>
                    <w:tl2br w:val="nil"/>
                    <w:tr2bl w:val="nil"/>
                  </w:tcBorders>
                  <w:vAlign w:val="center"/>
                </w:tcPr>
                <w:p w14:paraId="2AC6547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1" w:type="pct"/>
                  <w:tcBorders>
                    <w:tl2br w:val="nil"/>
                    <w:tr2bl w:val="nil"/>
                  </w:tcBorders>
                  <w:vAlign w:val="center"/>
                </w:tcPr>
                <w:p w14:paraId="15A31FA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危险废物</w:t>
                  </w:r>
                </w:p>
              </w:tc>
              <w:tc>
                <w:tcPr>
                  <w:tcW w:w="879" w:type="pct"/>
                  <w:vMerge w:val="restart"/>
                  <w:tcBorders>
                    <w:tl2br w:val="nil"/>
                    <w:tr2bl w:val="nil"/>
                  </w:tcBorders>
                  <w:vAlign w:val="center"/>
                </w:tcPr>
                <w:p w14:paraId="2E028CB5">
                  <w:pPr>
                    <w:numPr>
                      <w:ilvl w:val="0"/>
                      <w:numId w:val="7"/>
                    </w:numPr>
                    <w:wordWrap w:val="0"/>
                    <w:topLinePunct/>
                    <w:adjustRightInd w:val="0"/>
                    <w:spacing w:line="240" w:lineRule="exact"/>
                    <w:textAlignment w:val="baseline"/>
                    <w:rPr>
                      <w:rFonts w:ascii="Times New Roman" w:hAnsi="Times New Roman" w:eastAsia="宋体" w:cs="Times New Roman"/>
                      <w:szCs w:val="21"/>
                    </w:rPr>
                  </w:pPr>
                  <w:r>
                    <w:rPr>
                      <w:rFonts w:hint="eastAsia" w:ascii="Times New Roman" w:hAnsi="Times New Roman" w:eastAsia="宋体" w:cs="Times New Roman"/>
                      <w:szCs w:val="21"/>
                    </w:rPr>
                    <w:t>列入《国家危险废物名录（2025年版）》的固体废物；</w:t>
                  </w:r>
                </w:p>
                <w:p w14:paraId="32DCCE53">
                  <w:pPr>
                    <w:wordWrap w:val="0"/>
                    <w:topLinePunct/>
                    <w:adjustRightInd w:val="0"/>
                    <w:spacing w:line="240" w:lineRule="exact"/>
                    <w:textAlignment w:val="baseline"/>
                    <w:rPr>
                      <w:rFonts w:ascii="Times New Roman" w:hAnsi="Times New Roman" w:eastAsia="宋体" w:cs="Times New Roman"/>
                      <w:szCs w:val="21"/>
                    </w:rPr>
                  </w:pPr>
                  <w:r>
                    <w:rPr>
                      <w:rFonts w:ascii="Times New Roman" w:hAnsi="Times New Roman" w:eastAsia="宋体" w:cs="Times New Roman"/>
                      <w:color w:val="022DF6"/>
                      <w:szCs w:val="21"/>
                    </w:rPr>
                    <w:t>(2)</w:t>
                  </w:r>
                  <w:r>
                    <w:rPr>
                      <w:rFonts w:hint="eastAsia" w:ascii="Times New Roman" w:hAnsi="Times New Roman" w:eastAsia="宋体" w:cs="Times New Roman"/>
                      <w:color w:val="022DF6"/>
                      <w:szCs w:val="21"/>
                    </w:rPr>
                    <w:t>《危险废物鉴别标准 通则》（GB 5085.7-2019）；</w:t>
                  </w:r>
                  <w:r>
                    <w:rPr>
                      <w:rFonts w:hint="eastAsia" w:ascii="Times New Roman" w:hAnsi="Times New Roman" w:eastAsia="宋体" w:cs="Times New Roman"/>
                      <w:szCs w:val="21"/>
                    </w:rPr>
                    <w:t>(3)具有危险特性的固体废物；</w:t>
                  </w:r>
                </w:p>
                <w:p w14:paraId="5BE4266F">
                  <w:pPr>
                    <w:wordWrap w:val="0"/>
                    <w:topLinePunct/>
                    <w:adjustRightInd w:val="0"/>
                    <w:spacing w:line="240" w:lineRule="exact"/>
                    <w:textAlignment w:val="baseline"/>
                    <w:rPr>
                      <w:rFonts w:ascii="Times New Roman" w:hAnsi="Times New Roman" w:eastAsia="宋体" w:cs="Times New Roman"/>
                      <w:szCs w:val="21"/>
                    </w:rPr>
                  </w:pPr>
                  <w:r>
                    <w:rPr>
                      <w:rFonts w:hint="eastAsia" w:ascii="Times New Roman" w:hAnsi="Times New Roman" w:eastAsia="宋体" w:cs="Times New Roman"/>
                      <w:szCs w:val="21"/>
                    </w:rPr>
                    <w:t>(4)处置不当会对环境产生恶劣影响；</w:t>
                  </w:r>
                </w:p>
                <w:p w14:paraId="5AA359D2">
                  <w:pPr>
                    <w:wordWrap w:val="0"/>
                    <w:topLinePunct/>
                    <w:adjustRightInd w:val="0"/>
                    <w:spacing w:line="240" w:lineRule="exact"/>
                    <w:textAlignment w:val="baseline"/>
                    <w:rPr>
                      <w:rFonts w:ascii="Times New Roman" w:hAnsi="Times New Roman" w:eastAsia="宋体" w:cs="Times New Roman"/>
                      <w:szCs w:val="21"/>
                    </w:rPr>
                  </w:pPr>
                  <w:r>
                    <w:rPr>
                      <w:rFonts w:hint="eastAsia" w:ascii="Times New Roman" w:hAnsi="Times New Roman" w:eastAsia="宋体" w:cs="Times New Roman"/>
                      <w:szCs w:val="21"/>
                    </w:rPr>
                    <w:t>(5)需要委托具备危险废物处置资质的单位进行无害化处置。</w:t>
                  </w:r>
                </w:p>
                <w:p w14:paraId="47B9C3E7">
                  <w:pPr>
                    <w:wordWrap w:val="0"/>
                    <w:topLinePunct/>
                    <w:adjustRightInd w:val="0"/>
                    <w:spacing w:line="240" w:lineRule="exact"/>
                    <w:textAlignment w:val="baseline"/>
                    <w:rPr>
                      <w:rFonts w:ascii="Times New Roman" w:hAnsi="Times New Roman" w:eastAsia="宋体" w:cs="Times New Roman"/>
                      <w:szCs w:val="21"/>
                    </w:rPr>
                  </w:pPr>
                </w:p>
                <w:p w14:paraId="3C9D3D00">
                  <w:pPr>
                    <w:wordWrap w:val="0"/>
                    <w:topLinePunct/>
                    <w:adjustRightInd w:val="0"/>
                    <w:spacing w:line="240" w:lineRule="exact"/>
                    <w:textAlignment w:val="baseline"/>
                    <w:rPr>
                      <w:rFonts w:ascii="Times New Roman" w:hAnsi="Times New Roman" w:eastAsia="宋体" w:cs="Times New Roman"/>
                      <w:szCs w:val="21"/>
                    </w:rPr>
                  </w:pPr>
                </w:p>
              </w:tc>
            </w:tr>
            <w:tr w14:paraId="3334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69" w:type="pct"/>
                  <w:tcBorders>
                    <w:tl2br w:val="nil"/>
                    <w:tr2bl w:val="nil"/>
                  </w:tcBorders>
                  <w:vAlign w:val="center"/>
                </w:tcPr>
                <w:p w14:paraId="060A951C">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10</w:t>
                  </w:r>
                </w:p>
              </w:tc>
              <w:tc>
                <w:tcPr>
                  <w:tcW w:w="684" w:type="pct"/>
                  <w:tcBorders>
                    <w:tl2br w:val="nil"/>
                    <w:tr2bl w:val="nil"/>
                  </w:tcBorders>
                  <w:vAlign w:val="center"/>
                </w:tcPr>
                <w:p w14:paraId="5F07155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废焦油</w:t>
                  </w:r>
                </w:p>
              </w:tc>
              <w:tc>
                <w:tcPr>
                  <w:tcW w:w="467" w:type="pct"/>
                  <w:tcBorders>
                    <w:tl2br w:val="nil"/>
                    <w:tr2bl w:val="nil"/>
                  </w:tcBorders>
                  <w:vAlign w:val="center"/>
                </w:tcPr>
                <w:p w14:paraId="2DCA46A1">
                  <w:pPr>
                    <w:adjustRightInd w:val="0"/>
                    <w:spacing w:line="240" w:lineRule="exact"/>
                    <w:jc w:val="center"/>
                    <w:textAlignment w:val="baseline"/>
                    <w:rPr>
                      <w:rFonts w:ascii="Times New Roman" w:hAnsi="Times New Roman" w:eastAsia="宋体" w:cs="Times New Roman"/>
                      <w:color w:val="1331F5"/>
                      <w:szCs w:val="21"/>
                    </w:rPr>
                  </w:pPr>
                  <w:r>
                    <w:rPr>
                      <w:rFonts w:hint="eastAsia" w:ascii="Times New Roman" w:hAnsi="Times New Roman" w:eastAsia="宋体" w:cs="Times New Roman"/>
                      <w:color w:val="1331F5"/>
                      <w:szCs w:val="21"/>
                    </w:rPr>
                    <w:t>309-001-11</w:t>
                  </w:r>
                </w:p>
              </w:tc>
              <w:tc>
                <w:tcPr>
                  <w:tcW w:w="685" w:type="pct"/>
                  <w:tcBorders>
                    <w:tl2br w:val="nil"/>
                    <w:tr2bl w:val="nil"/>
                  </w:tcBorders>
                  <w:vAlign w:val="center"/>
                </w:tcPr>
                <w:p w14:paraId="440465C8">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DA002沥青烟气处理系统前端电捕焦油器</w:t>
                  </w:r>
                </w:p>
              </w:tc>
              <w:tc>
                <w:tcPr>
                  <w:tcW w:w="412" w:type="pct"/>
                  <w:tcBorders>
                    <w:tl2br w:val="nil"/>
                    <w:tr2bl w:val="nil"/>
                  </w:tcBorders>
                  <w:vAlign w:val="center"/>
                </w:tcPr>
                <w:p w14:paraId="77C1749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固液混合态</w:t>
                  </w:r>
                </w:p>
              </w:tc>
              <w:tc>
                <w:tcPr>
                  <w:tcW w:w="527" w:type="pct"/>
                  <w:tcBorders>
                    <w:tl2br w:val="nil"/>
                    <w:tr2bl w:val="nil"/>
                  </w:tcBorders>
                  <w:vAlign w:val="center"/>
                </w:tcPr>
                <w:p w14:paraId="53A26A8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废焦油</w:t>
                  </w:r>
                </w:p>
              </w:tc>
              <w:tc>
                <w:tcPr>
                  <w:tcW w:w="521" w:type="pct"/>
                  <w:tcBorders>
                    <w:tl2br w:val="nil"/>
                    <w:tr2bl w:val="nil"/>
                  </w:tcBorders>
                  <w:vAlign w:val="center"/>
                </w:tcPr>
                <w:p w14:paraId="18DE3E6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1" w:type="pct"/>
                  <w:tcBorders>
                    <w:tl2br w:val="nil"/>
                    <w:tr2bl w:val="nil"/>
                  </w:tcBorders>
                  <w:vAlign w:val="center"/>
                </w:tcPr>
                <w:p w14:paraId="210D8C9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危险废物</w:t>
                  </w:r>
                </w:p>
              </w:tc>
              <w:tc>
                <w:tcPr>
                  <w:tcW w:w="879" w:type="pct"/>
                  <w:vMerge w:val="continue"/>
                  <w:tcBorders>
                    <w:tl2br w:val="nil"/>
                    <w:tr2bl w:val="nil"/>
                  </w:tcBorders>
                  <w:vAlign w:val="center"/>
                </w:tcPr>
                <w:p w14:paraId="1FD7C1D8">
                  <w:pPr>
                    <w:wordWrap w:val="0"/>
                    <w:topLinePunct/>
                    <w:adjustRightInd w:val="0"/>
                    <w:spacing w:line="240" w:lineRule="exact"/>
                    <w:textAlignment w:val="baseline"/>
                    <w:rPr>
                      <w:rFonts w:ascii="Times New Roman" w:hAnsi="Times New Roman" w:eastAsia="宋体" w:cs="Times New Roman"/>
                      <w:szCs w:val="21"/>
                    </w:rPr>
                  </w:pPr>
                </w:p>
              </w:tc>
            </w:tr>
            <w:tr w14:paraId="659F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69" w:type="pct"/>
                  <w:tcBorders>
                    <w:tl2br w:val="nil"/>
                    <w:tr2bl w:val="nil"/>
                  </w:tcBorders>
                  <w:vAlign w:val="center"/>
                </w:tcPr>
                <w:p w14:paraId="770A8847">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11</w:t>
                  </w:r>
                </w:p>
              </w:tc>
              <w:tc>
                <w:tcPr>
                  <w:tcW w:w="684" w:type="pct"/>
                  <w:tcBorders>
                    <w:tl2br w:val="nil"/>
                    <w:tr2bl w:val="nil"/>
                  </w:tcBorders>
                  <w:vAlign w:val="center"/>
                </w:tcPr>
                <w:p w14:paraId="6A1AFF0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洗涤塔循环废液及沉淀焦油渣</w:t>
                  </w:r>
                </w:p>
              </w:tc>
              <w:tc>
                <w:tcPr>
                  <w:tcW w:w="467" w:type="pct"/>
                  <w:tcBorders>
                    <w:tl2br w:val="nil"/>
                    <w:tr2bl w:val="nil"/>
                  </w:tcBorders>
                  <w:vAlign w:val="center"/>
                </w:tcPr>
                <w:p w14:paraId="28B6BDD5">
                  <w:pPr>
                    <w:adjustRightInd w:val="0"/>
                    <w:spacing w:line="240" w:lineRule="exact"/>
                    <w:jc w:val="center"/>
                    <w:textAlignment w:val="baseline"/>
                    <w:rPr>
                      <w:rFonts w:ascii="Times New Roman" w:hAnsi="Times New Roman" w:eastAsia="宋体" w:cs="Times New Roman"/>
                      <w:color w:val="1331F5"/>
                      <w:szCs w:val="21"/>
                    </w:rPr>
                  </w:pPr>
                  <w:r>
                    <w:rPr>
                      <w:rFonts w:hint="eastAsia" w:ascii="Times New Roman" w:hAnsi="Times New Roman" w:eastAsia="宋体" w:cs="Times New Roman"/>
                      <w:color w:val="1331F5"/>
                      <w:szCs w:val="21"/>
                    </w:rPr>
                    <w:t>309-001-11</w:t>
                  </w:r>
                </w:p>
              </w:tc>
              <w:tc>
                <w:tcPr>
                  <w:tcW w:w="685" w:type="pct"/>
                  <w:tcBorders>
                    <w:tl2br w:val="nil"/>
                    <w:tr2bl w:val="nil"/>
                  </w:tcBorders>
                  <w:vAlign w:val="center"/>
                </w:tcPr>
                <w:p w14:paraId="059D6BC0">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DA002沥青烟气处理系统</w:t>
                  </w:r>
                </w:p>
              </w:tc>
              <w:tc>
                <w:tcPr>
                  <w:tcW w:w="412" w:type="pct"/>
                  <w:tcBorders>
                    <w:tl2br w:val="nil"/>
                    <w:tr2bl w:val="nil"/>
                  </w:tcBorders>
                  <w:vAlign w:val="center"/>
                </w:tcPr>
                <w:p w14:paraId="033B504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固液混合态</w:t>
                  </w:r>
                </w:p>
              </w:tc>
              <w:tc>
                <w:tcPr>
                  <w:tcW w:w="527" w:type="pct"/>
                  <w:tcBorders>
                    <w:tl2br w:val="nil"/>
                    <w:tr2bl w:val="nil"/>
                  </w:tcBorders>
                  <w:vAlign w:val="center"/>
                </w:tcPr>
                <w:p w14:paraId="1583C87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废液；焦油渣</w:t>
                  </w:r>
                </w:p>
              </w:tc>
              <w:tc>
                <w:tcPr>
                  <w:tcW w:w="521" w:type="pct"/>
                  <w:tcBorders>
                    <w:tl2br w:val="nil"/>
                    <w:tr2bl w:val="nil"/>
                  </w:tcBorders>
                  <w:vAlign w:val="center"/>
                </w:tcPr>
                <w:p w14:paraId="7BADCC0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1" w:type="pct"/>
                  <w:tcBorders>
                    <w:tl2br w:val="nil"/>
                    <w:tr2bl w:val="nil"/>
                  </w:tcBorders>
                  <w:vAlign w:val="center"/>
                </w:tcPr>
                <w:p w14:paraId="5578263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危险废物</w:t>
                  </w:r>
                </w:p>
              </w:tc>
              <w:tc>
                <w:tcPr>
                  <w:tcW w:w="879" w:type="pct"/>
                  <w:vMerge w:val="continue"/>
                  <w:tcBorders>
                    <w:tl2br w:val="nil"/>
                    <w:tr2bl w:val="nil"/>
                  </w:tcBorders>
                  <w:vAlign w:val="center"/>
                </w:tcPr>
                <w:p w14:paraId="7D5FF74E">
                  <w:pPr>
                    <w:wordWrap w:val="0"/>
                    <w:topLinePunct/>
                    <w:adjustRightInd w:val="0"/>
                    <w:spacing w:line="240" w:lineRule="exact"/>
                    <w:textAlignment w:val="baseline"/>
                    <w:rPr>
                      <w:rFonts w:ascii="Times New Roman" w:hAnsi="Times New Roman" w:eastAsia="宋体" w:cs="Times New Roman"/>
                      <w:szCs w:val="21"/>
                    </w:rPr>
                  </w:pPr>
                </w:p>
              </w:tc>
            </w:tr>
            <w:tr w14:paraId="41F96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69" w:type="pct"/>
                  <w:tcBorders>
                    <w:tl2br w:val="nil"/>
                    <w:tr2bl w:val="nil"/>
                  </w:tcBorders>
                  <w:vAlign w:val="center"/>
                </w:tcPr>
                <w:p w14:paraId="2EA2CDAE">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12</w:t>
                  </w:r>
                </w:p>
              </w:tc>
              <w:tc>
                <w:tcPr>
                  <w:tcW w:w="684" w:type="pct"/>
                  <w:tcBorders>
                    <w:tl2br w:val="nil"/>
                    <w:tr2bl w:val="nil"/>
                  </w:tcBorders>
                  <w:vAlign w:val="center"/>
                </w:tcPr>
                <w:p w14:paraId="36B94CC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废导热油</w:t>
                  </w:r>
                </w:p>
              </w:tc>
              <w:tc>
                <w:tcPr>
                  <w:tcW w:w="467" w:type="pct"/>
                  <w:tcBorders>
                    <w:tl2br w:val="nil"/>
                    <w:tr2bl w:val="nil"/>
                  </w:tcBorders>
                  <w:vAlign w:val="center"/>
                </w:tcPr>
                <w:p w14:paraId="7DC41DF9">
                  <w:pPr>
                    <w:adjustRightInd w:val="0"/>
                    <w:spacing w:line="240" w:lineRule="exact"/>
                    <w:jc w:val="center"/>
                    <w:textAlignment w:val="baseline"/>
                    <w:rPr>
                      <w:rFonts w:ascii="Times New Roman" w:hAnsi="Times New Roman" w:eastAsia="宋体" w:cs="Times New Roman"/>
                      <w:color w:val="1331F5"/>
                      <w:szCs w:val="21"/>
                    </w:rPr>
                  </w:pPr>
                  <w:r>
                    <w:rPr>
                      <w:rFonts w:hint="eastAsia" w:ascii="Times New Roman" w:hAnsi="Times New Roman" w:eastAsia="宋体" w:cs="Times New Roman"/>
                      <w:color w:val="1331F5"/>
                      <w:szCs w:val="21"/>
                    </w:rPr>
                    <w:t>900-249-08</w:t>
                  </w:r>
                </w:p>
              </w:tc>
              <w:tc>
                <w:tcPr>
                  <w:tcW w:w="685" w:type="pct"/>
                  <w:tcBorders>
                    <w:tl2br w:val="nil"/>
                    <w:tr2bl w:val="nil"/>
                  </w:tcBorders>
                  <w:vAlign w:val="center"/>
                </w:tcPr>
                <w:p w14:paraId="67BEE0E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有机热载体炉</w:t>
                  </w:r>
                </w:p>
              </w:tc>
              <w:tc>
                <w:tcPr>
                  <w:tcW w:w="412" w:type="pct"/>
                  <w:tcBorders>
                    <w:tl2br w:val="nil"/>
                    <w:tr2bl w:val="nil"/>
                  </w:tcBorders>
                  <w:vAlign w:val="center"/>
                </w:tcPr>
                <w:p w14:paraId="20C7CD8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液态</w:t>
                  </w:r>
                </w:p>
              </w:tc>
              <w:tc>
                <w:tcPr>
                  <w:tcW w:w="527" w:type="pct"/>
                  <w:tcBorders>
                    <w:tl2br w:val="nil"/>
                    <w:tr2bl w:val="nil"/>
                  </w:tcBorders>
                  <w:vAlign w:val="center"/>
                </w:tcPr>
                <w:p w14:paraId="2C2456F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废导热油</w:t>
                  </w:r>
                </w:p>
              </w:tc>
              <w:tc>
                <w:tcPr>
                  <w:tcW w:w="521" w:type="pct"/>
                  <w:tcBorders>
                    <w:tl2br w:val="nil"/>
                    <w:tr2bl w:val="nil"/>
                  </w:tcBorders>
                  <w:vAlign w:val="center"/>
                </w:tcPr>
                <w:p w14:paraId="0928E79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1" w:type="pct"/>
                  <w:tcBorders>
                    <w:tl2br w:val="nil"/>
                    <w:tr2bl w:val="nil"/>
                  </w:tcBorders>
                  <w:vAlign w:val="center"/>
                </w:tcPr>
                <w:p w14:paraId="01489B7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危险废物</w:t>
                  </w:r>
                </w:p>
              </w:tc>
              <w:tc>
                <w:tcPr>
                  <w:tcW w:w="879" w:type="pct"/>
                  <w:vMerge w:val="continue"/>
                  <w:tcBorders>
                    <w:tl2br w:val="nil"/>
                    <w:tr2bl w:val="nil"/>
                  </w:tcBorders>
                  <w:vAlign w:val="center"/>
                </w:tcPr>
                <w:p w14:paraId="5980EC63">
                  <w:pPr>
                    <w:wordWrap w:val="0"/>
                    <w:topLinePunct/>
                    <w:adjustRightInd w:val="0"/>
                    <w:spacing w:line="240" w:lineRule="exact"/>
                    <w:textAlignment w:val="baseline"/>
                    <w:rPr>
                      <w:rFonts w:ascii="Times New Roman" w:hAnsi="Times New Roman" w:eastAsia="宋体" w:cs="Times New Roman"/>
                      <w:szCs w:val="21"/>
                    </w:rPr>
                  </w:pPr>
                </w:p>
              </w:tc>
            </w:tr>
            <w:tr w14:paraId="02878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9" w:type="pct"/>
                  <w:tcBorders>
                    <w:tl2br w:val="nil"/>
                    <w:tr2bl w:val="nil"/>
                  </w:tcBorders>
                  <w:vAlign w:val="center"/>
                </w:tcPr>
                <w:p w14:paraId="1833C047">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13</w:t>
                  </w:r>
                </w:p>
              </w:tc>
              <w:tc>
                <w:tcPr>
                  <w:tcW w:w="684" w:type="pct"/>
                  <w:tcBorders>
                    <w:tl2br w:val="nil"/>
                    <w:tr2bl w:val="nil"/>
                  </w:tcBorders>
                  <w:vAlign w:val="center"/>
                </w:tcPr>
                <w:p w14:paraId="14641E5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废矿物油</w:t>
                  </w:r>
                </w:p>
              </w:tc>
              <w:tc>
                <w:tcPr>
                  <w:tcW w:w="467" w:type="pct"/>
                  <w:tcBorders>
                    <w:tl2br w:val="nil"/>
                    <w:tr2bl w:val="nil"/>
                  </w:tcBorders>
                  <w:vAlign w:val="center"/>
                </w:tcPr>
                <w:p w14:paraId="5FEBB794">
                  <w:pPr>
                    <w:adjustRightInd w:val="0"/>
                    <w:spacing w:line="240" w:lineRule="exact"/>
                    <w:jc w:val="center"/>
                    <w:textAlignment w:val="baseline"/>
                    <w:rPr>
                      <w:rFonts w:ascii="Times New Roman" w:hAnsi="Times New Roman" w:eastAsia="宋体" w:cs="Times New Roman"/>
                      <w:color w:val="1331F5"/>
                      <w:szCs w:val="21"/>
                    </w:rPr>
                  </w:pPr>
                  <w:r>
                    <w:rPr>
                      <w:rFonts w:hint="eastAsia" w:ascii="Times New Roman" w:hAnsi="Times New Roman" w:eastAsia="宋体" w:cs="Times New Roman"/>
                      <w:color w:val="1331F5"/>
                      <w:szCs w:val="21"/>
                    </w:rPr>
                    <w:t>900-214-08</w:t>
                  </w:r>
                </w:p>
              </w:tc>
              <w:tc>
                <w:tcPr>
                  <w:tcW w:w="685" w:type="pct"/>
                  <w:tcBorders>
                    <w:tl2br w:val="nil"/>
                    <w:tr2bl w:val="nil"/>
                  </w:tcBorders>
                  <w:vAlign w:val="center"/>
                </w:tcPr>
                <w:p w14:paraId="70EEA4C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车辆与设备维护保养</w:t>
                  </w:r>
                </w:p>
              </w:tc>
              <w:tc>
                <w:tcPr>
                  <w:tcW w:w="412" w:type="pct"/>
                  <w:tcBorders>
                    <w:tl2br w:val="nil"/>
                    <w:tr2bl w:val="nil"/>
                  </w:tcBorders>
                  <w:vAlign w:val="center"/>
                </w:tcPr>
                <w:p w14:paraId="0E340B0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液态</w:t>
                  </w:r>
                </w:p>
              </w:tc>
              <w:tc>
                <w:tcPr>
                  <w:tcW w:w="527" w:type="pct"/>
                  <w:tcBorders>
                    <w:tl2br w:val="nil"/>
                    <w:tr2bl w:val="nil"/>
                  </w:tcBorders>
                  <w:vAlign w:val="center"/>
                </w:tcPr>
                <w:p w14:paraId="7D9725D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废矿物油</w:t>
                  </w:r>
                </w:p>
              </w:tc>
              <w:tc>
                <w:tcPr>
                  <w:tcW w:w="521" w:type="pct"/>
                  <w:tcBorders>
                    <w:tl2br w:val="nil"/>
                    <w:tr2bl w:val="nil"/>
                  </w:tcBorders>
                  <w:vAlign w:val="center"/>
                </w:tcPr>
                <w:p w14:paraId="2A947CD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1" w:type="pct"/>
                  <w:tcBorders>
                    <w:tl2br w:val="nil"/>
                    <w:tr2bl w:val="nil"/>
                  </w:tcBorders>
                  <w:vAlign w:val="center"/>
                </w:tcPr>
                <w:p w14:paraId="1D85C07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危险废物</w:t>
                  </w:r>
                </w:p>
              </w:tc>
              <w:tc>
                <w:tcPr>
                  <w:tcW w:w="879" w:type="pct"/>
                  <w:vMerge w:val="continue"/>
                  <w:tcBorders>
                    <w:tl2br w:val="nil"/>
                    <w:tr2bl w:val="nil"/>
                  </w:tcBorders>
                  <w:vAlign w:val="center"/>
                </w:tcPr>
                <w:p w14:paraId="2F343FFC">
                  <w:pPr>
                    <w:wordWrap w:val="0"/>
                    <w:topLinePunct/>
                    <w:adjustRightInd w:val="0"/>
                    <w:spacing w:line="240" w:lineRule="exact"/>
                    <w:textAlignment w:val="baseline"/>
                    <w:rPr>
                      <w:rFonts w:ascii="Times New Roman" w:hAnsi="Times New Roman" w:eastAsia="宋体" w:cs="Times New Roman"/>
                      <w:szCs w:val="21"/>
                    </w:rPr>
                  </w:pPr>
                </w:p>
              </w:tc>
            </w:tr>
            <w:tr w14:paraId="0A84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69" w:type="pct"/>
                  <w:tcBorders>
                    <w:tl2br w:val="nil"/>
                    <w:tr2bl w:val="nil"/>
                  </w:tcBorders>
                  <w:vAlign w:val="center"/>
                </w:tcPr>
                <w:p w14:paraId="239FE447">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14</w:t>
                  </w:r>
                </w:p>
              </w:tc>
              <w:tc>
                <w:tcPr>
                  <w:tcW w:w="684" w:type="pct"/>
                  <w:tcBorders>
                    <w:tl2br w:val="nil"/>
                    <w:tr2bl w:val="nil"/>
                  </w:tcBorders>
                  <w:vAlign w:val="center"/>
                </w:tcPr>
                <w:p w14:paraId="480532C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废油桶</w:t>
                  </w:r>
                </w:p>
              </w:tc>
              <w:tc>
                <w:tcPr>
                  <w:tcW w:w="467" w:type="pct"/>
                  <w:tcBorders>
                    <w:tl2br w:val="nil"/>
                    <w:tr2bl w:val="nil"/>
                  </w:tcBorders>
                  <w:vAlign w:val="center"/>
                </w:tcPr>
                <w:p w14:paraId="0A7951D0">
                  <w:pPr>
                    <w:adjustRightInd w:val="0"/>
                    <w:spacing w:line="240" w:lineRule="exact"/>
                    <w:jc w:val="center"/>
                    <w:textAlignment w:val="baseline"/>
                    <w:rPr>
                      <w:rFonts w:ascii="Times New Roman" w:hAnsi="Times New Roman" w:eastAsia="宋体" w:cs="Times New Roman"/>
                      <w:color w:val="1331F5"/>
                      <w:szCs w:val="21"/>
                    </w:rPr>
                  </w:pPr>
                  <w:r>
                    <w:rPr>
                      <w:rFonts w:hint="eastAsia" w:ascii="Times New Roman" w:hAnsi="Times New Roman" w:eastAsia="宋体" w:cs="Times New Roman"/>
                      <w:color w:val="1331F5"/>
                      <w:szCs w:val="21"/>
                    </w:rPr>
                    <w:t>900-249-08</w:t>
                  </w:r>
                </w:p>
              </w:tc>
              <w:tc>
                <w:tcPr>
                  <w:tcW w:w="685" w:type="pct"/>
                  <w:tcBorders>
                    <w:tl2br w:val="nil"/>
                    <w:tr2bl w:val="nil"/>
                  </w:tcBorders>
                  <w:vAlign w:val="center"/>
                </w:tcPr>
                <w:p w14:paraId="6B444C6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车辆与设备维护保养</w:t>
                  </w:r>
                </w:p>
              </w:tc>
              <w:tc>
                <w:tcPr>
                  <w:tcW w:w="412" w:type="pct"/>
                  <w:tcBorders>
                    <w:tl2br w:val="nil"/>
                    <w:tr2bl w:val="nil"/>
                  </w:tcBorders>
                  <w:vAlign w:val="center"/>
                </w:tcPr>
                <w:p w14:paraId="36344CA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固态</w:t>
                  </w:r>
                </w:p>
              </w:tc>
              <w:tc>
                <w:tcPr>
                  <w:tcW w:w="527" w:type="pct"/>
                  <w:tcBorders>
                    <w:tl2br w:val="nil"/>
                    <w:tr2bl w:val="nil"/>
                  </w:tcBorders>
                  <w:vAlign w:val="center"/>
                </w:tcPr>
                <w:p w14:paraId="0F6DB44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沾染废矿物油的包装桶</w:t>
                  </w:r>
                </w:p>
              </w:tc>
              <w:tc>
                <w:tcPr>
                  <w:tcW w:w="521" w:type="pct"/>
                  <w:tcBorders>
                    <w:tl2br w:val="nil"/>
                    <w:tr2bl w:val="nil"/>
                  </w:tcBorders>
                  <w:vAlign w:val="center"/>
                </w:tcPr>
                <w:p w14:paraId="7EA8F8A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1" w:type="pct"/>
                  <w:tcBorders>
                    <w:tl2br w:val="nil"/>
                    <w:tr2bl w:val="nil"/>
                  </w:tcBorders>
                  <w:vAlign w:val="center"/>
                </w:tcPr>
                <w:p w14:paraId="3359079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危险废物</w:t>
                  </w:r>
                </w:p>
              </w:tc>
              <w:tc>
                <w:tcPr>
                  <w:tcW w:w="879" w:type="pct"/>
                  <w:vMerge w:val="continue"/>
                  <w:tcBorders>
                    <w:tl2br w:val="nil"/>
                    <w:tr2bl w:val="nil"/>
                  </w:tcBorders>
                  <w:vAlign w:val="center"/>
                </w:tcPr>
                <w:p w14:paraId="79855112">
                  <w:pPr>
                    <w:wordWrap w:val="0"/>
                    <w:topLinePunct/>
                    <w:adjustRightInd w:val="0"/>
                    <w:spacing w:line="240" w:lineRule="exact"/>
                    <w:textAlignment w:val="baseline"/>
                    <w:rPr>
                      <w:rFonts w:ascii="Times New Roman" w:hAnsi="Times New Roman" w:eastAsia="宋体" w:cs="Times New Roman"/>
                      <w:szCs w:val="21"/>
                    </w:rPr>
                  </w:pPr>
                </w:p>
              </w:tc>
            </w:tr>
            <w:tr w14:paraId="6F3A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69" w:type="pct"/>
                  <w:tcBorders>
                    <w:tl2br w:val="nil"/>
                    <w:tr2bl w:val="nil"/>
                  </w:tcBorders>
                  <w:vAlign w:val="center"/>
                </w:tcPr>
                <w:p w14:paraId="06FC8DA4">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15</w:t>
                  </w:r>
                </w:p>
              </w:tc>
              <w:tc>
                <w:tcPr>
                  <w:tcW w:w="684" w:type="pct"/>
                  <w:tcBorders>
                    <w:tl2br w:val="nil"/>
                    <w:tr2bl w:val="nil"/>
                  </w:tcBorders>
                  <w:vAlign w:val="center"/>
                </w:tcPr>
                <w:p w14:paraId="21D2941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柴油储罐油泥</w:t>
                  </w:r>
                </w:p>
              </w:tc>
              <w:tc>
                <w:tcPr>
                  <w:tcW w:w="467" w:type="pct"/>
                  <w:tcBorders>
                    <w:tl2br w:val="nil"/>
                    <w:tr2bl w:val="nil"/>
                  </w:tcBorders>
                  <w:vAlign w:val="center"/>
                </w:tcPr>
                <w:p w14:paraId="2686E83B">
                  <w:pPr>
                    <w:adjustRightInd w:val="0"/>
                    <w:spacing w:line="240" w:lineRule="exact"/>
                    <w:jc w:val="center"/>
                    <w:textAlignment w:val="baseline"/>
                    <w:rPr>
                      <w:rFonts w:ascii="Times New Roman" w:hAnsi="Times New Roman" w:eastAsia="宋体" w:cs="Times New Roman"/>
                      <w:color w:val="1331F5"/>
                      <w:szCs w:val="21"/>
                    </w:rPr>
                  </w:pPr>
                  <w:r>
                    <w:rPr>
                      <w:rFonts w:hint="eastAsia" w:ascii="Times New Roman" w:hAnsi="Times New Roman" w:eastAsia="宋体" w:cs="Times New Roman"/>
                      <w:color w:val="1331F5"/>
                      <w:szCs w:val="21"/>
                    </w:rPr>
                    <w:t>900-221-08</w:t>
                  </w:r>
                </w:p>
              </w:tc>
              <w:tc>
                <w:tcPr>
                  <w:tcW w:w="685" w:type="pct"/>
                  <w:tcBorders>
                    <w:tl2br w:val="nil"/>
                    <w:tr2bl w:val="nil"/>
                  </w:tcBorders>
                  <w:vAlign w:val="center"/>
                </w:tcPr>
                <w:p w14:paraId="2087DEA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柴油储罐</w:t>
                  </w:r>
                </w:p>
              </w:tc>
              <w:tc>
                <w:tcPr>
                  <w:tcW w:w="412" w:type="pct"/>
                  <w:tcBorders>
                    <w:tl2br w:val="nil"/>
                    <w:tr2bl w:val="nil"/>
                  </w:tcBorders>
                  <w:vAlign w:val="center"/>
                </w:tcPr>
                <w:p w14:paraId="17765204">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固液混合态</w:t>
                  </w:r>
                </w:p>
              </w:tc>
              <w:tc>
                <w:tcPr>
                  <w:tcW w:w="527" w:type="pct"/>
                  <w:tcBorders>
                    <w:tl2br w:val="nil"/>
                    <w:tr2bl w:val="nil"/>
                  </w:tcBorders>
                  <w:vAlign w:val="center"/>
                </w:tcPr>
                <w:p w14:paraId="31351BA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含有柴油的沉积油泥</w:t>
                  </w:r>
                </w:p>
              </w:tc>
              <w:tc>
                <w:tcPr>
                  <w:tcW w:w="521" w:type="pct"/>
                  <w:tcBorders>
                    <w:tl2br w:val="nil"/>
                    <w:tr2bl w:val="nil"/>
                  </w:tcBorders>
                  <w:vAlign w:val="center"/>
                </w:tcPr>
                <w:p w14:paraId="5D7291F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1" w:type="pct"/>
                  <w:tcBorders>
                    <w:tl2br w:val="nil"/>
                    <w:tr2bl w:val="nil"/>
                  </w:tcBorders>
                  <w:vAlign w:val="center"/>
                </w:tcPr>
                <w:p w14:paraId="0F5752D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危险废物</w:t>
                  </w:r>
                </w:p>
              </w:tc>
              <w:tc>
                <w:tcPr>
                  <w:tcW w:w="879" w:type="pct"/>
                  <w:vMerge w:val="continue"/>
                  <w:tcBorders>
                    <w:tl2br w:val="nil"/>
                    <w:tr2bl w:val="nil"/>
                  </w:tcBorders>
                  <w:vAlign w:val="center"/>
                </w:tcPr>
                <w:p w14:paraId="24125B06">
                  <w:pPr>
                    <w:wordWrap w:val="0"/>
                    <w:topLinePunct/>
                    <w:adjustRightInd w:val="0"/>
                    <w:spacing w:line="240" w:lineRule="exact"/>
                    <w:textAlignment w:val="baseline"/>
                    <w:rPr>
                      <w:rFonts w:ascii="Times New Roman" w:hAnsi="Times New Roman" w:eastAsia="宋体" w:cs="Times New Roman"/>
                      <w:szCs w:val="21"/>
                    </w:rPr>
                  </w:pPr>
                </w:p>
              </w:tc>
            </w:tr>
            <w:tr w14:paraId="1A27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69" w:type="pct"/>
                  <w:tcBorders>
                    <w:tl2br w:val="nil"/>
                    <w:tr2bl w:val="nil"/>
                  </w:tcBorders>
                  <w:vAlign w:val="center"/>
                </w:tcPr>
                <w:p w14:paraId="3D476E72">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16</w:t>
                  </w:r>
                </w:p>
              </w:tc>
              <w:tc>
                <w:tcPr>
                  <w:tcW w:w="684" w:type="pct"/>
                  <w:tcBorders>
                    <w:tl2br w:val="nil"/>
                    <w:tr2bl w:val="nil"/>
                  </w:tcBorders>
                  <w:vAlign w:val="center"/>
                </w:tcPr>
                <w:p w14:paraId="7864EF4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废含油棉纱及废手套</w:t>
                  </w:r>
                </w:p>
              </w:tc>
              <w:tc>
                <w:tcPr>
                  <w:tcW w:w="467" w:type="pct"/>
                  <w:tcBorders>
                    <w:tl2br w:val="nil"/>
                    <w:tr2bl w:val="nil"/>
                  </w:tcBorders>
                  <w:vAlign w:val="center"/>
                </w:tcPr>
                <w:p w14:paraId="533CEEF4">
                  <w:pPr>
                    <w:adjustRightInd w:val="0"/>
                    <w:spacing w:line="240" w:lineRule="exact"/>
                    <w:jc w:val="center"/>
                    <w:textAlignment w:val="baseline"/>
                    <w:rPr>
                      <w:rFonts w:ascii="Times New Roman" w:hAnsi="Times New Roman" w:eastAsia="宋体" w:cs="Times New Roman"/>
                      <w:color w:val="1331F5"/>
                      <w:szCs w:val="21"/>
                    </w:rPr>
                  </w:pPr>
                  <w:r>
                    <w:rPr>
                      <w:rFonts w:hint="eastAsia" w:ascii="Times New Roman" w:hAnsi="Times New Roman" w:eastAsia="宋体" w:cs="Times New Roman"/>
                      <w:color w:val="1331F5"/>
                      <w:szCs w:val="21"/>
                    </w:rPr>
                    <w:t> 900-041-49</w:t>
                  </w:r>
                </w:p>
              </w:tc>
              <w:tc>
                <w:tcPr>
                  <w:tcW w:w="685" w:type="pct"/>
                  <w:tcBorders>
                    <w:tl2br w:val="nil"/>
                    <w:tr2bl w:val="nil"/>
                  </w:tcBorders>
                  <w:vAlign w:val="center"/>
                </w:tcPr>
                <w:p w14:paraId="63A7F74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设备及车辆维护保养过程、职工帮忙清掏各类沉积底泥过程</w:t>
                  </w:r>
                </w:p>
              </w:tc>
              <w:tc>
                <w:tcPr>
                  <w:tcW w:w="412" w:type="pct"/>
                  <w:tcBorders>
                    <w:tl2br w:val="nil"/>
                    <w:tr2bl w:val="nil"/>
                  </w:tcBorders>
                  <w:vAlign w:val="center"/>
                </w:tcPr>
                <w:p w14:paraId="3DC5790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固态</w:t>
                  </w:r>
                </w:p>
              </w:tc>
              <w:tc>
                <w:tcPr>
                  <w:tcW w:w="527" w:type="pct"/>
                  <w:tcBorders>
                    <w:tl2br w:val="nil"/>
                    <w:tr2bl w:val="nil"/>
                  </w:tcBorders>
                  <w:vAlign w:val="center"/>
                </w:tcPr>
                <w:p w14:paraId="5BC15B3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沾染废矿物油等的介质</w:t>
                  </w:r>
                </w:p>
              </w:tc>
              <w:tc>
                <w:tcPr>
                  <w:tcW w:w="521" w:type="pct"/>
                  <w:tcBorders>
                    <w:tl2br w:val="nil"/>
                    <w:tr2bl w:val="nil"/>
                  </w:tcBorders>
                  <w:vAlign w:val="center"/>
                </w:tcPr>
                <w:p w14:paraId="23D4F3A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是</w:t>
                  </w:r>
                </w:p>
              </w:tc>
              <w:tc>
                <w:tcPr>
                  <w:tcW w:w="551" w:type="pct"/>
                  <w:tcBorders>
                    <w:tl2br w:val="nil"/>
                    <w:tr2bl w:val="nil"/>
                  </w:tcBorders>
                  <w:vAlign w:val="center"/>
                </w:tcPr>
                <w:p w14:paraId="3B93D04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危险废物</w:t>
                  </w:r>
                </w:p>
              </w:tc>
              <w:tc>
                <w:tcPr>
                  <w:tcW w:w="879" w:type="pct"/>
                  <w:vMerge w:val="continue"/>
                  <w:tcBorders>
                    <w:tl2br w:val="nil"/>
                    <w:tr2bl w:val="nil"/>
                  </w:tcBorders>
                  <w:vAlign w:val="center"/>
                </w:tcPr>
                <w:p w14:paraId="30AA8E6F">
                  <w:pPr>
                    <w:wordWrap w:val="0"/>
                    <w:topLinePunct/>
                    <w:adjustRightInd w:val="0"/>
                    <w:spacing w:line="240" w:lineRule="exact"/>
                    <w:textAlignment w:val="baseline"/>
                    <w:rPr>
                      <w:rFonts w:ascii="Times New Roman" w:hAnsi="Times New Roman" w:eastAsia="宋体" w:cs="Times New Roman"/>
                      <w:szCs w:val="21"/>
                    </w:rPr>
                  </w:pPr>
                </w:p>
              </w:tc>
            </w:tr>
          </w:tbl>
          <w:p w14:paraId="6818E51E">
            <w:pPr>
              <w:wordWrap w:val="0"/>
              <w:topLinePunct/>
              <w:spacing w:line="360" w:lineRule="auto"/>
              <w:ind w:firstLine="480" w:firstLineChars="200"/>
              <w:rPr>
                <w:rFonts w:ascii="Times New Roman" w:hAnsi="Times New Roman" w:eastAsia="宋体" w:cs="宋体"/>
                <w:color w:val="000000" w:themeColor="text1"/>
                <w:kern w:val="0"/>
                <w:sz w:val="24"/>
                <w:szCs w:val="26"/>
                <w:lang w:bidi="ar"/>
                <w14:textFill>
                  <w14:solidFill>
                    <w14:schemeClr w14:val="tx1"/>
                  </w14:solidFill>
                </w14:textFill>
              </w:rPr>
            </w:pPr>
            <w:r>
              <w:rPr>
                <w:rFonts w:ascii="Times New Roman" w:hAnsi="Times New Roman" w:eastAsia="宋体" w:cs="宋体"/>
                <w:color w:val="000000" w:themeColor="text1"/>
                <w:kern w:val="0"/>
                <w:sz w:val="24"/>
                <w:szCs w:val="26"/>
                <w:lang w:bidi="ar"/>
                <w14:textFill>
                  <w14:solidFill>
                    <w14:schemeClr w14:val="tx1"/>
                  </w14:solidFill>
                </w14:textFill>
              </w:rPr>
              <w:t>根据《国家危险废物名录（2025</w:t>
            </w:r>
            <w:r>
              <w:rPr>
                <w:rFonts w:hint="eastAsia" w:ascii="Times New Roman" w:hAnsi="Times New Roman" w:eastAsia="宋体" w:cs="宋体"/>
                <w:color w:val="000000" w:themeColor="text1"/>
                <w:kern w:val="0"/>
                <w:sz w:val="24"/>
                <w:szCs w:val="26"/>
                <w:lang w:bidi="ar"/>
                <w14:textFill>
                  <w14:solidFill>
                    <w14:schemeClr w14:val="tx1"/>
                  </w14:solidFill>
                </w14:textFill>
              </w:rPr>
              <w:t>年</w:t>
            </w:r>
            <w:r>
              <w:rPr>
                <w:rFonts w:ascii="Times New Roman" w:hAnsi="Times New Roman" w:eastAsia="宋体" w:cs="宋体"/>
                <w:color w:val="000000" w:themeColor="text1"/>
                <w:kern w:val="0"/>
                <w:sz w:val="24"/>
                <w:szCs w:val="26"/>
                <w:lang w:bidi="ar"/>
                <w14:textFill>
                  <w14:solidFill>
                    <w14:schemeClr w14:val="tx1"/>
                  </w14:solidFill>
                </w14:textFill>
              </w:rPr>
              <w:t>版）》</w:t>
            </w:r>
            <w:r>
              <w:rPr>
                <w:rFonts w:hint="eastAsia" w:ascii="Times New Roman" w:hAnsi="Times New Roman" w:eastAsia="宋体" w:cs="宋体"/>
                <w:color w:val="000000" w:themeColor="text1"/>
                <w:kern w:val="0"/>
                <w:sz w:val="24"/>
                <w:szCs w:val="26"/>
                <w:lang w:bidi="ar"/>
                <w14:textFill>
                  <w14:solidFill>
                    <w14:schemeClr w14:val="tx1"/>
                  </w14:solidFill>
                </w14:textFill>
              </w:rPr>
              <w:t>、</w:t>
            </w:r>
            <w:r>
              <w:rPr>
                <w:rFonts w:hint="eastAsia" w:ascii="Times New Roman" w:hAnsi="宋体" w:eastAsia="宋体" w:cs="Times New Roman"/>
                <w:bCs/>
                <w:color w:val="022DF6"/>
                <w:sz w:val="24"/>
              </w:rPr>
              <w:t>《危险废物鉴别标准 通则》（GB5085.7-2019）</w:t>
            </w:r>
            <w:r>
              <w:rPr>
                <w:rFonts w:ascii="Times New Roman" w:hAnsi="Times New Roman" w:eastAsia="宋体" w:cs="宋体"/>
                <w:color w:val="000000" w:themeColor="text1"/>
                <w:kern w:val="0"/>
                <w:sz w:val="24"/>
                <w:szCs w:val="26"/>
                <w:lang w:bidi="ar"/>
                <w14:textFill>
                  <w14:solidFill>
                    <w14:schemeClr w14:val="tx1"/>
                  </w14:solidFill>
                </w14:textFill>
              </w:rPr>
              <w:t>，本项目危险废物属性判定见</w:t>
            </w:r>
            <w:r>
              <w:rPr>
                <w:rFonts w:hint="eastAsia" w:ascii="Times New Roman" w:hAnsi="Times New Roman" w:eastAsia="宋体" w:cs="宋体"/>
                <w:color w:val="000000" w:themeColor="text1"/>
                <w:kern w:val="0"/>
                <w:sz w:val="24"/>
                <w:szCs w:val="26"/>
                <w:lang w:bidi="ar"/>
                <w14:textFill>
                  <w14:solidFill>
                    <w14:schemeClr w14:val="tx1"/>
                  </w14:solidFill>
                </w14:textFill>
              </w:rPr>
              <w:t>表4-36。</w:t>
            </w:r>
          </w:p>
          <w:p w14:paraId="1E1A9C52">
            <w:pPr>
              <w:widowControl/>
              <w:wordWrap w:val="0"/>
              <w:topLinePunct/>
              <w:spacing w:line="360" w:lineRule="auto"/>
              <w:jc w:val="center"/>
              <w:rPr>
                <w:rFonts w:ascii="Times New Roman" w:hAnsi="Times New Roman" w:eastAsia="宋体" w:cs="宋体-PUA"/>
                <w:b/>
                <w:color w:val="FF0000"/>
                <w:sz w:val="24"/>
                <w:shd w:val="clear" w:color="auto" w:fill="FFFFFF"/>
              </w:rPr>
            </w:pPr>
            <w:r>
              <w:rPr>
                <w:rFonts w:hint="eastAsia" w:ascii="Times New Roman" w:hAnsi="Times New Roman" w:eastAsia="宋体" w:cs="宋体-PUA"/>
                <w:b/>
                <w:color w:val="000000" w:themeColor="text1"/>
                <w:sz w:val="24"/>
                <w:shd w:val="clear" w:color="auto" w:fill="FFFFFF"/>
                <w14:textFill>
                  <w14:solidFill>
                    <w14:schemeClr w14:val="tx1"/>
                  </w14:solidFill>
                </w14:textFill>
              </w:rPr>
              <w:t>表4-36  本项目危险废物属性判定表</w:t>
            </w:r>
          </w:p>
          <w:tbl>
            <w:tblPr>
              <w:tblStyle w:val="28"/>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14"/>
              <w:gridCol w:w="829"/>
              <w:gridCol w:w="1158"/>
              <w:gridCol w:w="797"/>
              <w:gridCol w:w="1489"/>
              <w:gridCol w:w="992"/>
              <w:gridCol w:w="638"/>
              <w:gridCol w:w="1034"/>
            </w:tblGrid>
            <w:tr w14:paraId="24D7D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2" w:hRule="atLeast"/>
                <w:jc w:val="center"/>
              </w:trPr>
              <w:tc>
                <w:tcPr>
                  <w:tcW w:w="691" w:type="pct"/>
                  <w:tcBorders>
                    <w:tl2br w:val="nil"/>
                    <w:tr2bl w:val="nil"/>
                  </w:tcBorders>
                  <w:vAlign w:val="center"/>
                </w:tcPr>
                <w:p w14:paraId="7DEBC941">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危险废物</w:t>
                  </w:r>
                </w:p>
                <w:p w14:paraId="5994D027">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名称</w:t>
                  </w:r>
                </w:p>
              </w:tc>
              <w:tc>
                <w:tcPr>
                  <w:tcW w:w="515" w:type="pct"/>
                  <w:tcBorders>
                    <w:tl2br w:val="nil"/>
                    <w:tr2bl w:val="nil"/>
                  </w:tcBorders>
                  <w:vAlign w:val="center"/>
                </w:tcPr>
                <w:p w14:paraId="3D0246A7">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危废</w:t>
                  </w:r>
                </w:p>
                <w:p w14:paraId="1B5D5062">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类别</w:t>
                  </w:r>
                </w:p>
              </w:tc>
              <w:tc>
                <w:tcPr>
                  <w:tcW w:w="718" w:type="pct"/>
                  <w:tcBorders>
                    <w:tl2br w:val="nil"/>
                    <w:tr2bl w:val="nil"/>
                  </w:tcBorders>
                  <w:vAlign w:val="center"/>
                </w:tcPr>
                <w:p w14:paraId="65E17FAA">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危废代码</w:t>
                  </w:r>
                </w:p>
              </w:tc>
              <w:tc>
                <w:tcPr>
                  <w:tcW w:w="495" w:type="pct"/>
                  <w:tcBorders>
                    <w:tl2br w:val="nil"/>
                    <w:tr2bl w:val="nil"/>
                  </w:tcBorders>
                  <w:vAlign w:val="center"/>
                </w:tcPr>
                <w:p w14:paraId="16EB8237">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产生量</w:t>
                  </w:r>
                  <w:r>
                    <w:rPr>
                      <w:rFonts w:hint="eastAsia" w:ascii="Times New Roman" w:hAnsi="Times New Roman" w:eastAsia="宋体" w:cs="Times New Roman"/>
                      <w:b/>
                      <w:bCs/>
                      <w:color w:val="000000" w:themeColor="text1"/>
                      <w:szCs w:val="21"/>
                      <w14:textFill>
                        <w14:solidFill>
                          <w14:schemeClr w14:val="tx1"/>
                        </w14:solidFill>
                      </w14:textFill>
                    </w:rPr>
                    <w:t>（t/</w:t>
                  </w:r>
                  <w:r>
                    <w:rPr>
                      <w:rFonts w:ascii="Times New Roman" w:hAnsi="Times New Roman" w:eastAsia="宋体" w:cs="Times New Roman"/>
                      <w:b/>
                      <w:bCs/>
                      <w:color w:val="000000" w:themeColor="text1"/>
                      <w:szCs w:val="21"/>
                      <w14:textFill>
                        <w14:solidFill>
                          <w14:schemeClr w14:val="tx1"/>
                        </w14:solidFill>
                      </w14:textFill>
                    </w:rPr>
                    <w:t>a</w:t>
                  </w:r>
                  <w:r>
                    <w:rPr>
                      <w:rFonts w:hint="eastAsia" w:ascii="Times New Roman" w:hAnsi="Times New Roman" w:eastAsia="宋体" w:cs="Times New Roman"/>
                      <w:b/>
                      <w:bCs/>
                      <w:color w:val="000000" w:themeColor="text1"/>
                      <w:szCs w:val="21"/>
                      <w14:textFill>
                        <w14:solidFill>
                          <w14:schemeClr w14:val="tx1"/>
                        </w14:solidFill>
                      </w14:textFill>
                    </w:rPr>
                    <w:t>）</w:t>
                  </w:r>
                </w:p>
              </w:tc>
              <w:tc>
                <w:tcPr>
                  <w:tcW w:w="924" w:type="pct"/>
                  <w:tcBorders>
                    <w:tl2br w:val="nil"/>
                    <w:tr2bl w:val="nil"/>
                  </w:tcBorders>
                  <w:vAlign w:val="center"/>
                </w:tcPr>
                <w:p w14:paraId="63EF2935">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产生工序</w:t>
                  </w:r>
                </w:p>
              </w:tc>
              <w:tc>
                <w:tcPr>
                  <w:tcW w:w="616" w:type="pct"/>
                  <w:tcBorders>
                    <w:tl2br w:val="nil"/>
                    <w:tr2bl w:val="nil"/>
                  </w:tcBorders>
                  <w:vAlign w:val="center"/>
                </w:tcPr>
                <w:p w14:paraId="690CBD0E">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形态主要成分</w:t>
                  </w:r>
                </w:p>
              </w:tc>
              <w:tc>
                <w:tcPr>
                  <w:tcW w:w="396" w:type="pct"/>
                  <w:tcBorders>
                    <w:tl2br w:val="nil"/>
                    <w:tr2bl w:val="nil"/>
                  </w:tcBorders>
                  <w:vAlign w:val="center"/>
                </w:tcPr>
                <w:p w14:paraId="28BDA405">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危险</w:t>
                  </w:r>
                </w:p>
                <w:p w14:paraId="0E4A16CE">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特性</w:t>
                  </w:r>
                </w:p>
              </w:tc>
              <w:tc>
                <w:tcPr>
                  <w:tcW w:w="641" w:type="pct"/>
                  <w:tcBorders>
                    <w:tl2br w:val="nil"/>
                    <w:tr2bl w:val="nil"/>
                  </w:tcBorders>
                  <w:vAlign w:val="center"/>
                </w:tcPr>
                <w:p w14:paraId="4B599F26">
                  <w:pPr>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处置</w:t>
                  </w:r>
                </w:p>
                <w:p w14:paraId="483B4521">
                  <w:pPr>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措施</w:t>
                  </w:r>
                </w:p>
              </w:tc>
            </w:tr>
            <w:tr w14:paraId="7B1C0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2" w:hRule="atLeast"/>
                <w:jc w:val="center"/>
              </w:trPr>
              <w:tc>
                <w:tcPr>
                  <w:tcW w:w="691" w:type="pct"/>
                  <w:tcBorders>
                    <w:tl2br w:val="nil"/>
                    <w:tr2bl w:val="nil"/>
                  </w:tcBorders>
                  <w:vAlign w:val="center"/>
                </w:tcPr>
                <w:p w14:paraId="06A1955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废活性炭</w:t>
                  </w:r>
                </w:p>
              </w:tc>
              <w:tc>
                <w:tcPr>
                  <w:tcW w:w="515" w:type="pct"/>
                  <w:tcBorders>
                    <w:tl2br w:val="nil"/>
                    <w:tr2bl w:val="nil"/>
                  </w:tcBorders>
                  <w:vAlign w:val="center"/>
                </w:tcPr>
                <w:p w14:paraId="7FE9E311">
                  <w:pPr>
                    <w:wordWrap w:val="0"/>
                    <w:topLinePunct/>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HW49其他废物</w:t>
                  </w:r>
                </w:p>
              </w:tc>
              <w:tc>
                <w:tcPr>
                  <w:tcW w:w="718" w:type="pct"/>
                  <w:tcBorders>
                    <w:tl2br w:val="nil"/>
                    <w:tr2bl w:val="nil"/>
                  </w:tcBorders>
                  <w:vAlign w:val="center"/>
                </w:tcPr>
                <w:p w14:paraId="4AB90E8B">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900-039-49</w:t>
                  </w:r>
                </w:p>
              </w:tc>
              <w:tc>
                <w:tcPr>
                  <w:tcW w:w="495" w:type="pct"/>
                  <w:tcBorders>
                    <w:tl2br w:val="nil"/>
                    <w:tr2bl w:val="nil"/>
                  </w:tcBorders>
                  <w:vAlign w:val="center"/>
                </w:tcPr>
                <w:p w14:paraId="386FBEA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12.708</w:t>
                  </w:r>
                </w:p>
              </w:tc>
              <w:tc>
                <w:tcPr>
                  <w:tcW w:w="924" w:type="pct"/>
                  <w:tcBorders>
                    <w:tl2br w:val="nil"/>
                    <w:tr2bl w:val="nil"/>
                  </w:tcBorders>
                  <w:vAlign w:val="center"/>
                </w:tcPr>
                <w:p w14:paraId="31F172BE">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DA002</w:t>
                  </w:r>
                  <w:r>
                    <w:rPr>
                      <w:rFonts w:hint="eastAsia" w:ascii="Times New Roman" w:hAnsi="Times New Roman" w:eastAsia="宋体" w:cs="Times New Roman"/>
                      <w:szCs w:val="21"/>
                    </w:rPr>
                    <w:t>沥青烟气处理系统活性炭吸附单元；</w:t>
                  </w:r>
                  <w:r>
                    <w:rPr>
                      <w:rFonts w:ascii="Times New Roman" w:hAnsi="Times New Roman" w:eastAsia="宋体" w:cs="Times New Roman"/>
                      <w:szCs w:val="21"/>
                    </w:rPr>
                    <w:t>DA003</w:t>
                  </w:r>
                  <w:r>
                    <w:rPr>
                      <w:rFonts w:hint="eastAsia" w:ascii="Times New Roman" w:hAnsi="Times New Roman" w:eastAsia="宋体" w:cs="Times New Roman"/>
                      <w:szCs w:val="21"/>
                    </w:rPr>
                    <w:t>废气处理</w:t>
                  </w:r>
                </w:p>
              </w:tc>
              <w:tc>
                <w:tcPr>
                  <w:tcW w:w="616" w:type="pct"/>
                  <w:tcBorders>
                    <w:tl2br w:val="nil"/>
                    <w:tr2bl w:val="nil"/>
                  </w:tcBorders>
                  <w:vAlign w:val="center"/>
                </w:tcPr>
                <w:p w14:paraId="16CBC2B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固态；废活性炭、挥发性有机废气</w:t>
                  </w:r>
                </w:p>
              </w:tc>
              <w:tc>
                <w:tcPr>
                  <w:tcW w:w="396" w:type="pct"/>
                  <w:tcBorders>
                    <w:tl2br w:val="nil"/>
                    <w:tr2bl w:val="nil"/>
                  </w:tcBorders>
                  <w:vAlign w:val="center"/>
                </w:tcPr>
                <w:p w14:paraId="21F971DF">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T</w:t>
                  </w:r>
                </w:p>
              </w:tc>
              <w:tc>
                <w:tcPr>
                  <w:tcW w:w="641" w:type="pct"/>
                  <w:vMerge w:val="restart"/>
                  <w:tcBorders>
                    <w:tl2br w:val="nil"/>
                    <w:tr2bl w:val="nil"/>
                  </w:tcBorders>
                  <w:vAlign w:val="center"/>
                </w:tcPr>
                <w:p w14:paraId="799242D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委托具备相应危险废物处置资质的危险废物处置单位进行安全、无害化处置</w:t>
                  </w:r>
                </w:p>
              </w:tc>
            </w:tr>
            <w:tr w14:paraId="66FBF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2" w:hRule="atLeast"/>
                <w:jc w:val="center"/>
              </w:trPr>
              <w:tc>
                <w:tcPr>
                  <w:tcW w:w="691" w:type="pct"/>
                  <w:tcBorders>
                    <w:tl2br w:val="nil"/>
                    <w:tr2bl w:val="nil"/>
                  </w:tcBorders>
                  <w:vAlign w:val="center"/>
                </w:tcPr>
                <w:p w14:paraId="7CC8090D">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废焦油</w:t>
                  </w:r>
                </w:p>
              </w:tc>
              <w:tc>
                <w:tcPr>
                  <w:tcW w:w="515" w:type="pct"/>
                  <w:vMerge w:val="restart"/>
                  <w:tcBorders>
                    <w:tl2br w:val="nil"/>
                    <w:tr2bl w:val="nil"/>
                  </w:tcBorders>
                  <w:vAlign w:val="center"/>
                </w:tcPr>
                <w:p w14:paraId="21103C20">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HW11精（蒸）馏残渣—石墨及其他非金属矿物制品制造</w:t>
                  </w:r>
                </w:p>
              </w:tc>
              <w:tc>
                <w:tcPr>
                  <w:tcW w:w="718" w:type="pct"/>
                  <w:vMerge w:val="restart"/>
                  <w:tcBorders>
                    <w:tl2br w:val="nil"/>
                    <w:tr2bl w:val="nil"/>
                  </w:tcBorders>
                  <w:vAlign w:val="center"/>
                </w:tcPr>
                <w:p w14:paraId="06DF499B">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309-001-11</w:t>
                  </w:r>
                </w:p>
              </w:tc>
              <w:tc>
                <w:tcPr>
                  <w:tcW w:w="495" w:type="pct"/>
                  <w:tcBorders>
                    <w:tl2br w:val="nil"/>
                    <w:tr2bl w:val="nil"/>
                  </w:tcBorders>
                  <w:vAlign w:val="center"/>
                </w:tcPr>
                <w:p w14:paraId="3F1778B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0.8</w:t>
                  </w:r>
                </w:p>
              </w:tc>
              <w:tc>
                <w:tcPr>
                  <w:tcW w:w="924" w:type="pct"/>
                  <w:tcBorders>
                    <w:tl2br w:val="nil"/>
                    <w:tr2bl w:val="nil"/>
                  </w:tcBorders>
                  <w:vAlign w:val="center"/>
                </w:tcPr>
                <w:p w14:paraId="027E707B">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DA002沥青烟气处理系统前端电捕焦油器</w:t>
                  </w:r>
                </w:p>
              </w:tc>
              <w:tc>
                <w:tcPr>
                  <w:tcW w:w="616" w:type="pct"/>
                  <w:tcBorders>
                    <w:tl2br w:val="nil"/>
                    <w:tr2bl w:val="nil"/>
                  </w:tcBorders>
                  <w:vAlign w:val="center"/>
                </w:tcPr>
                <w:p w14:paraId="47ADBF0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固液混合态；废焦油</w:t>
                  </w:r>
                </w:p>
              </w:tc>
              <w:tc>
                <w:tcPr>
                  <w:tcW w:w="396" w:type="pct"/>
                  <w:vMerge w:val="restart"/>
                  <w:tcBorders>
                    <w:tl2br w:val="nil"/>
                    <w:tr2bl w:val="nil"/>
                  </w:tcBorders>
                  <w:vAlign w:val="center"/>
                </w:tcPr>
                <w:p w14:paraId="6F87418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T</w:t>
                  </w:r>
                </w:p>
              </w:tc>
              <w:tc>
                <w:tcPr>
                  <w:tcW w:w="641" w:type="pct"/>
                  <w:vMerge w:val="continue"/>
                  <w:tcBorders>
                    <w:tl2br w:val="nil"/>
                    <w:tr2bl w:val="nil"/>
                  </w:tcBorders>
                  <w:vAlign w:val="center"/>
                </w:tcPr>
                <w:p w14:paraId="32EA70F3">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r>
            <w:tr w14:paraId="5BE0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2" w:hRule="atLeast"/>
                <w:jc w:val="center"/>
              </w:trPr>
              <w:tc>
                <w:tcPr>
                  <w:tcW w:w="691" w:type="pct"/>
                  <w:tcBorders>
                    <w:tl2br w:val="nil"/>
                    <w:tr2bl w:val="nil"/>
                  </w:tcBorders>
                  <w:vAlign w:val="center"/>
                </w:tcPr>
                <w:p w14:paraId="6AA8B661">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洗涤塔循环废液</w:t>
                  </w:r>
                </w:p>
              </w:tc>
              <w:tc>
                <w:tcPr>
                  <w:tcW w:w="515" w:type="pct"/>
                  <w:vMerge w:val="continue"/>
                  <w:tcBorders>
                    <w:tl2br w:val="nil"/>
                    <w:tr2bl w:val="nil"/>
                  </w:tcBorders>
                  <w:vAlign w:val="center"/>
                </w:tcPr>
                <w:p w14:paraId="656993F5">
                  <w:pPr>
                    <w:wordWrap w:val="0"/>
                    <w:topLinePunct/>
                    <w:adjustRightInd w:val="0"/>
                    <w:spacing w:line="240" w:lineRule="exact"/>
                    <w:jc w:val="center"/>
                    <w:textAlignment w:val="baseline"/>
                    <w:rPr>
                      <w:rFonts w:ascii="Times New Roman" w:hAnsi="Times New Roman" w:eastAsia="宋体" w:cs="Times New Roman"/>
                      <w:szCs w:val="21"/>
                    </w:rPr>
                  </w:pPr>
                </w:p>
              </w:tc>
              <w:tc>
                <w:tcPr>
                  <w:tcW w:w="718" w:type="pct"/>
                  <w:vMerge w:val="continue"/>
                  <w:tcBorders>
                    <w:tl2br w:val="nil"/>
                    <w:tr2bl w:val="nil"/>
                  </w:tcBorders>
                  <w:vAlign w:val="center"/>
                </w:tcPr>
                <w:p w14:paraId="1E5E0D5A">
                  <w:pPr>
                    <w:adjustRightInd w:val="0"/>
                    <w:spacing w:line="240" w:lineRule="exact"/>
                    <w:jc w:val="center"/>
                    <w:textAlignment w:val="baseline"/>
                    <w:rPr>
                      <w:rFonts w:ascii="Times New Roman" w:hAnsi="Times New Roman" w:eastAsia="宋体" w:cs="Times New Roman"/>
                      <w:szCs w:val="21"/>
                    </w:rPr>
                  </w:pPr>
                </w:p>
              </w:tc>
              <w:tc>
                <w:tcPr>
                  <w:tcW w:w="495" w:type="pct"/>
                  <w:tcBorders>
                    <w:tl2br w:val="nil"/>
                    <w:tr2bl w:val="nil"/>
                  </w:tcBorders>
                  <w:vAlign w:val="center"/>
                </w:tcPr>
                <w:p w14:paraId="1932E607">
                  <w:pPr>
                    <w:adjustRightInd w:val="0"/>
                    <w:spacing w:line="240" w:lineRule="exact"/>
                    <w:jc w:val="center"/>
                    <w:textAlignment w:val="baseline"/>
                  </w:pPr>
                  <w:r>
                    <w:rPr>
                      <w:rFonts w:hint="eastAsia" w:ascii="Times New Roman" w:hAnsi="Times New Roman" w:eastAsia="宋体" w:cs="Times New Roman"/>
                      <w:szCs w:val="21"/>
                    </w:rPr>
                    <w:t>10m</w:t>
                  </w:r>
                  <w:r>
                    <w:rPr>
                      <w:rFonts w:hint="eastAsia" w:ascii="Times New Roman" w:hAnsi="Times New Roman" w:eastAsia="宋体" w:cs="Times New Roman"/>
                      <w:szCs w:val="21"/>
                      <w:vertAlign w:val="superscript"/>
                    </w:rPr>
                    <w:t>3</w:t>
                  </w:r>
                  <w:r>
                    <w:rPr>
                      <w:rFonts w:hint="eastAsia" w:ascii="Times New Roman" w:hAnsi="Times New Roman" w:eastAsia="宋体" w:cs="Times New Roman"/>
                      <w:szCs w:val="21"/>
                    </w:rPr>
                    <w:t>/</w:t>
                  </w:r>
                  <w:r>
                    <w:rPr>
                      <w:rFonts w:ascii="Times New Roman" w:hAnsi="Times New Roman" w:eastAsia="宋体" w:cs="Times New Roman"/>
                      <w:szCs w:val="21"/>
                    </w:rPr>
                    <w:t>a</w:t>
                  </w:r>
                </w:p>
              </w:tc>
              <w:tc>
                <w:tcPr>
                  <w:tcW w:w="924" w:type="pct"/>
                  <w:vMerge w:val="restart"/>
                  <w:tcBorders>
                    <w:tl2br w:val="nil"/>
                    <w:tr2bl w:val="nil"/>
                  </w:tcBorders>
                  <w:vAlign w:val="center"/>
                </w:tcPr>
                <w:p w14:paraId="50AF5416">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DA002沥青烟气处理系统</w:t>
                  </w:r>
                </w:p>
              </w:tc>
              <w:tc>
                <w:tcPr>
                  <w:tcW w:w="616" w:type="pct"/>
                  <w:tcBorders>
                    <w:tl2br w:val="nil"/>
                    <w:tr2bl w:val="nil"/>
                  </w:tcBorders>
                  <w:vAlign w:val="center"/>
                </w:tcPr>
                <w:p w14:paraId="7139BD0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液态；含挥发性有机废气的废液</w:t>
                  </w:r>
                </w:p>
              </w:tc>
              <w:tc>
                <w:tcPr>
                  <w:tcW w:w="396" w:type="pct"/>
                  <w:vMerge w:val="continue"/>
                  <w:tcBorders>
                    <w:tl2br w:val="nil"/>
                    <w:tr2bl w:val="nil"/>
                  </w:tcBorders>
                  <w:vAlign w:val="center"/>
                </w:tcPr>
                <w:p w14:paraId="4F1500F1">
                  <w:pPr>
                    <w:adjustRightInd w:val="0"/>
                    <w:spacing w:line="240" w:lineRule="exact"/>
                    <w:jc w:val="center"/>
                    <w:textAlignment w:val="baseline"/>
                    <w:rPr>
                      <w:rFonts w:ascii="Times New Roman" w:hAnsi="Times New Roman" w:eastAsia="宋体" w:cs="Times New Roman"/>
                      <w:szCs w:val="21"/>
                    </w:rPr>
                  </w:pPr>
                </w:p>
              </w:tc>
              <w:tc>
                <w:tcPr>
                  <w:tcW w:w="641" w:type="pct"/>
                  <w:vMerge w:val="continue"/>
                  <w:tcBorders>
                    <w:tl2br w:val="nil"/>
                    <w:tr2bl w:val="nil"/>
                  </w:tcBorders>
                  <w:vAlign w:val="center"/>
                </w:tcPr>
                <w:p w14:paraId="73D20A45">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r>
            <w:tr w14:paraId="1C592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2" w:hRule="atLeast"/>
                <w:jc w:val="center"/>
              </w:trPr>
              <w:tc>
                <w:tcPr>
                  <w:tcW w:w="691" w:type="pct"/>
                  <w:tcBorders>
                    <w:tl2br w:val="nil"/>
                    <w:tr2bl w:val="nil"/>
                  </w:tcBorders>
                  <w:vAlign w:val="center"/>
                </w:tcPr>
                <w:p w14:paraId="5E40DAFC">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洗涤塔沉淀焦油渣</w:t>
                  </w:r>
                </w:p>
              </w:tc>
              <w:tc>
                <w:tcPr>
                  <w:tcW w:w="515" w:type="pct"/>
                  <w:vMerge w:val="continue"/>
                  <w:tcBorders>
                    <w:tl2br w:val="nil"/>
                    <w:tr2bl w:val="nil"/>
                  </w:tcBorders>
                  <w:vAlign w:val="center"/>
                </w:tcPr>
                <w:p w14:paraId="791DE363">
                  <w:pPr>
                    <w:wordWrap w:val="0"/>
                    <w:topLinePunct/>
                    <w:adjustRightInd w:val="0"/>
                    <w:spacing w:line="240" w:lineRule="exact"/>
                    <w:jc w:val="center"/>
                    <w:textAlignment w:val="baseline"/>
                    <w:rPr>
                      <w:rFonts w:ascii="Times New Roman" w:hAnsi="Times New Roman" w:eastAsia="宋体" w:cs="Times New Roman"/>
                      <w:szCs w:val="21"/>
                    </w:rPr>
                  </w:pPr>
                </w:p>
              </w:tc>
              <w:tc>
                <w:tcPr>
                  <w:tcW w:w="718" w:type="pct"/>
                  <w:vMerge w:val="continue"/>
                  <w:tcBorders>
                    <w:tl2br w:val="nil"/>
                    <w:tr2bl w:val="nil"/>
                  </w:tcBorders>
                  <w:vAlign w:val="center"/>
                </w:tcPr>
                <w:p w14:paraId="0AA9581C">
                  <w:pPr>
                    <w:adjustRightInd w:val="0"/>
                    <w:spacing w:line="240" w:lineRule="exact"/>
                    <w:jc w:val="center"/>
                    <w:textAlignment w:val="baseline"/>
                    <w:rPr>
                      <w:rFonts w:ascii="Times New Roman" w:hAnsi="Times New Roman" w:eastAsia="宋体" w:cs="Times New Roman"/>
                      <w:szCs w:val="21"/>
                    </w:rPr>
                  </w:pPr>
                </w:p>
              </w:tc>
              <w:tc>
                <w:tcPr>
                  <w:tcW w:w="495" w:type="pct"/>
                  <w:tcBorders>
                    <w:tl2br w:val="nil"/>
                    <w:tr2bl w:val="nil"/>
                  </w:tcBorders>
                  <w:vAlign w:val="center"/>
                </w:tcPr>
                <w:p w14:paraId="1DA5E97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w:t>
                  </w:r>
                </w:p>
              </w:tc>
              <w:tc>
                <w:tcPr>
                  <w:tcW w:w="924" w:type="pct"/>
                  <w:vMerge w:val="continue"/>
                  <w:tcBorders>
                    <w:tl2br w:val="nil"/>
                    <w:tr2bl w:val="nil"/>
                  </w:tcBorders>
                  <w:vAlign w:val="center"/>
                </w:tcPr>
                <w:p w14:paraId="00FB268C">
                  <w:pPr>
                    <w:adjustRightInd w:val="0"/>
                    <w:spacing w:line="240" w:lineRule="exact"/>
                    <w:jc w:val="center"/>
                    <w:textAlignment w:val="baseline"/>
                    <w:rPr>
                      <w:rFonts w:ascii="Times New Roman" w:hAnsi="Times New Roman" w:eastAsia="宋体" w:cs="Times New Roman"/>
                      <w:szCs w:val="21"/>
                    </w:rPr>
                  </w:pPr>
                </w:p>
              </w:tc>
              <w:tc>
                <w:tcPr>
                  <w:tcW w:w="616" w:type="pct"/>
                  <w:tcBorders>
                    <w:tl2br w:val="nil"/>
                    <w:tr2bl w:val="nil"/>
                  </w:tcBorders>
                  <w:vAlign w:val="center"/>
                </w:tcPr>
                <w:p w14:paraId="3E027CE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固液混合态；焦油渣</w:t>
                  </w:r>
                </w:p>
              </w:tc>
              <w:tc>
                <w:tcPr>
                  <w:tcW w:w="396" w:type="pct"/>
                  <w:vMerge w:val="continue"/>
                  <w:tcBorders>
                    <w:tl2br w:val="nil"/>
                    <w:tr2bl w:val="nil"/>
                  </w:tcBorders>
                  <w:vAlign w:val="center"/>
                </w:tcPr>
                <w:p w14:paraId="007FBFE3">
                  <w:pPr>
                    <w:adjustRightInd w:val="0"/>
                    <w:spacing w:line="240" w:lineRule="exact"/>
                    <w:jc w:val="center"/>
                    <w:textAlignment w:val="baseline"/>
                    <w:rPr>
                      <w:rFonts w:ascii="Times New Roman" w:hAnsi="Times New Roman" w:eastAsia="宋体" w:cs="Times New Roman"/>
                      <w:color w:val="FF0000"/>
                      <w:szCs w:val="21"/>
                    </w:rPr>
                  </w:pPr>
                </w:p>
              </w:tc>
              <w:tc>
                <w:tcPr>
                  <w:tcW w:w="641" w:type="pct"/>
                  <w:vMerge w:val="continue"/>
                  <w:tcBorders>
                    <w:tl2br w:val="nil"/>
                    <w:tr2bl w:val="nil"/>
                  </w:tcBorders>
                  <w:vAlign w:val="center"/>
                </w:tcPr>
                <w:p w14:paraId="3FF104FD">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r>
            <w:tr w14:paraId="6AF57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2" w:hRule="atLeast"/>
                <w:jc w:val="center"/>
              </w:trPr>
              <w:tc>
                <w:tcPr>
                  <w:tcW w:w="691" w:type="pct"/>
                  <w:tcBorders>
                    <w:tl2br w:val="nil"/>
                    <w:tr2bl w:val="nil"/>
                  </w:tcBorders>
                  <w:vAlign w:val="center"/>
                </w:tcPr>
                <w:p w14:paraId="233E7A9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废导热油</w:t>
                  </w:r>
                </w:p>
              </w:tc>
              <w:tc>
                <w:tcPr>
                  <w:tcW w:w="515" w:type="pct"/>
                  <w:tcBorders>
                    <w:tl2br w:val="nil"/>
                    <w:tr2bl w:val="nil"/>
                  </w:tcBorders>
                  <w:vAlign w:val="center"/>
                </w:tcPr>
                <w:p w14:paraId="2EF20B1C">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HW08废矿物油与含矿物油废物</w:t>
                  </w:r>
                </w:p>
              </w:tc>
              <w:tc>
                <w:tcPr>
                  <w:tcW w:w="718" w:type="pct"/>
                  <w:tcBorders>
                    <w:tl2br w:val="nil"/>
                    <w:tr2bl w:val="nil"/>
                  </w:tcBorders>
                  <w:vAlign w:val="center"/>
                </w:tcPr>
                <w:p w14:paraId="16A10E9C">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900-249-08</w:t>
                  </w:r>
                </w:p>
              </w:tc>
              <w:tc>
                <w:tcPr>
                  <w:tcW w:w="495" w:type="pct"/>
                  <w:tcBorders>
                    <w:tl2br w:val="nil"/>
                    <w:tr2bl w:val="nil"/>
                  </w:tcBorders>
                  <w:vAlign w:val="center"/>
                </w:tcPr>
                <w:p w14:paraId="3BBA3D8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1.14</w:t>
                  </w:r>
                </w:p>
              </w:tc>
              <w:tc>
                <w:tcPr>
                  <w:tcW w:w="924" w:type="pct"/>
                  <w:tcBorders>
                    <w:tl2br w:val="nil"/>
                    <w:tr2bl w:val="nil"/>
                  </w:tcBorders>
                  <w:vAlign w:val="center"/>
                </w:tcPr>
                <w:p w14:paraId="72D843F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有机热载体炉</w:t>
                  </w:r>
                </w:p>
              </w:tc>
              <w:tc>
                <w:tcPr>
                  <w:tcW w:w="616" w:type="pct"/>
                  <w:tcBorders>
                    <w:tl2br w:val="nil"/>
                    <w:tr2bl w:val="nil"/>
                  </w:tcBorders>
                  <w:vAlign w:val="center"/>
                </w:tcPr>
                <w:p w14:paraId="6DB4D46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液态；废导热油</w:t>
                  </w:r>
                </w:p>
              </w:tc>
              <w:tc>
                <w:tcPr>
                  <w:tcW w:w="396" w:type="pct"/>
                  <w:tcBorders>
                    <w:tl2br w:val="nil"/>
                    <w:tr2bl w:val="nil"/>
                  </w:tcBorders>
                  <w:vAlign w:val="center"/>
                </w:tcPr>
                <w:p w14:paraId="4D44E2D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T，I</w:t>
                  </w:r>
                </w:p>
              </w:tc>
              <w:tc>
                <w:tcPr>
                  <w:tcW w:w="641" w:type="pct"/>
                  <w:tcBorders>
                    <w:tl2br w:val="nil"/>
                    <w:tr2bl w:val="nil"/>
                  </w:tcBorders>
                  <w:vAlign w:val="center"/>
                </w:tcPr>
                <w:p w14:paraId="66BFE65D">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经专用密闭防腐防渗容器规范收集后，由具备危险废物处置资质的单位直接回收处置，不在厂区内暂存</w:t>
                  </w:r>
                </w:p>
              </w:tc>
            </w:tr>
            <w:tr w14:paraId="5A2C9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48" w:hRule="atLeast"/>
                <w:jc w:val="center"/>
              </w:trPr>
              <w:tc>
                <w:tcPr>
                  <w:tcW w:w="691" w:type="pct"/>
                  <w:tcBorders>
                    <w:tl2br w:val="nil"/>
                    <w:tr2bl w:val="nil"/>
                  </w:tcBorders>
                  <w:vAlign w:val="center"/>
                </w:tcPr>
                <w:p w14:paraId="6542D7D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废矿物油</w:t>
                  </w:r>
                </w:p>
              </w:tc>
              <w:tc>
                <w:tcPr>
                  <w:tcW w:w="515" w:type="pct"/>
                  <w:vMerge w:val="restart"/>
                  <w:tcBorders>
                    <w:tl2br w:val="nil"/>
                    <w:tr2bl w:val="nil"/>
                  </w:tcBorders>
                  <w:vAlign w:val="center"/>
                </w:tcPr>
                <w:p w14:paraId="505F9FE2">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HW08废矿物油与含矿物油废物</w:t>
                  </w:r>
                </w:p>
              </w:tc>
              <w:tc>
                <w:tcPr>
                  <w:tcW w:w="718" w:type="pct"/>
                  <w:tcBorders>
                    <w:tl2br w:val="nil"/>
                    <w:tr2bl w:val="nil"/>
                  </w:tcBorders>
                  <w:vAlign w:val="center"/>
                </w:tcPr>
                <w:p w14:paraId="7F858B32">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900-214-08</w:t>
                  </w:r>
                </w:p>
              </w:tc>
              <w:tc>
                <w:tcPr>
                  <w:tcW w:w="495" w:type="pct"/>
                  <w:tcBorders>
                    <w:tl2br w:val="nil"/>
                    <w:tr2bl w:val="nil"/>
                  </w:tcBorders>
                  <w:vAlign w:val="center"/>
                </w:tcPr>
                <w:p w14:paraId="413A052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0.2</w:t>
                  </w:r>
                </w:p>
              </w:tc>
              <w:tc>
                <w:tcPr>
                  <w:tcW w:w="924" w:type="pct"/>
                  <w:tcBorders>
                    <w:tl2br w:val="nil"/>
                    <w:tr2bl w:val="nil"/>
                  </w:tcBorders>
                  <w:vAlign w:val="center"/>
                </w:tcPr>
                <w:p w14:paraId="69E4C37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车辆与设备维护保养</w:t>
                  </w:r>
                </w:p>
              </w:tc>
              <w:tc>
                <w:tcPr>
                  <w:tcW w:w="616" w:type="pct"/>
                  <w:tcBorders>
                    <w:tl2br w:val="nil"/>
                    <w:tr2bl w:val="nil"/>
                  </w:tcBorders>
                  <w:vAlign w:val="center"/>
                </w:tcPr>
                <w:p w14:paraId="082AC62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液态；废矿物油</w:t>
                  </w:r>
                </w:p>
              </w:tc>
              <w:tc>
                <w:tcPr>
                  <w:tcW w:w="396" w:type="pct"/>
                  <w:tcBorders>
                    <w:tl2br w:val="nil"/>
                    <w:tr2bl w:val="nil"/>
                  </w:tcBorders>
                  <w:vAlign w:val="center"/>
                </w:tcPr>
                <w:p w14:paraId="6C019D6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T，I</w:t>
                  </w:r>
                </w:p>
              </w:tc>
              <w:tc>
                <w:tcPr>
                  <w:tcW w:w="641" w:type="pct"/>
                  <w:vMerge w:val="restart"/>
                  <w:tcBorders>
                    <w:tl2br w:val="nil"/>
                    <w:tr2bl w:val="nil"/>
                  </w:tcBorders>
                  <w:vAlign w:val="center"/>
                </w:tcPr>
                <w:p w14:paraId="1500C90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暂存于危废贮存点，置于防渗托盘内，委托具备相应危险废物处置资质的危险废物处置单位定期清运，进行安全、无害化处置</w:t>
                  </w:r>
                </w:p>
              </w:tc>
            </w:tr>
            <w:tr w14:paraId="0054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2" w:hRule="atLeast"/>
                <w:jc w:val="center"/>
              </w:trPr>
              <w:tc>
                <w:tcPr>
                  <w:tcW w:w="691" w:type="pct"/>
                  <w:tcBorders>
                    <w:tl2br w:val="nil"/>
                    <w:tr2bl w:val="nil"/>
                  </w:tcBorders>
                  <w:vAlign w:val="center"/>
                </w:tcPr>
                <w:p w14:paraId="7B03796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废油桶</w:t>
                  </w:r>
                </w:p>
              </w:tc>
              <w:tc>
                <w:tcPr>
                  <w:tcW w:w="515" w:type="pct"/>
                  <w:vMerge w:val="continue"/>
                  <w:tcBorders>
                    <w:tl2br w:val="nil"/>
                    <w:tr2bl w:val="nil"/>
                  </w:tcBorders>
                  <w:vAlign w:val="center"/>
                </w:tcPr>
                <w:p w14:paraId="4F54F846">
                  <w:pPr>
                    <w:adjustRightInd w:val="0"/>
                    <w:spacing w:line="240" w:lineRule="exact"/>
                    <w:jc w:val="center"/>
                    <w:textAlignment w:val="baseline"/>
                    <w:rPr>
                      <w:rFonts w:ascii="Times New Roman" w:hAnsi="Times New Roman" w:eastAsia="宋体" w:cs="Times New Roman"/>
                      <w:szCs w:val="21"/>
                    </w:rPr>
                  </w:pPr>
                </w:p>
              </w:tc>
              <w:tc>
                <w:tcPr>
                  <w:tcW w:w="718" w:type="pct"/>
                  <w:tcBorders>
                    <w:tl2br w:val="nil"/>
                    <w:tr2bl w:val="nil"/>
                  </w:tcBorders>
                  <w:vAlign w:val="center"/>
                </w:tcPr>
                <w:p w14:paraId="09C57484">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900-249-08</w:t>
                  </w:r>
                </w:p>
              </w:tc>
              <w:tc>
                <w:tcPr>
                  <w:tcW w:w="495" w:type="pct"/>
                  <w:tcBorders>
                    <w:tl2br w:val="nil"/>
                    <w:tr2bl w:val="nil"/>
                  </w:tcBorders>
                  <w:vAlign w:val="center"/>
                </w:tcPr>
                <w:p w14:paraId="7713B2A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0.02</w:t>
                  </w:r>
                </w:p>
              </w:tc>
              <w:tc>
                <w:tcPr>
                  <w:tcW w:w="924" w:type="pct"/>
                  <w:tcBorders>
                    <w:tl2br w:val="nil"/>
                    <w:tr2bl w:val="nil"/>
                  </w:tcBorders>
                  <w:vAlign w:val="center"/>
                </w:tcPr>
                <w:p w14:paraId="49BACF6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车辆与设备维护保养</w:t>
                  </w:r>
                </w:p>
              </w:tc>
              <w:tc>
                <w:tcPr>
                  <w:tcW w:w="616" w:type="pct"/>
                  <w:tcBorders>
                    <w:tl2br w:val="nil"/>
                    <w:tr2bl w:val="nil"/>
                  </w:tcBorders>
                  <w:vAlign w:val="center"/>
                </w:tcPr>
                <w:p w14:paraId="1EB33E3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固态；沾染废矿物油的包装桶</w:t>
                  </w:r>
                </w:p>
              </w:tc>
              <w:tc>
                <w:tcPr>
                  <w:tcW w:w="396" w:type="pct"/>
                  <w:tcBorders>
                    <w:tl2br w:val="nil"/>
                    <w:tr2bl w:val="nil"/>
                  </w:tcBorders>
                  <w:vAlign w:val="center"/>
                </w:tcPr>
                <w:p w14:paraId="5D66ACB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T，I</w:t>
                  </w:r>
                </w:p>
              </w:tc>
              <w:tc>
                <w:tcPr>
                  <w:tcW w:w="641" w:type="pct"/>
                  <w:vMerge w:val="continue"/>
                  <w:tcBorders>
                    <w:tl2br w:val="nil"/>
                    <w:tr2bl w:val="nil"/>
                  </w:tcBorders>
                  <w:vAlign w:val="center"/>
                </w:tcPr>
                <w:p w14:paraId="46FD593A">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r>
            <w:tr w14:paraId="1AFC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2" w:hRule="atLeast"/>
                <w:jc w:val="center"/>
              </w:trPr>
              <w:tc>
                <w:tcPr>
                  <w:tcW w:w="691" w:type="pct"/>
                  <w:tcBorders>
                    <w:tl2br w:val="nil"/>
                    <w:tr2bl w:val="nil"/>
                  </w:tcBorders>
                  <w:vAlign w:val="center"/>
                </w:tcPr>
                <w:p w14:paraId="50E2B90D">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柴油储罐油泥</w:t>
                  </w:r>
                </w:p>
              </w:tc>
              <w:tc>
                <w:tcPr>
                  <w:tcW w:w="515" w:type="pct"/>
                  <w:vMerge w:val="continue"/>
                  <w:tcBorders>
                    <w:tl2br w:val="nil"/>
                    <w:tr2bl w:val="nil"/>
                  </w:tcBorders>
                  <w:vAlign w:val="center"/>
                </w:tcPr>
                <w:p w14:paraId="24E20F94">
                  <w:pPr>
                    <w:wordWrap w:val="0"/>
                    <w:topLinePunct/>
                    <w:adjustRightInd w:val="0"/>
                    <w:spacing w:line="240" w:lineRule="exact"/>
                    <w:jc w:val="center"/>
                    <w:textAlignment w:val="baseline"/>
                    <w:rPr>
                      <w:rFonts w:ascii="Times New Roman" w:hAnsi="Times New Roman" w:eastAsia="宋体" w:cs="Times New Roman"/>
                      <w:szCs w:val="21"/>
                    </w:rPr>
                  </w:pPr>
                </w:p>
              </w:tc>
              <w:tc>
                <w:tcPr>
                  <w:tcW w:w="718" w:type="pct"/>
                  <w:tcBorders>
                    <w:tl2br w:val="nil"/>
                    <w:tr2bl w:val="nil"/>
                  </w:tcBorders>
                  <w:vAlign w:val="center"/>
                </w:tcPr>
                <w:p w14:paraId="0F7C593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900-221-08</w:t>
                  </w:r>
                </w:p>
              </w:tc>
              <w:tc>
                <w:tcPr>
                  <w:tcW w:w="495" w:type="pct"/>
                  <w:tcBorders>
                    <w:tl2br w:val="nil"/>
                    <w:tr2bl w:val="nil"/>
                  </w:tcBorders>
                  <w:vAlign w:val="center"/>
                </w:tcPr>
                <w:p w14:paraId="307657A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0.04</w:t>
                  </w:r>
                </w:p>
              </w:tc>
              <w:tc>
                <w:tcPr>
                  <w:tcW w:w="924" w:type="pct"/>
                  <w:tcBorders>
                    <w:tl2br w:val="nil"/>
                    <w:tr2bl w:val="nil"/>
                  </w:tcBorders>
                  <w:vAlign w:val="center"/>
                </w:tcPr>
                <w:p w14:paraId="470DC45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柴油储罐</w:t>
                  </w:r>
                </w:p>
              </w:tc>
              <w:tc>
                <w:tcPr>
                  <w:tcW w:w="616" w:type="pct"/>
                  <w:tcBorders>
                    <w:tl2br w:val="nil"/>
                    <w:tr2bl w:val="nil"/>
                  </w:tcBorders>
                  <w:vAlign w:val="center"/>
                </w:tcPr>
                <w:p w14:paraId="7631FE3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固液混合态；沾染柴油的沉积油泥</w:t>
                  </w:r>
                </w:p>
              </w:tc>
              <w:tc>
                <w:tcPr>
                  <w:tcW w:w="396" w:type="pct"/>
                  <w:tcBorders>
                    <w:tl2br w:val="nil"/>
                    <w:tr2bl w:val="nil"/>
                  </w:tcBorders>
                  <w:vAlign w:val="center"/>
                </w:tcPr>
                <w:p w14:paraId="76F18DA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T，I</w:t>
                  </w:r>
                </w:p>
              </w:tc>
              <w:tc>
                <w:tcPr>
                  <w:tcW w:w="641" w:type="pct"/>
                  <w:tcBorders>
                    <w:tl2br w:val="nil"/>
                    <w:tr2bl w:val="nil"/>
                  </w:tcBorders>
                  <w:vAlign w:val="center"/>
                </w:tcPr>
                <w:p w14:paraId="2BD4BA4E">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经专用密闭防腐防渗容器规范收集，由具备危险废物处置资质的单位直接回收处置，不在厂区内暂存</w:t>
                  </w:r>
                </w:p>
              </w:tc>
            </w:tr>
            <w:tr w14:paraId="0841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2" w:hRule="atLeast"/>
                <w:jc w:val="center"/>
              </w:trPr>
              <w:tc>
                <w:tcPr>
                  <w:tcW w:w="691" w:type="pct"/>
                  <w:tcBorders>
                    <w:tl2br w:val="nil"/>
                    <w:tr2bl w:val="nil"/>
                  </w:tcBorders>
                  <w:vAlign w:val="center"/>
                </w:tcPr>
                <w:p w14:paraId="5276172D">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废含油棉纱及废手套</w:t>
                  </w:r>
                </w:p>
              </w:tc>
              <w:tc>
                <w:tcPr>
                  <w:tcW w:w="515" w:type="pct"/>
                  <w:tcBorders>
                    <w:tl2br w:val="nil"/>
                    <w:tr2bl w:val="nil"/>
                  </w:tcBorders>
                  <w:vAlign w:val="center"/>
                </w:tcPr>
                <w:p w14:paraId="1764082B">
                  <w:pPr>
                    <w:wordWrap w:val="0"/>
                    <w:topLinePunct/>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HW49其他废物</w:t>
                  </w:r>
                </w:p>
              </w:tc>
              <w:tc>
                <w:tcPr>
                  <w:tcW w:w="718" w:type="pct"/>
                  <w:tcBorders>
                    <w:tl2br w:val="nil"/>
                    <w:tr2bl w:val="nil"/>
                  </w:tcBorders>
                  <w:vAlign w:val="center"/>
                </w:tcPr>
                <w:p w14:paraId="739A25E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 900-041-49</w:t>
                  </w:r>
                </w:p>
              </w:tc>
              <w:tc>
                <w:tcPr>
                  <w:tcW w:w="495" w:type="pct"/>
                  <w:tcBorders>
                    <w:bottom w:val="single" w:color="000000" w:sz="4" w:space="0"/>
                    <w:tl2br w:val="nil"/>
                    <w:tr2bl w:val="nil"/>
                  </w:tcBorders>
                  <w:vAlign w:val="center"/>
                </w:tcPr>
                <w:p w14:paraId="7BACBEF2">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0.02</w:t>
                  </w:r>
                </w:p>
              </w:tc>
              <w:tc>
                <w:tcPr>
                  <w:tcW w:w="924" w:type="pct"/>
                  <w:tcBorders>
                    <w:bottom w:val="single" w:color="000000" w:sz="4" w:space="0"/>
                    <w:tl2br w:val="nil"/>
                    <w:tr2bl w:val="nil"/>
                  </w:tcBorders>
                  <w:vAlign w:val="center"/>
                </w:tcPr>
                <w:p w14:paraId="2D26346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设备及车辆维护保养过程、职工帮忙清掏各类沉积底泥过程</w:t>
                  </w:r>
                </w:p>
              </w:tc>
              <w:tc>
                <w:tcPr>
                  <w:tcW w:w="616" w:type="pct"/>
                  <w:tcBorders>
                    <w:bottom w:val="single" w:color="000000" w:sz="4" w:space="0"/>
                    <w:tl2br w:val="nil"/>
                    <w:tr2bl w:val="nil"/>
                  </w:tcBorders>
                  <w:vAlign w:val="center"/>
                </w:tcPr>
                <w:p w14:paraId="2DB4982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固态；沾染废矿物油等的介质</w:t>
                  </w:r>
                </w:p>
              </w:tc>
              <w:tc>
                <w:tcPr>
                  <w:tcW w:w="396" w:type="pct"/>
                  <w:tcBorders>
                    <w:tl2br w:val="nil"/>
                    <w:tr2bl w:val="nil"/>
                  </w:tcBorders>
                  <w:vAlign w:val="center"/>
                </w:tcPr>
                <w:p w14:paraId="043DD00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T/In</w:t>
                  </w:r>
                </w:p>
              </w:tc>
              <w:tc>
                <w:tcPr>
                  <w:tcW w:w="641" w:type="pct"/>
                  <w:tcBorders>
                    <w:tl2br w:val="nil"/>
                    <w:tr2bl w:val="nil"/>
                  </w:tcBorders>
                  <w:vAlign w:val="center"/>
                </w:tcPr>
                <w:p w14:paraId="5261AD46">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委托具备相应危险废物处置资质的危险废物处置单位进行安全、无害化处置</w:t>
                  </w:r>
                </w:p>
              </w:tc>
            </w:tr>
          </w:tbl>
          <w:p w14:paraId="4969A747">
            <w:pPr>
              <w:wordWrap w:val="0"/>
              <w:topLinePunct/>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5.3固体废物利用处置方式</w:t>
            </w:r>
          </w:p>
          <w:p w14:paraId="75433B49">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w:t>
            </w:r>
            <w:r>
              <w:rPr>
                <w:rFonts w:ascii="Times New Roman" w:hAnsi="Times New Roman" w:eastAsia="宋体" w:cs="Times New Roman"/>
                <w:sz w:val="24"/>
              </w:rPr>
              <w:t>项目</w:t>
            </w:r>
            <w:r>
              <w:rPr>
                <w:rFonts w:hint="eastAsia" w:ascii="Times New Roman" w:hAnsi="Times New Roman" w:eastAsia="宋体" w:cs="Times New Roman"/>
                <w:sz w:val="24"/>
              </w:rPr>
              <w:t>运营期</w:t>
            </w:r>
            <w:r>
              <w:rPr>
                <w:rFonts w:ascii="Times New Roman" w:hAnsi="Times New Roman" w:eastAsia="宋体" w:cs="Times New Roman"/>
                <w:sz w:val="24"/>
              </w:rPr>
              <w:t>固体废物利用处置方式评价</w:t>
            </w:r>
            <w:r>
              <w:rPr>
                <w:rFonts w:hint="eastAsia" w:ascii="Times New Roman" w:hAnsi="Times New Roman" w:eastAsia="宋体" w:cs="Times New Roman"/>
                <w:sz w:val="24"/>
              </w:rPr>
              <w:t>见</w:t>
            </w:r>
            <w:r>
              <w:rPr>
                <w:rFonts w:ascii="Times New Roman" w:hAnsi="Times New Roman" w:eastAsia="宋体" w:cs="Times New Roman"/>
                <w:sz w:val="24"/>
              </w:rPr>
              <w:t>表</w:t>
            </w:r>
            <w:r>
              <w:rPr>
                <w:rFonts w:hint="eastAsia" w:ascii="Times New Roman" w:hAnsi="Times New Roman" w:eastAsia="宋体" w:cs="Times New Roman"/>
                <w:sz w:val="24"/>
              </w:rPr>
              <w:t>4-37。</w:t>
            </w:r>
          </w:p>
          <w:p w14:paraId="2F466053">
            <w:pPr>
              <w:widowControl/>
              <w:wordWrap w:val="0"/>
              <w:topLinePunct/>
              <w:spacing w:line="360" w:lineRule="auto"/>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 xml:space="preserve"> 表4-37  </w:t>
            </w:r>
            <w:r>
              <w:rPr>
                <w:rFonts w:ascii="Times New Roman" w:hAnsi="Times New Roman" w:eastAsia="宋体" w:cs="宋体-PUA"/>
                <w:b/>
                <w:sz w:val="24"/>
                <w:shd w:val="clear" w:color="auto" w:fill="FFFFFF"/>
              </w:rPr>
              <w:t>本项目固体废物利用处置方式评价表</w:t>
            </w:r>
          </w:p>
          <w:tbl>
            <w:tblPr>
              <w:tblStyle w:val="76"/>
              <w:tblW w:w="499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3"/>
              <w:gridCol w:w="1319"/>
              <w:gridCol w:w="960"/>
              <w:gridCol w:w="1292"/>
              <w:gridCol w:w="1879"/>
              <w:gridCol w:w="724"/>
              <w:gridCol w:w="1456"/>
            </w:tblGrid>
            <w:tr w14:paraId="064C9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57" w:type="pct"/>
                  <w:tcBorders>
                    <w:tl2br w:val="nil"/>
                    <w:tr2bl w:val="nil"/>
                  </w:tcBorders>
                  <w:vAlign w:val="center"/>
                </w:tcPr>
                <w:p w14:paraId="39EA0CEB">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序号</w:t>
                  </w:r>
                </w:p>
              </w:tc>
              <w:tc>
                <w:tcPr>
                  <w:tcW w:w="819" w:type="pct"/>
                  <w:tcBorders>
                    <w:tl2br w:val="nil"/>
                    <w:tr2bl w:val="nil"/>
                  </w:tcBorders>
                  <w:vAlign w:val="center"/>
                </w:tcPr>
                <w:p w14:paraId="62FE791F">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固体废物</w:t>
                  </w:r>
                </w:p>
                <w:p w14:paraId="57798DBA">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名称</w:t>
                  </w:r>
                </w:p>
              </w:tc>
              <w:tc>
                <w:tcPr>
                  <w:tcW w:w="597" w:type="pct"/>
                  <w:tcBorders>
                    <w:tl2br w:val="nil"/>
                    <w:tr2bl w:val="nil"/>
                  </w:tcBorders>
                  <w:vAlign w:val="center"/>
                </w:tcPr>
                <w:p w14:paraId="6D3EEEE3">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产生量(t/a)</w:t>
                  </w:r>
                </w:p>
              </w:tc>
              <w:tc>
                <w:tcPr>
                  <w:tcW w:w="802" w:type="pct"/>
                  <w:tcBorders>
                    <w:tl2br w:val="nil"/>
                    <w:tr2bl w:val="nil"/>
                  </w:tcBorders>
                  <w:vAlign w:val="center"/>
                </w:tcPr>
                <w:p w14:paraId="225F5DE6">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贮存方式</w:t>
                  </w:r>
                </w:p>
              </w:tc>
              <w:tc>
                <w:tcPr>
                  <w:tcW w:w="1167" w:type="pct"/>
                  <w:tcBorders>
                    <w:tl2br w:val="nil"/>
                    <w:tr2bl w:val="nil"/>
                  </w:tcBorders>
                  <w:vAlign w:val="center"/>
                </w:tcPr>
                <w:p w14:paraId="3FA1F588">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利用处置方式</w:t>
                  </w:r>
                </w:p>
                <w:p w14:paraId="435525FE">
                  <w:pPr>
                    <w:adjustRightInd w:val="0"/>
                    <w:spacing w:line="240" w:lineRule="exact"/>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和去向</w:t>
                  </w:r>
                </w:p>
              </w:tc>
              <w:tc>
                <w:tcPr>
                  <w:tcW w:w="450" w:type="pct"/>
                  <w:tcBorders>
                    <w:tl2br w:val="nil"/>
                    <w:tr2bl w:val="nil"/>
                  </w:tcBorders>
                  <w:vAlign w:val="center"/>
                </w:tcPr>
                <w:p w14:paraId="349F54F8">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是否符合环保要求</w:t>
                  </w:r>
                </w:p>
              </w:tc>
              <w:tc>
                <w:tcPr>
                  <w:tcW w:w="904" w:type="pct"/>
                  <w:tcBorders>
                    <w:tl2br w:val="nil"/>
                    <w:tr2bl w:val="nil"/>
                  </w:tcBorders>
                  <w:vAlign w:val="center"/>
                </w:tcPr>
                <w:p w14:paraId="5F8B83CF">
                  <w:pPr>
                    <w:keepLines/>
                    <w:wordWrap w:val="0"/>
                    <w:topLinePunct/>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备注</w:t>
                  </w:r>
                </w:p>
              </w:tc>
            </w:tr>
            <w:tr w14:paraId="7B41B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57" w:type="pct"/>
                  <w:tcBorders>
                    <w:tl2br w:val="nil"/>
                    <w:tr2bl w:val="nil"/>
                  </w:tcBorders>
                  <w:vAlign w:val="center"/>
                </w:tcPr>
                <w:p w14:paraId="42EDFA8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b/>
                      <w:bCs/>
                      <w:szCs w:val="21"/>
                    </w:rPr>
                    <w:t>1</w:t>
                  </w:r>
                </w:p>
              </w:tc>
              <w:tc>
                <w:tcPr>
                  <w:tcW w:w="819" w:type="pct"/>
                  <w:tcBorders>
                    <w:tl2br w:val="nil"/>
                    <w:tr2bl w:val="nil"/>
                  </w:tcBorders>
                  <w:vAlign w:val="center"/>
                </w:tcPr>
                <w:p w14:paraId="3EB1601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除尘灰</w:t>
                  </w:r>
                </w:p>
              </w:tc>
              <w:tc>
                <w:tcPr>
                  <w:tcW w:w="597" w:type="pct"/>
                  <w:tcBorders>
                    <w:tl2br w:val="nil"/>
                    <w:tr2bl w:val="nil"/>
                  </w:tcBorders>
                  <w:vAlign w:val="center"/>
                </w:tcPr>
                <w:p w14:paraId="35C12C8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40.689</w:t>
                  </w:r>
                </w:p>
              </w:tc>
              <w:tc>
                <w:tcPr>
                  <w:tcW w:w="802" w:type="pct"/>
                  <w:tcBorders>
                    <w:tl2br w:val="nil"/>
                    <w:tr2bl w:val="nil"/>
                  </w:tcBorders>
                  <w:vAlign w:val="center"/>
                </w:tcPr>
                <w:p w14:paraId="4ED5F169">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进入半封闭废料仓（1#）</w:t>
                  </w:r>
                  <w:r>
                    <w:rPr>
                      <w:rFonts w:hint="eastAsia" w:ascii="Times New Roman" w:hAnsi="Times New Roman" w:eastAsia="宋体" w:cs="Times New Roman"/>
                      <w:szCs w:val="21"/>
                    </w:rPr>
                    <w:t>缓冲</w:t>
                  </w:r>
                  <w:r>
                    <w:rPr>
                      <w:rFonts w:ascii="Times New Roman" w:hAnsi="Times New Roman" w:eastAsia="宋体" w:cs="Times New Roman"/>
                      <w:szCs w:val="21"/>
                    </w:rPr>
                    <w:t>暂存，装袋</w:t>
                  </w:r>
                  <w:r>
                    <w:rPr>
                      <w:rFonts w:hint="eastAsia" w:ascii="Times New Roman" w:hAnsi="Times New Roman" w:eastAsia="宋体" w:cs="Times New Roman"/>
                      <w:szCs w:val="21"/>
                    </w:rPr>
                    <w:t>密封</w:t>
                  </w:r>
                  <w:r>
                    <w:rPr>
                      <w:rFonts w:ascii="Times New Roman" w:hAnsi="Times New Roman" w:eastAsia="宋体" w:cs="Times New Roman"/>
                      <w:szCs w:val="21"/>
                    </w:rPr>
                    <w:t>后转移至一般固体废物暂存间</w:t>
                  </w:r>
                  <w:r>
                    <w:rPr>
                      <w:rFonts w:hint="eastAsia" w:ascii="Times New Roman" w:hAnsi="Times New Roman" w:eastAsia="宋体" w:cs="Times New Roman"/>
                      <w:szCs w:val="21"/>
                    </w:rPr>
                    <w:t>暂存</w:t>
                  </w:r>
                </w:p>
              </w:tc>
              <w:tc>
                <w:tcPr>
                  <w:tcW w:w="1167" w:type="pct"/>
                  <w:tcBorders>
                    <w:tl2br w:val="nil"/>
                    <w:tr2bl w:val="nil"/>
                  </w:tcBorders>
                  <w:vAlign w:val="center"/>
                </w:tcPr>
                <w:p w14:paraId="009B3618">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外售至建材企业进行资源化综合利用</w:t>
                  </w:r>
                </w:p>
              </w:tc>
              <w:tc>
                <w:tcPr>
                  <w:tcW w:w="450" w:type="pct"/>
                  <w:tcBorders>
                    <w:tl2br w:val="nil"/>
                    <w:tr2bl w:val="nil"/>
                  </w:tcBorders>
                  <w:vAlign w:val="center"/>
                </w:tcPr>
                <w:p w14:paraId="5D76EE3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tcBorders>
                    <w:tl2br w:val="nil"/>
                    <w:tr2bl w:val="nil"/>
                  </w:tcBorders>
                  <w:vAlign w:val="center"/>
                </w:tcPr>
                <w:p w14:paraId="369E8AD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清运周期30天</w:t>
                  </w:r>
                </w:p>
              </w:tc>
            </w:tr>
            <w:tr w14:paraId="2DD88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57" w:type="pct"/>
                  <w:tcBorders>
                    <w:tl2br w:val="nil"/>
                    <w:tr2bl w:val="nil"/>
                  </w:tcBorders>
                  <w:vAlign w:val="center"/>
                </w:tcPr>
                <w:p w14:paraId="237D95B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b/>
                      <w:bCs/>
                      <w:szCs w:val="21"/>
                    </w:rPr>
                    <w:t>2</w:t>
                  </w:r>
                </w:p>
              </w:tc>
              <w:tc>
                <w:tcPr>
                  <w:tcW w:w="819" w:type="pct"/>
                  <w:tcBorders>
                    <w:tl2br w:val="nil"/>
                    <w:tr2bl w:val="nil"/>
                  </w:tcBorders>
                  <w:vAlign w:val="center"/>
                </w:tcPr>
                <w:p w14:paraId="23E656C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不合格石料</w:t>
                  </w:r>
                </w:p>
              </w:tc>
              <w:tc>
                <w:tcPr>
                  <w:tcW w:w="597" w:type="pct"/>
                  <w:tcBorders>
                    <w:tl2br w:val="nil"/>
                    <w:tr2bl w:val="nil"/>
                  </w:tcBorders>
                  <w:vAlign w:val="center"/>
                </w:tcPr>
                <w:p w14:paraId="569C6922">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24716.981</w:t>
                  </w:r>
                </w:p>
              </w:tc>
              <w:tc>
                <w:tcPr>
                  <w:tcW w:w="802" w:type="pct"/>
                  <w:tcBorders>
                    <w:tl2br w:val="nil"/>
                    <w:tr2bl w:val="nil"/>
                  </w:tcBorders>
                  <w:vAlign w:val="center"/>
                </w:tcPr>
                <w:p w14:paraId="497A30D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进入（2#）半封闭废料仓（接收仓）缓冲收集后，转运至原料堆棚分类堆放</w:t>
                  </w:r>
                </w:p>
              </w:tc>
              <w:tc>
                <w:tcPr>
                  <w:tcW w:w="1167" w:type="pct"/>
                  <w:tcBorders>
                    <w:tl2br w:val="nil"/>
                    <w:tr2bl w:val="nil"/>
                  </w:tcBorders>
                  <w:vAlign w:val="center"/>
                </w:tcPr>
                <w:p w14:paraId="6FAF983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定期由石料供应商回收，经破碎加工后重新利用</w:t>
                  </w:r>
                </w:p>
              </w:tc>
              <w:tc>
                <w:tcPr>
                  <w:tcW w:w="450" w:type="pct"/>
                  <w:tcBorders>
                    <w:tl2br w:val="nil"/>
                    <w:tr2bl w:val="nil"/>
                  </w:tcBorders>
                  <w:vAlign w:val="center"/>
                </w:tcPr>
                <w:p w14:paraId="3E7065F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tcBorders>
                    <w:tl2br w:val="nil"/>
                    <w:tr2bl w:val="nil"/>
                  </w:tcBorders>
                  <w:vAlign w:val="center"/>
                </w:tcPr>
                <w:p w14:paraId="79041CF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清运周期3天</w:t>
                  </w:r>
                </w:p>
              </w:tc>
            </w:tr>
            <w:tr w14:paraId="47FCE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57" w:type="pct"/>
                  <w:tcBorders>
                    <w:tl2br w:val="nil"/>
                    <w:tr2bl w:val="nil"/>
                  </w:tcBorders>
                  <w:vAlign w:val="center"/>
                </w:tcPr>
                <w:p w14:paraId="679D356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b/>
                      <w:bCs/>
                      <w:szCs w:val="21"/>
                    </w:rPr>
                    <w:t>3</w:t>
                  </w:r>
                </w:p>
              </w:tc>
              <w:tc>
                <w:tcPr>
                  <w:tcW w:w="819" w:type="pct"/>
                  <w:tcBorders>
                    <w:tl2br w:val="nil"/>
                    <w:tr2bl w:val="nil"/>
                  </w:tcBorders>
                  <w:vAlign w:val="center"/>
                </w:tcPr>
                <w:p w14:paraId="1516E0CD">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车辆冲洗废水沉淀池沉渣</w:t>
                  </w:r>
                </w:p>
              </w:tc>
              <w:tc>
                <w:tcPr>
                  <w:tcW w:w="597" w:type="pct"/>
                  <w:tcBorders>
                    <w:tl2br w:val="nil"/>
                    <w:tr2bl w:val="nil"/>
                  </w:tcBorders>
                  <w:vAlign w:val="center"/>
                </w:tcPr>
                <w:p w14:paraId="29BAE247">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0.08</w:t>
                  </w:r>
                </w:p>
              </w:tc>
              <w:tc>
                <w:tcPr>
                  <w:tcW w:w="802" w:type="pct"/>
                  <w:tcBorders>
                    <w:tl2br w:val="nil"/>
                    <w:tr2bl w:val="nil"/>
                  </w:tcBorders>
                  <w:vAlign w:val="center"/>
                </w:tcPr>
                <w:p w14:paraId="0187946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沉淀池</w:t>
                  </w:r>
                </w:p>
              </w:tc>
              <w:tc>
                <w:tcPr>
                  <w:tcW w:w="1167" w:type="pct"/>
                  <w:tcBorders>
                    <w:tl2br w:val="nil"/>
                    <w:tr2bl w:val="nil"/>
                  </w:tcBorders>
                  <w:vAlign w:val="center"/>
                </w:tcPr>
                <w:p w14:paraId="4955591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定期收集后，</w:t>
                  </w:r>
                  <w:r>
                    <w:rPr>
                      <w:rFonts w:ascii="Times New Roman" w:hAnsi="Times New Roman" w:eastAsia="宋体" w:cs="Times New Roman"/>
                      <w:szCs w:val="21"/>
                    </w:rPr>
                    <w:t>外售</w:t>
                  </w:r>
                  <w:r>
                    <w:rPr>
                      <w:rFonts w:hint="eastAsia" w:ascii="Times New Roman" w:hAnsi="Times New Roman" w:eastAsia="宋体" w:cs="Times New Roman"/>
                      <w:szCs w:val="21"/>
                    </w:rPr>
                    <w:t>至</w:t>
                  </w:r>
                  <w:r>
                    <w:rPr>
                      <w:rFonts w:ascii="Times New Roman" w:hAnsi="Times New Roman" w:eastAsia="宋体" w:cs="Times New Roman"/>
                      <w:szCs w:val="21"/>
                    </w:rPr>
                    <w:t>建材企业进行资源化</w:t>
                  </w:r>
                  <w:r>
                    <w:rPr>
                      <w:rFonts w:hint="eastAsia" w:ascii="Times New Roman" w:hAnsi="Times New Roman" w:eastAsia="宋体" w:cs="Times New Roman"/>
                      <w:szCs w:val="21"/>
                    </w:rPr>
                    <w:t>综合</w:t>
                  </w:r>
                  <w:r>
                    <w:rPr>
                      <w:rFonts w:ascii="Times New Roman" w:hAnsi="Times New Roman" w:eastAsia="宋体" w:cs="Times New Roman"/>
                      <w:szCs w:val="21"/>
                    </w:rPr>
                    <w:t>利用</w:t>
                  </w:r>
                </w:p>
              </w:tc>
              <w:tc>
                <w:tcPr>
                  <w:tcW w:w="450" w:type="pct"/>
                  <w:tcBorders>
                    <w:tl2br w:val="nil"/>
                    <w:tr2bl w:val="nil"/>
                  </w:tcBorders>
                  <w:vAlign w:val="center"/>
                </w:tcPr>
                <w:p w14:paraId="6A476BC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tcBorders>
                    <w:tl2br w:val="nil"/>
                    <w:tr2bl w:val="nil"/>
                  </w:tcBorders>
                  <w:vAlign w:val="center"/>
                </w:tcPr>
                <w:p w14:paraId="50FE548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 xml:space="preserve"> 清运周期30天</w:t>
                  </w:r>
                </w:p>
              </w:tc>
            </w:tr>
            <w:tr w14:paraId="295D7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57" w:type="pct"/>
                  <w:tcBorders>
                    <w:tl2br w:val="nil"/>
                    <w:tr2bl w:val="nil"/>
                  </w:tcBorders>
                  <w:vAlign w:val="center"/>
                </w:tcPr>
                <w:p w14:paraId="4C425A4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b/>
                      <w:bCs/>
                      <w:szCs w:val="21"/>
                    </w:rPr>
                    <w:t>4</w:t>
                  </w:r>
                </w:p>
              </w:tc>
              <w:tc>
                <w:tcPr>
                  <w:tcW w:w="819" w:type="pct"/>
                  <w:tcBorders>
                    <w:tl2br w:val="nil"/>
                    <w:tr2bl w:val="nil"/>
                  </w:tcBorders>
                  <w:vAlign w:val="center"/>
                </w:tcPr>
                <w:p w14:paraId="288E1F73">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废布袋、废滤芯</w:t>
                  </w:r>
                </w:p>
              </w:tc>
              <w:tc>
                <w:tcPr>
                  <w:tcW w:w="597" w:type="pct"/>
                  <w:tcBorders>
                    <w:tl2br w:val="nil"/>
                    <w:tr2bl w:val="nil"/>
                  </w:tcBorders>
                  <w:vAlign w:val="center"/>
                </w:tcPr>
                <w:p w14:paraId="6F59477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0.8</w:t>
                  </w:r>
                </w:p>
              </w:tc>
              <w:tc>
                <w:tcPr>
                  <w:tcW w:w="802" w:type="pct"/>
                  <w:tcBorders>
                    <w:tl2br w:val="nil"/>
                    <w:tr2bl w:val="nil"/>
                  </w:tcBorders>
                  <w:vAlign w:val="center"/>
                </w:tcPr>
                <w:p w14:paraId="4F1734A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一般固体废物暂存间暂存</w:t>
                  </w:r>
                </w:p>
              </w:tc>
              <w:tc>
                <w:tcPr>
                  <w:tcW w:w="1167" w:type="pct"/>
                  <w:tcBorders>
                    <w:tl2br w:val="nil"/>
                    <w:tr2bl w:val="nil"/>
                  </w:tcBorders>
                  <w:vAlign w:val="center"/>
                </w:tcPr>
                <w:p w14:paraId="484D0E0B">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经统一收集后，定期返回原供应商进行回收利用</w:t>
                  </w:r>
                </w:p>
              </w:tc>
              <w:tc>
                <w:tcPr>
                  <w:tcW w:w="450" w:type="pct"/>
                  <w:tcBorders>
                    <w:tl2br w:val="nil"/>
                    <w:tr2bl w:val="nil"/>
                  </w:tcBorders>
                  <w:vAlign w:val="center"/>
                </w:tcPr>
                <w:p w14:paraId="4F20881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tcBorders>
                    <w:tl2br w:val="nil"/>
                    <w:tr2bl w:val="nil"/>
                  </w:tcBorders>
                  <w:vAlign w:val="center"/>
                </w:tcPr>
                <w:p w14:paraId="2E12FC1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更换、清运周期60天</w:t>
                  </w:r>
                </w:p>
              </w:tc>
            </w:tr>
            <w:tr w14:paraId="20C4D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57" w:type="pct"/>
                  <w:tcBorders>
                    <w:tl2br w:val="nil"/>
                    <w:tr2bl w:val="nil"/>
                  </w:tcBorders>
                  <w:vAlign w:val="center"/>
                </w:tcPr>
                <w:p w14:paraId="02B403A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b/>
                      <w:bCs/>
                      <w:szCs w:val="21"/>
                    </w:rPr>
                    <w:t>5</w:t>
                  </w:r>
                </w:p>
              </w:tc>
              <w:tc>
                <w:tcPr>
                  <w:tcW w:w="819" w:type="pct"/>
                  <w:tcBorders>
                    <w:tl2br w:val="nil"/>
                    <w:tr2bl w:val="nil"/>
                  </w:tcBorders>
                  <w:vAlign w:val="center"/>
                </w:tcPr>
                <w:p w14:paraId="4EFDC7E2">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滴漏沥青及拌合残渣</w:t>
                  </w:r>
                </w:p>
              </w:tc>
              <w:tc>
                <w:tcPr>
                  <w:tcW w:w="597" w:type="pct"/>
                  <w:tcBorders>
                    <w:tl2br w:val="nil"/>
                    <w:tr2bl w:val="nil"/>
                  </w:tcBorders>
                  <w:vAlign w:val="center"/>
                </w:tcPr>
                <w:p w14:paraId="78EA003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1.5</w:t>
                  </w:r>
                </w:p>
              </w:tc>
              <w:tc>
                <w:tcPr>
                  <w:tcW w:w="802" w:type="pct"/>
                  <w:tcBorders>
                    <w:tl2br w:val="nil"/>
                    <w:tr2bl w:val="nil"/>
                  </w:tcBorders>
                  <w:vAlign w:val="center"/>
                </w:tcPr>
                <w:p w14:paraId="441844E2">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及时清理</w:t>
                  </w:r>
                </w:p>
              </w:tc>
              <w:tc>
                <w:tcPr>
                  <w:tcW w:w="1167" w:type="pct"/>
                  <w:tcBorders>
                    <w:tl2br w:val="nil"/>
                    <w:tr2bl w:val="nil"/>
                  </w:tcBorders>
                  <w:vAlign w:val="center"/>
                </w:tcPr>
                <w:p w14:paraId="72175D67">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经收集后直接返回沥青混凝土拌合生产工序中重复利用</w:t>
                  </w:r>
                </w:p>
              </w:tc>
              <w:tc>
                <w:tcPr>
                  <w:tcW w:w="450" w:type="pct"/>
                  <w:tcBorders>
                    <w:tl2br w:val="nil"/>
                    <w:tr2bl w:val="nil"/>
                  </w:tcBorders>
                  <w:vAlign w:val="center"/>
                </w:tcPr>
                <w:p w14:paraId="0567275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tcBorders>
                    <w:tl2br w:val="nil"/>
                    <w:tr2bl w:val="nil"/>
                  </w:tcBorders>
                  <w:vAlign w:val="center"/>
                </w:tcPr>
                <w:p w14:paraId="615BFB4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及时清理</w:t>
                  </w:r>
                </w:p>
              </w:tc>
            </w:tr>
            <w:tr w14:paraId="76CB2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57" w:type="pct"/>
                  <w:tcBorders>
                    <w:tl2br w:val="nil"/>
                    <w:tr2bl w:val="nil"/>
                  </w:tcBorders>
                  <w:vAlign w:val="center"/>
                </w:tcPr>
                <w:p w14:paraId="3A9E2FD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b/>
                      <w:bCs/>
                      <w:szCs w:val="21"/>
                    </w:rPr>
                    <w:t>6</w:t>
                  </w:r>
                </w:p>
              </w:tc>
              <w:tc>
                <w:tcPr>
                  <w:tcW w:w="819" w:type="pct"/>
                  <w:tcBorders>
                    <w:tl2br w:val="nil"/>
                    <w:tr2bl w:val="nil"/>
                  </w:tcBorders>
                  <w:vAlign w:val="center"/>
                </w:tcPr>
                <w:p w14:paraId="619F2B44">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职工生活垃圾</w:t>
                  </w:r>
                </w:p>
              </w:tc>
              <w:tc>
                <w:tcPr>
                  <w:tcW w:w="597" w:type="pct"/>
                  <w:tcBorders>
                    <w:tl2br w:val="nil"/>
                    <w:tr2bl w:val="nil"/>
                  </w:tcBorders>
                  <w:vAlign w:val="center"/>
                </w:tcPr>
                <w:p w14:paraId="324BC4D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0.45</w:t>
                  </w:r>
                </w:p>
              </w:tc>
              <w:tc>
                <w:tcPr>
                  <w:tcW w:w="802" w:type="pct"/>
                  <w:tcBorders>
                    <w:tl2br w:val="nil"/>
                    <w:tr2bl w:val="nil"/>
                  </w:tcBorders>
                  <w:vAlign w:val="center"/>
                </w:tcPr>
                <w:p w14:paraId="1FCA5C1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垃圾桶</w:t>
                  </w:r>
                </w:p>
              </w:tc>
              <w:tc>
                <w:tcPr>
                  <w:tcW w:w="1167" w:type="pct"/>
                  <w:tcBorders>
                    <w:tl2br w:val="nil"/>
                    <w:tr2bl w:val="nil"/>
                  </w:tcBorders>
                  <w:vAlign w:val="center"/>
                </w:tcPr>
                <w:p w14:paraId="313BDA37">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分类收集、避雨存放，由工业园区环卫定期清运</w:t>
                  </w:r>
                  <w:r>
                    <w:rPr>
                      <w:rFonts w:hint="eastAsia" w:ascii="Times New Roman" w:hAnsi="Times New Roman" w:eastAsia="宋体" w:cs="Times New Roman"/>
                      <w:szCs w:val="21"/>
                    </w:rPr>
                    <w:t>处置</w:t>
                  </w:r>
                </w:p>
              </w:tc>
              <w:tc>
                <w:tcPr>
                  <w:tcW w:w="450" w:type="pct"/>
                  <w:tcBorders>
                    <w:tl2br w:val="nil"/>
                    <w:tr2bl w:val="nil"/>
                  </w:tcBorders>
                  <w:vAlign w:val="center"/>
                </w:tcPr>
                <w:p w14:paraId="602F2D1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tcBorders>
                    <w:tl2br w:val="nil"/>
                    <w:tr2bl w:val="nil"/>
                  </w:tcBorders>
                  <w:vAlign w:val="center"/>
                </w:tcPr>
                <w:p w14:paraId="0CE2E07F">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不得长期堆存，清运周期7天</w:t>
                  </w:r>
                  <w:r>
                    <w:rPr>
                      <w:rFonts w:hint="eastAsia" w:ascii="Times New Roman" w:hAnsi="Times New Roman" w:eastAsia="宋体" w:cs="Times New Roman"/>
                      <w:szCs w:val="21"/>
                    </w:rPr>
                    <w:t>；夏季天气炎热时，增加清运频次</w:t>
                  </w:r>
                </w:p>
              </w:tc>
            </w:tr>
            <w:tr w14:paraId="579A5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57" w:type="pct"/>
                  <w:tcBorders>
                    <w:tl2br w:val="nil"/>
                    <w:tr2bl w:val="nil"/>
                  </w:tcBorders>
                  <w:vAlign w:val="center"/>
                </w:tcPr>
                <w:p w14:paraId="69AFBF0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b/>
                      <w:bCs/>
                      <w:szCs w:val="21"/>
                    </w:rPr>
                    <w:t>7</w:t>
                  </w:r>
                </w:p>
              </w:tc>
              <w:tc>
                <w:tcPr>
                  <w:tcW w:w="819" w:type="pct"/>
                  <w:tcBorders>
                    <w:tl2br w:val="nil"/>
                    <w:tr2bl w:val="nil"/>
                  </w:tcBorders>
                  <w:vAlign w:val="center"/>
                </w:tcPr>
                <w:p w14:paraId="1640DAE5">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食堂餐厨垃圾</w:t>
                  </w:r>
                </w:p>
              </w:tc>
              <w:tc>
                <w:tcPr>
                  <w:tcW w:w="597" w:type="pct"/>
                  <w:tcBorders>
                    <w:tl2br w:val="nil"/>
                    <w:tr2bl w:val="nil"/>
                  </w:tcBorders>
                  <w:vAlign w:val="center"/>
                </w:tcPr>
                <w:p w14:paraId="511A4B1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0.27</w:t>
                  </w:r>
                </w:p>
              </w:tc>
              <w:tc>
                <w:tcPr>
                  <w:tcW w:w="802" w:type="pct"/>
                  <w:tcBorders>
                    <w:tl2br w:val="nil"/>
                    <w:tr2bl w:val="nil"/>
                  </w:tcBorders>
                  <w:vAlign w:val="center"/>
                </w:tcPr>
                <w:p w14:paraId="78C0CC7C">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加盖收集桶</w:t>
                  </w:r>
                </w:p>
              </w:tc>
              <w:tc>
                <w:tcPr>
                  <w:tcW w:w="1167" w:type="pct"/>
                  <w:tcBorders>
                    <w:tl2br w:val="nil"/>
                    <w:tr2bl w:val="nil"/>
                  </w:tcBorders>
                  <w:vAlign w:val="center"/>
                </w:tcPr>
                <w:p w14:paraId="1771A44A">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收集后由工业园区指定专业单位定期集中清运、处置</w:t>
                  </w:r>
                </w:p>
              </w:tc>
              <w:tc>
                <w:tcPr>
                  <w:tcW w:w="450" w:type="pct"/>
                  <w:tcBorders>
                    <w:tl2br w:val="nil"/>
                    <w:tr2bl w:val="nil"/>
                  </w:tcBorders>
                  <w:vAlign w:val="center"/>
                </w:tcPr>
                <w:p w14:paraId="7DB86C7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tcBorders>
                    <w:tl2br w:val="nil"/>
                    <w:tr2bl w:val="nil"/>
                  </w:tcBorders>
                  <w:vAlign w:val="center"/>
                </w:tcPr>
                <w:p w14:paraId="272528C8">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不得长期堆存，清运周期3天</w:t>
                  </w:r>
                  <w:r>
                    <w:rPr>
                      <w:rFonts w:hint="eastAsia" w:ascii="Times New Roman" w:hAnsi="Times New Roman" w:eastAsia="宋体" w:cs="Times New Roman"/>
                      <w:szCs w:val="21"/>
                    </w:rPr>
                    <w:t>；夏季天气炎热时，应每日清运</w:t>
                  </w:r>
                </w:p>
              </w:tc>
            </w:tr>
            <w:tr w14:paraId="33E27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57" w:type="pct"/>
                  <w:tcBorders>
                    <w:tl2br w:val="nil"/>
                    <w:tr2bl w:val="nil"/>
                  </w:tcBorders>
                  <w:vAlign w:val="center"/>
                </w:tcPr>
                <w:p w14:paraId="5663994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b/>
                      <w:bCs/>
                      <w:szCs w:val="21"/>
                    </w:rPr>
                    <w:t>8</w:t>
                  </w:r>
                </w:p>
              </w:tc>
              <w:tc>
                <w:tcPr>
                  <w:tcW w:w="819" w:type="pct"/>
                  <w:tcBorders>
                    <w:tl2br w:val="nil"/>
                    <w:tr2bl w:val="nil"/>
                  </w:tcBorders>
                  <w:vAlign w:val="center"/>
                </w:tcPr>
                <w:p w14:paraId="45FB58F6">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隔油池、化粪池沉渣</w:t>
                  </w:r>
                </w:p>
              </w:tc>
              <w:tc>
                <w:tcPr>
                  <w:tcW w:w="597" w:type="pct"/>
                  <w:tcBorders>
                    <w:tl2br w:val="nil"/>
                    <w:tr2bl w:val="nil"/>
                  </w:tcBorders>
                  <w:vAlign w:val="center"/>
                </w:tcPr>
                <w:p w14:paraId="5690A2F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0.187</w:t>
                  </w:r>
                </w:p>
              </w:tc>
              <w:tc>
                <w:tcPr>
                  <w:tcW w:w="802" w:type="pct"/>
                  <w:tcBorders>
                    <w:tl2br w:val="nil"/>
                    <w:tr2bl w:val="nil"/>
                  </w:tcBorders>
                  <w:vAlign w:val="center"/>
                </w:tcPr>
                <w:p w14:paraId="05C9CB0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隔油池、沉淀池</w:t>
                  </w:r>
                </w:p>
              </w:tc>
              <w:tc>
                <w:tcPr>
                  <w:tcW w:w="1167" w:type="pct"/>
                  <w:tcBorders>
                    <w:tl2br w:val="nil"/>
                    <w:tr2bl w:val="nil"/>
                  </w:tcBorders>
                  <w:vAlign w:val="center"/>
                </w:tcPr>
                <w:p w14:paraId="297DD25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定期委托专业吸污车对化粪池进行抽吸清运；隔油池油脂及沉积混合物清掏后，交由具备专业餐厨废弃物处理能力的单位进行无害化处置；运营期，签订处置协议</w:t>
                  </w:r>
                </w:p>
              </w:tc>
              <w:tc>
                <w:tcPr>
                  <w:tcW w:w="450" w:type="pct"/>
                  <w:tcBorders>
                    <w:tl2br w:val="nil"/>
                    <w:tr2bl w:val="nil"/>
                  </w:tcBorders>
                  <w:vAlign w:val="center"/>
                </w:tcPr>
                <w:p w14:paraId="5AF9FE9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tcBorders>
                    <w:tl2br w:val="nil"/>
                    <w:tr2bl w:val="nil"/>
                  </w:tcBorders>
                  <w:vAlign w:val="center"/>
                </w:tcPr>
                <w:p w14:paraId="43A88AD2">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清运周期每季度1次</w:t>
                  </w:r>
                </w:p>
              </w:tc>
            </w:tr>
            <w:tr w14:paraId="22C0D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57" w:type="pct"/>
                  <w:tcBorders>
                    <w:tl2br w:val="nil"/>
                    <w:tr2bl w:val="nil"/>
                  </w:tcBorders>
                  <w:vAlign w:val="center"/>
                </w:tcPr>
                <w:p w14:paraId="12A1DB3F">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9</w:t>
                  </w:r>
                </w:p>
              </w:tc>
              <w:tc>
                <w:tcPr>
                  <w:tcW w:w="819" w:type="pct"/>
                  <w:tcBorders>
                    <w:tl2br w:val="nil"/>
                    <w:tr2bl w:val="nil"/>
                  </w:tcBorders>
                  <w:vAlign w:val="center"/>
                </w:tcPr>
                <w:p w14:paraId="6664CD4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废活性炭</w:t>
                  </w:r>
                </w:p>
              </w:tc>
              <w:tc>
                <w:tcPr>
                  <w:tcW w:w="597" w:type="pct"/>
                  <w:tcBorders>
                    <w:tl2br w:val="nil"/>
                    <w:tr2bl w:val="nil"/>
                  </w:tcBorders>
                  <w:vAlign w:val="center"/>
                </w:tcPr>
                <w:p w14:paraId="44245BB6">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12.708</w:t>
                  </w:r>
                </w:p>
              </w:tc>
              <w:tc>
                <w:tcPr>
                  <w:tcW w:w="802" w:type="pct"/>
                  <w:vMerge w:val="restart"/>
                  <w:tcBorders>
                    <w:tl2br w:val="nil"/>
                    <w:tr2bl w:val="nil"/>
                  </w:tcBorders>
                  <w:vAlign w:val="center"/>
                </w:tcPr>
                <w:p w14:paraId="41DF281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暂存于危废贮存点</w:t>
                  </w:r>
                </w:p>
              </w:tc>
              <w:tc>
                <w:tcPr>
                  <w:tcW w:w="1167" w:type="pct"/>
                  <w:vMerge w:val="restart"/>
                  <w:tcBorders>
                    <w:tl2br w:val="nil"/>
                    <w:tr2bl w:val="nil"/>
                  </w:tcBorders>
                  <w:vAlign w:val="center"/>
                </w:tcPr>
                <w:p w14:paraId="2910CA9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委托具备相应危险废物处置资质的危险废物处置单位定期清运，进行安全、无害化处置</w:t>
                  </w:r>
                </w:p>
              </w:tc>
              <w:tc>
                <w:tcPr>
                  <w:tcW w:w="450" w:type="pct"/>
                  <w:tcBorders>
                    <w:tl2br w:val="nil"/>
                    <w:tr2bl w:val="nil"/>
                  </w:tcBorders>
                  <w:vAlign w:val="center"/>
                </w:tcPr>
                <w:p w14:paraId="04383E4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vMerge w:val="restart"/>
                  <w:tcBorders>
                    <w:tl2br w:val="nil"/>
                    <w:tr2bl w:val="nil"/>
                  </w:tcBorders>
                  <w:vAlign w:val="center"/>
                </w:tcPr>
                <w:p w14:paraId="7CBABBB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不可随意倾倒；不可违法处置；不可与其他废物混放</w:t>
                  </w:r>
                </w:p>
              </w:tc>
            </w:tr>
            <w:tr w14:paraId="5C73D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57" w:type="pct"/>
                  <w:tcBorders>
                    <w:tl2br w:val="nil"/>
                    <w:tr2bl w:val="nil"/>
                  </w:tcBorders>
                  <w:vAlign w:val="center"/>
                </w:tcPr>
                <w:p w14:paraId="5A3C4E81">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10</w:t>
                  </w:r>
                </w:p>
              </w:tc>
              <w:tc>
                <w:tcPr>
                  <w:tcW w:w="819" w:type="pct"/>
                  <w:tcBorders>
                    <w:tl2br w:val="nil"/>
                    <w:tr2bl w:val="nil"/>
                  </w:tcBorders>
                  <w:vAlign w:val="center"/>
                </w:tcPr>
                <w:p w14:paraId="569C7FD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废焦油</w:t>
                  </w:r>
                </w:p>
              </w:tc>
              <w:tc>
                <w:tcPr>
                  <w:tcW w:w="597" w:type="pct"/>
                  <w:tcBorders>
                    <w:tl2br w:val="nil"/>
                    <w:tr2bl w:val="nil"/>
                  </w:tcBorders>
                  <w:vAlign w:val="center"/>
                </w:tcPr>
                <w:p w14:paraId="4CE0E77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0.8</w:t>
                  </w:r>
                </w:p>
              </w:tc>
              <w:tc>
                <w:tcPr>
                  <w:tcW w:w="802" w:type="pct"/>
                  <w:vMerge w:val="continue"/>
                  <w:tcBorders>
                    <w:tl2br w:val="nil"/>
                    <w:tr2bl w:val="nil"/>
                  </w:tcBorders>
                  <w:vAlign w:val="center"/>
                </w:tcPr>
                <w:p w14:paraId="6B1CBF4E">
                  <w:pPr>
                    <w:adjustRightInd w:val="0"/>
                    <w:spacing w:line="240" w:lineRule="exact"/>
                    <w:jc w:val="center"/>
                    <w:textAlignment w:val="baseline"/>
                    <w:rPr>
                      <w:rFonts w:ascii="Times New Roman" w:hAnsi="Times New Roman" w:eastAsia="宋体" w:cs="Times New Roman"/>
                      <w:szCs w:val="21"/>
                    </w:rPr>
                  </w:pPr>
                </w:p>
              </w:tc>
              <w:tc>
                <w:tcPr>
                  <w:tcW w:w="1167" w:type="pct"/>
                  <w:vMerge w:val="continue"/>
                  <w:tcBorders>
                    <w:tl2br w:val="nil"/>
                    <w:tr2bl w:val="nil"/>
                  </w:tcBorders>
                  <w:vAlign w:val="center"/>
                </w:tcPr>
                <w:p w14:paraId="48E415F0">
                  <w:pPr>
                    <w:adjustRightInd w:val="0"/>
                    <w:spacing w:line="240" w:lineRule="exact"/>
                    <w:jc w:val="center"/>
                    <w:textAlignment w:val="baseline"/>
                    <w:rPr>
                      <w:rFonts w:ascii="Times New Roman" w:hAnsi="Times New Roman" w:eastAsia="宋体" w:cs="Times New Roman"/>
                      <w:szCs w:val="21"/>
                    </w:rPr>
                  </w:pPr>
                </w:p>
              </w:tc>
              <w:tc>
                <w:tcPr>
                  <w:tcW w:w="450" w:type="pct"/>
                  <w:tcBorders>
                    <w:tl2br w:val="nil"/>
                    <w:tr2bl w:val="nil"/>
                  </w:tcBorders>
                  <w:vAlign w:val="center"/>
                </w:tcPr>
                <w:p w14:paraId="712A62B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vMerge w:val="continue"/>
                  <w:tcBorders>
                    <w:tl2br w:val="nil"/>
                    <w:tr2bl w:val="nil"/>
                  </w:tcBorders>
                  <w:vAlign w:val="center"/>
                </w:tcPr>
                <w:p w14:paraId="021AE29A">
                  <w:pPr>
                    <w:adjustRightInd w:val="0"/>
                    <w:spacing w:line="240" w:lineRule="exact"/>
                    <w:jc w:val="center"/>
                    <w:textAlignment w:val="baseline"/>
                    <w:rPr>
                      <w:rFonts w:ascii="Times New Roman" w:hAnsi="Times New Roman" w:eastAsia="宋体" w:cs="Times New Roman"/>
                      <w:szCs w:val="21"/>
                    </w:rPr>
                  </w:pPr>
                </w:p>
              </w:tc>
            </w:tr>
            <w:tr w14:paraId="5ABAA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57" w:type="pct"/>
                  <w:tcBorders>
                    <w:tl2br w:val="nil"/>
                    <w:tr2bl w:val="nil"/>
                  </w:tcBorders>
                  <w:vAlign w:val="center"/>
                </w:tcPr>
                <w:p w14:paraId="6411C41D">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11</w:t>
                  </w:r>
                </w:p>
              </w:tc>
              <w:tc>
                <w:tcPr>
                  <w:tcW w:w="819" w:type="pct"/>
                  <w:tcBorders>
                    <w:tl2br w:val="nil"/>
                    <w:tr2bl w:val="nil"/>
                  </w:tcBorders>
                  <w:vAlign w:val="center"/>
                </w:tcPr>
                <w:p w14:paraId="189D82E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洗涤塔循环废液</w:t>
                  </w:r>
                </w:p>
              </w:tc>
              <w:tc>
                <w:tcPr>
                  <w:tcW w:w="597" w:type="pct"/>
                  <w:tcBorders>
                    <w:tl2br w:val="nil"/>
                    <w:tr2bl w:val="nil"/>
                  </w:tcBorders>
                  <w:vAlign w:val="center"/>
                </w:tcPr>
                <w:p w14:paraId="6DB4714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10m</w:t>
                  </w:r>
                  <w:r>
                    <w:rPr>
                      <w:rFonts w:hint="eastAsia" w:ascii="Times New Roman" w:hAnsi="Times New Roman" w:eastAsia="宋体" w:cs="Times New Roman"/>
                      <w:szCs w:val="21"/>
                      <w:vertAlign w:val="superscript"/>
                    </w:rPr>
                    <w:t>3</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802" w:type="pct"/>
                  <w:vMerge w:val="continue"/>
                  <w:tcBorders>
                    <w:tl2br w:val="nil"/>
                    <w:tr2bl w:val="nil"/>
                  </w:tcBorders>
                  <w:vAlign w:val="center"/>
                </w:tcPr>
                <w:p w14:paraId="3E6A6698">
                  <w:pPr>
                    <w:adjustRightInd w:val="0"/>
                    <w:spacing w:line="240" w:lineRule="exact"/>
                    <w:jc w:val="center"/>
                    <w:textAlignment w:val="baseline"/>
                    <w:rPr>
                      <w:rFonts w:ascii="Times New Roman" w:hAnsi="Times New Roman" w:eastAsia="宋体" w:cs="Times New Roman"/>
                      <w:szCs w:val="21"/>
                    </w:rPr>
                  </w:pPr>
                </w:p>
              </w:tc>
              <w:tc>
                <w:tcPr>
                  <w:tcW w:w="1167" w:type="pct"/>
                  <w:vMerge w:val="continue"/>
                  <w:tcBorders>
                    <w:tl2br w:val="nil"/>
                    <w:tr2bl w:val="nil"/>
                  </w:tcBorders>
                  <w:vAlign w:val="center"/>
                </w:tcPr>
                <w:p w14:paraId="12EE98E2">
                  <w:pPr>
                    <w:adjustRightInd w:val="0"/>
                    <w:spacing w:line="240" w:lineRule="exact"/>
                    <w:jc w:val="center"/>
                    <w:textAlignment w:val="baseline"/>
                    <w:rPr>
                      <w:rFonts w:ascii="Times New Roman" w:hAnsi="Times New Roman" w:eastAsia="宋体" w:cs="Times New Roman"/>
                      <w:szCs w:val="21"/>
                    </w:rPr>
                  </w:pPr>
                </w:p>
              </w:tc>
              <w:tc>
                <w:tcPr>
                  <w:tcW w:w="450" w:type="pct"/>
                  <w:tcBorders>
                    <w:tl2br w:val="nil"/>
                    <w:tr2bl w:val="nil"/>
                  </w:tcBorders>
                  <w:vAlign w:val="center"/>
                </w:tcPr>
                <w:p w14:paraId="666BCA6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vMerge w:val="continue"/>
                  <w:tcBorders>
                    <w:tl2br w:val="nil"/>
                    <w:tr2bl w:val="nil"/>
                  </w:tcBorders>
                  <w:vAlign w:val="center"/>
                </w:tcPr>
                <w:p w14:paraId="5040A304">
                  <w:pPr>
                    <w:adjustRightInd w:val="0"/>
                    <w:spacing w:line="240" w:lineRule="exact"/>
                    <w:jc w:val="center"/>
                    <w:textAlignment w:val="baseline"/>
                    <w:rPr>
                      <w:rFonts w:ascii="Times New Roman" w:hAnsi="Times New Roman" w:eastAsia="宋体" w:cs="Times New Roman"/>
                      <w:szCs w:val="21"/>
                    </w:rPr>
                  </w:pPr>
                </w:p>
              </w:tc>
            </w:tr>
            <w:tr w14:paraId="5A454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57" w:type="pct"/>
                  <w:tcBorders>
                    <w:tl2br w:val="nil"/>
                    <w:tr2bl w:val="nil"/>
                  </w:tcBorders>
                  <w:vAlign w:val="center"/>
                </w:tcPr>
                <w:p w14:paraId="45073DB9">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12</w:t>
                  </w:r>
                </w:p>
              </w:tc>
              <w:tc>
                <w:tcPr>
                  <w:tcW w:w="819" w:type="pct"/>
                  <w:tcBorders>
                    <w:tl2br w:val="nil"/>
                    <w:tr2bl w:val="nil"/>
                  </w:tcBorders>
                  <w:vAlign w:val="center"/>
                </w:tcPr>
                <w:p w14:paraId="41D7AD9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洗涤塔沉淀焦油渣</w:t>
                  </w:r>
                </w:p>
              </w:tc>
              <w:tc>
                <w:tcPr>
                  <w:tcW w:w="597" w:type="pct"/>
                  <w:tcBorders>
                    <w:tl2br w:val="nil"/>
                    <w:tr2bl w:val="nil"/>
                  </w:tcBorders>
                  <w:vAlign w:val="center"/>
                </w:tcPr>
                <w:p w14:paraId="0A2B22F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w:t>
                  </w:r>
                </w:p>
              </w:tc>
              <w:tc>
                <w:tcPr>
                  <w:tcW w:w="802" w:type="pct"/>
                  <w:vMerge w:val="continue"/>
                  <w:tcBorders>
                    <w:tl2br w:val="nil"/>
                    <w:tr2bl w:val="nil"/>
                  </w:tcBorders>
                  <w:vAlign w:val="center"/>
                </w:tcPr>
                <w:p w14:paraId="33EA3966">
                  <w:pPr>
                    <w:adjustRightInd w:val="0"/>
                    <w:spacing w:line="240" w:lineRule="exact"/>
                    <w:jc w:val="center"/>
                    <w:textAlignment w:val="baseline"/>
                    <w:rPr>
                      <w:rFonts w:ascii="Times New Roman" w:hAnsi="Times New Roman" w:eastAsia="宋体" w:cs="Times New Roman"/>
                      <w:szCs w:val="21"/>
                    </w:rPr>
                  </w:pPr>
                </w:p>
              </w:tc>
              <w:tc>
                <w:tcPr>
                  <w:tcW w:w="1167" w:type="pct"/>
                  <w:vMerge w:val="continue"/>
                  <w:tcBorders>
                    <w:tl2br w:val="nil"/>
                    <w:tr2bl w:val="nil"/>
                  </w:tcBorders>
                  <w:vAlign w:val="center"/>
                </w:tcPr>
                <w:p w14:paraId="3BA8D0B4">
                  <w:pPr>
                    <w:adjustRightInd w:val="0"/>
                    <w:spacing w:line="240" w:lineRule="exact"/>
                    <w:jc w:val="center"/>
                    <w:textAlignment w:val="baseline"/>
                    <w:rPr>
                      <w:rFonts w:ascii="Times New Roman" w:hAnsi="Times New Roman" w:eastAsia="宋体" w:cs="Times New Roman"/>
                      <w:szCs w:val="21"/>
                    </w:rPr>
                  </w:pPr>
                </w:p>
              </w:tc>
              <w:tc>
                <w:tcPr>
                  <w:tcW w:w="450" w:type="pct"/>
                  <w:tcBorders>
                    <w:tl2br w:val="nil"/>
                    <w:tr2bl w:val="nil"/>
                  </w:tcBorders>
                  <w:vAlign w:val="center"/>
                </w:tcPr>
                <w:p w14:paraId="565B4A4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vMerge w:val="continue"/>
                  <w:tcBorders>
                    <w:tl2br w:val="nil"/>
                    <w:tr2bl w:val="nil"/>
                  </w:tcBorders>
                  <w:vAlign w:val="center"/>
                </w:tcPr>
                <w:p w14:paraId="073D6B2D">
                  <w:pPr>
                    <w:adjustRightInd w:val="0"/>
                    <w:spacing w:line="240" w:lineRule="exact"/>
                    <w:jc w:val="center"/>
                    <w:textAlignment w:val="baseline"/>
                    <w:rPr>
                      <w:rFonts w:ascii="Times New Roman" w:hAnsi="Times New Roman" w:eastAsia="宋体" w:cs="Times New Roman"/>
                      <w:szCs w:val="21"/>
                    </w:rPr>
                  </w:pPr>
                </w:p>
              </w:tc>
            </w:tr>
            <w:tr w14:paraId="218D3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57" w:type="pct"/>
                  <w:tcBorders>
                    <w:tl2br w:val="nil"/>
                    <w:tr2bl w:val="nil"/>
                  </w:tcBorders>
                  <w:vAlign w:val="center"/>
                </w:tcPr>
                <w:p w14:paraId="2ED8F03C">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13</w:t>
                  </w:r>
                </w:p>
              </w:tc>
              <w:tc>
                <w:tcPr>
                  <w:tcW w:w="819" w:type="pct"/>
                  <w:tcBorders>
                    <w:tl2br w:val="nil"/>
                    <w:tr2bl w:val="nil"/>
                  </w:tcBorders>
                  <w:vAlign w:val="center"/>
                </w:tcPr>
                <w:p w14:paraId="5384E8FD">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废导热油</w:t>
                  </w:r>
                </w:p>
              </w:tc>
              <w:tc>
                <w:tcPr>
                  <w:tcW w:w="597" w:type="pct"/>
                  <w:tcBorders>
                    <w:tl2br w:val="nil"/>
                    <w:tr2bl w:val="nil"/>
                  </w:tcBorders>
                  <w:vAlign w:val="center"/>
                </w:tcPr>
                <w:p w14:paraId="2CEB1EC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1.14</w:t>
                  </w:r>
                </w:p>
              </w:tc>
              <w:tc>
                <w:tcPr>
                  <w:tcW w:w="802" w:type="pct"/>
                  <w:tcBorders>
                    <w:tl2br w:val="nil"/>
                    <w:tr2bl w:val="nil"/>
                  </w:tcBorders>
                  <w:vAlign w:val="center"/>
                </w:tcPr>
                <w:p w14:paraId="5308B59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1167" w:type="pct"/>
                  <w:tcBorders>
                    <w:tl2br w:val="nil"/>
                    <w:tr2bl w:val="nil"/>
                  </w:tcBorders>
                  <w:vAlign w:val="center"/>
                </w:tcPr>
                <w:p w14:paraId="102A96D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废导热油经专用密闭防腐防渗容器规范收集后，由具备危险废物处置资质的单位直接回收处置，不在厂区内暂存</w:t>
                  </w:r>
                </w:p>
              </w:tc>
              <w:tc>
                <w:tcPr>
                  <w:tcW w:w="450" w:type="pct"/>
                  <w:tcBorders>
                    <w:tl2br w:val="nil"/>
                    <w:tr2bl w:val="nil"/>
                  </w:tcBorders>
                  <w:vAlign w:val="center"/>
                </w:tcPr>
                <w:p w14:paraId="4CEA09D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tcBorders>
                    <w:tl2br w:val="nil"/>
                    <w:tr2bl w:val="nil"/>
                  </w:tcBorders>
                  <w:vAlign w:val="center"/>
                </w:tcPr>
                <w:p w14:paraId="4988D62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不可随意倾倒；不可违法处置；不可与其他废物混放</w:t>
                  </w:r>
                </w:p>
              </w:tc>
            </w:tr>
            <w:tr w14:paraId="7389B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57" w:type="pct"/>
                  <w:tcBorders>
                    <w:tl2br w:val="nil"/>
                    <w:tr2bl w:val="nil"/>
                  </w:tcBorders>
                  <w:vAlign w:val="center"/>
                </w:tcPr>
                <w:p w14:paraId="41A9D53A">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14</w:t>
                  </w:r>
                </w:p>
              </w:tc>
              <w:tc>
                <w:tcPr>
                  <w:tcW w:w="819" w:type="pct"/>
                  <w:tcBorders>
                    <w:tl2br w:val="nil"/>
                    <w:tr2bl w:val="nil"/>
                  </w:tcBorders>
                  <w:vAlign w:val="center"/>
                </w:tcPr>
                <w:p w14:paraId="2B65F6A0">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szCs w:val="21"/>
                    </w:rPr>
                    <w:t>废矿物油</w:t>
                  </w:r>
                </w:p>
              </w:tc>
              <w:tc>
                <w:tcPr>
                  <w:tcW w:w="597" w:type="pct"/>
                  <w:tcBorders>
                    <w:tl2br w:val="nil"/>
                    <w:tr2bl w:val="nil"/>
                  </w:tcBorders>
                  <w:vAlign w:val="center"/>
                </w:tcPr>
                <w:p w14:paraId="01B328D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0.2</w:t>
                  </w:r>
                </w:p>
              </w:tc>
              <w:tc>
                <w:tcPr>
                  <w:tcW w:w="802" w:type="pct"/>
                  <w:tcBorders>
                    <w:tl2br w:val="nil"/>
                    <w:tr2bl w:val="nil"/>
                  </w:tcBorders>
                  <w:vAlign w:val="center"/>
                </w:tcPr>
                <w:p w14:paraId="5131F22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废矿物油经专用密闭防腐防渗容器规范收集后，暂存于危废贮存点，容器置于防渗托盘内</w:t>
                  </w:r>
                </w:p>
              </w:tc>
              <w:tc>
                <w:tcPr>
                  <w:tcW w:w="1167" w:type="pct"/>
                  <w:tcBorders>
                    <w:tl2br w:val="nil"/>
                    <w:tr2bl w:val="nil"/>
                  </w:tcBorders>
                  <w:vAlign w:val="center"/>
                </w:tcPr>
                <w:p w14:paraId="0424AC2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委托具备相应危险废物处置资质的危险废物处置单位定期清运，进行安全、无害化处置</w:t>
                  </w:r>
                </w:p>
              </w:tc>
              <w:tc>
                <w:tcPr>
                  <w:tcW w:w="450" w:type="pct"/>
                  <w:tcBorders>
                    <w:tl2br w:val="nil"/>
                    <w:tr2bl w:val="nil"/>
                  </w:tcBorders>
                  <w:vAlign w:val="center"/>
                </w:tcPr>
                <w:p w14:paraId="0DED0BB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vMerge w:val="restart"/>
                  <w:tcBorders>
                    <w:tl2br w:val="nil"/>
                    <w:tr2bl w:val="nil"/>
                  </w:tcBorders>
                  <w:vAlign w:val="center"/>
                </w:tcPr>
                <w:p w14:paraId="59E64FA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不可随意倾倒；不可违法处置；不可与其他废物混放</w:t>
                  </w:r>
                </w:p>
              </w:tc>
            </w:tr>
            <w:tr w14:paraId="3D978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57" w:type="pct"/>
                  <w:tcBorders>
                    <w:tl2br w:val="nil"/>
                    <w:tr2bl w:val="nil"/>
                  </w:tcBorders>
                  <w:vAlign w:val="center"/>
                </w:tcPr>
                <w:p w14:paraId="04DF34C7">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15</w:t>
                  </w:r>
                </w:p>
              </w:tc>
              <w:tc>
                <w:tcPr>
                  <w:tcW w:w="819" w:type="pct"/>
                  <w:tcBorders>
                    <w:tl2br w:val="nil"/>
                    <w:tr2bl w:val="nil"/>
                  </w:tcBorders>
                  <w:vAlign w:val="center"/>
                </w:tcPr>
                <w:p w14:paraId="01F85D7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废油桶</w:t>
                  </w:r>
                </w:p>
              </w:tc>
              <w:tc>
                <w:tcPr>
                  <w:tcW w:w="597" w:type="pct"/>
                  <w:tcBorders>
                    <w:tl2br w:val="nil"/>
                    <w:tr2bl w:val="nil"/>
                  </w:tcBorders>
                  <w:vAlign w:val="center"/>
                </w:tcPr>
                <w:p w14:paraId="3027117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0.02</w:t>
                  </w:r>
                </w:p>
              </w:tc>
              <w:tc>
                <w:tcPr>
                  <w:tcW w:w="802" w:type="pct"/>
                  <w:tcBorders>
                    <w:tl2br w:val="nil"/>
                    <w:tr2bl w:val="nil"/>
                  </w:tcBorders>
                  <w:vAlign w:val="center"/>
                </w:tcPr>
                <w:p w14:paraId="65D5337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废油桶分类收集，保持桶体完整并加盖，暂存于危废贮存点，放置于托盘之上</w:t>
                  </w:r>
                </w:p>
              </w:tc>
              <w:tc>
                <w:tcPr>
                  <w:tcW w:w="1167" w:type="pct"/>
                  <w:tcBorders>
                    <w:tl2br w:val="nil"/>
                    <w:tr2bl w:val="nil"/>
                  </w:tcBorders>
                  <w:vAlign w:val="center"/>
                </w:tcPr>
                <w:p w14:paraId="3F24EA3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委托具备相应危险废物处置资质的危险废物处置单位定期清运，进行安全、无害化处置</w:t>
                  </w:r>
                </w:p>
              </w:tc>
              <w:tc>
                <w:tcPr>
                  <w:tcW w:w="450" w:type="pct"/>
                  <w:tcBorders>
                    <w:tl2br w:val="nil"/>
                    <w:tr2bl w:val="nil"/>
                  </w:tcBorders>
                  <w:vAlign w:val="center"/>
                </w:tcPr>
                <w:p w14:paraId="06396B5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vMerge w:val="continue"/>
                  <w:tcBorders>
                    <w:tl2br w:val="nil"/>
                    <w:tr2bl w:val="nil"/>
                  </w:tcBorders>
                  <w:vAlign w:val="center"/>
                </w:tcPr>
                <w:p w14:paraId="63D6AC29">
                  <w:pPr>
                    <w:adjustRightInd w:val="0"/>
                    <w:spacing w:line="240" w:lineRule="exact"/>
                    <w:jc w:val="center"/>
                    <w:textAlignment w:val="baseline"/>
                    <w:rPr>
                      <w:rFonts w:ascii="Times New Roman" w:hAnsi="Times New Roman" w:eastAsia="宋体" w:cs="Times New Roman"/>
                      <w:szCs w:val="21"/>
                    </w:rPr>
                  </w:pPr>
                </w:p>
              </w:tc>
            </w:tr>
            <w:tr w14:paraId="36F41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257" w:type="pct"/>
                  <w:tcBorders>
                    <w:tl2br w:val="nil"/>
                    <w:tr2bl w:val="nil"/>
                  </w:tcBorders>
                  <w:vAlign w:val="center"/>
                </w:tcPr>
                <w:p w14:paraId="784C2475">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16</w:t>
                  </w:r>
                </w:p>
              </w:tc>
              <w:tc>
                <w:tcPr>
                  <w:tcW w:w="819" w:type="pct"/>
                  <w:tcBorders>
                    <w:tl2br w:val="nil"/>
                    <w:tr2bl w:val="nil"/>
                  </w:tcBorders>
                  <w:vAlign w:val="center"/>
                </w:tcPr>
                <w:p w14:paraId="1C1F86C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柴油储罐油泥</w:t>
                  </w:r>
                </w:p>
              </w:tc>
              <w:tc>
                <w:tcPr>
                  <w:tcW w:w="597" w:type="pct"/>
                  <w:tcBorders>
                    <w:tl2br w:val="nil"/>
                    <w:tr2bl w:val="nil"/>
                  </w:tcBorders>
                  <w:vAlign w:val="center"/>
                </w:tcPr>
                <w:p w14:paraId="0081637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0.04</w:t>
                  </w:r>
                </w:p>
              </w:tc>
              <w:tc>
                <w:tcPr>
                  <w:tcW w:w="802" w:type="pct"/>
                  <w:tcBorders>
                    <w:tl2br w:val="nil"/>
                    <w:tr2bl w:val="nil"/>
                  </w:tcBorders>
                  <w:vAlign w:val="center"/>
                </w:tcPr>
                <w:p w14:paraId="7ED1C5C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1167" w:type="pct"/>
                  <w:tcBorders>
                    <w:tl2br w:val="nil"/>
                    <w:tr2bl w:val="nil"/>
                  </w:tcBorders>
                  <w:vAlign w:val="center"/>
                </w:tcPr>
                <w:p w14:paraId="509CBB8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油泥清理后经专用密闭防腐防渗容器规范收集，由具备危险废物处置资质的单位直接回收处置，不在厂区内暂存</w:t>
                  </w:r>
                </w:p>
              </w:tc>
              <w:tc>
                <w:tcPr>
                  <w:tcW w:w="450" w:type="pct"/>
                  <w:tcBorders>
                    <w:tl2br w:val="nil"/>
                    <w:tr2bl w:val="nil"/>
                  </w:tcBorders>
                  <w:vAlign w:val="center"/>
                </w:tcPr>
                <w:p w14:paraId="27D23E5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vMerge w:val="continue"/>
                  <w:tcBorders>
                    <w:tl2br w:val="nil"/>
                    <w:tr2bl w:val="nil"/>
                  </w:tcBorders>
                  <w:vAlign w:val="center"/>
                </w:tcPr>
                <w:p w14:paraId="47AF9BAD">
                  <w:pPr>
                    <w:adjustRightInd w:val="0"/>
                    <w:spacing w:line="240" w:lineRule="exact"/>
                    <w:jc w:val="center"/>
                    <w:textAlignment w:val="baseline"/>
                    <w:rPr>
                      <w:rFonts w:ascii="Times New Roman" w:hAnsi="Times New Roman" w:eastAsia="宋体" w:cs="Times New Roman"/>
                      <w:szCs w:val="21"/>
                    </w:rPr>
                  </w:pPr>
                </w:p>
              </w:tc>
            </w:tr>
            <w:tr w14:paraId="3659C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57" w:type="pct"/>
                  <w:tcBorders>
                    <w:tl2br w:val="nil"/>
                    <w:tr2bl w:val="nil"/>
                  </w:tcBorders>
                  <w:vAlign w:val="center"/>
                </w:tcPr>
                <w:p w14:paraId="4DD10885">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17</w:t>
                  </w:r>
                </w:p>
              </w:tc>
              <w:tc>
                <w:tcPr>
                  <w:tcW w:w="819" w:type="pct"/>
                  <w:tcBorders>
                    <w:tl2br w:val="nil"/>
                    <w:tr2bl w:val="nil"/>
                  </w:tcBorders>
                  <w:vAlign w:val="center"/>
                </w:tcPr>
                <w:p w14:paraId="6740C78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废含油棉纱及废手套</w:t>
                  </w:r>
                </w:p>
              </w:tc>
              <w:tc>
                <w:tcPr>
                  <w:tcW w:w="597" w:type="pct"/>
                  <w:tcBorders>
                    <w:tl2br w:val="nil"/>
                    <w:tr2bl w:val="nil"/>
                  </w:tcBorders>
                  <w:vAlign w:val="center"/>
                </w:tcPr>
                <w:p w14:paraId="3B3397D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0.02</w:t>
                  </w:r>
                </w:p>
              </w:tc>
              <w:tc>
                <w:tcPr>
                  <w:tcW w:w="802" w:type="pct"/>
                  <w:tcBorders>
                    <w:tl2br w:val="nil"/>
                    <w:tr2bl w:val="nil"/>
                  </w:tcBorders>
                  <w:vAlign w:val="center"/>
                </w:tcPr>
                <w:p w14:paraId="4555722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采用密闭防腐防渗容器规范收集后，暂存于危废贮存点</w:t>
                  </w:r>
                </w:p>
              </w:tc>
              <w:tc>
                <w:tcPr>
                  <w:tcW w:w="1167" w:type="pct"/>
                  <w:tcBorders>
                    <w:tl2br w:val="nil"/>
                    <w:tr2bl w:val="nil"/>
                  </w:tcBorders>
                  <w:vAlign w:val="center"/>
                </w:tcPr>
                <w:p w14:paraId="7A09ABA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委托具备相应危险废物处置资质的危险废物处置单位定期清运，进行安全、无害化处置</w:t>
                  </w:r>
                </w:p>
              </w:tc>
              <w:tc>
                <w:tcPr>
                  <w:tcW w:w="450" w:type="pct"/>
                  <w:tcBorders>
                    <w:tl2br w:val="nil"/>
                    <w:tr2bl w:val="nil"/>
                  </w:tcBorders>
                  <w:vAlign w:val="center"/>
                </w:tcPr>
                <w:p w14:paraId="600AB27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符合</w:t>
                  </w:r>
                </w:p>
              </w:tc>
              <w:tc>
                <w:tcPr>
                  <w:tcW w:w="904" w:type="pct"/>
                  <w:tcBorders>
                    <w:tl2br w:val="nil"/>
                    <w:tr2bl w:val="nil"/>
                  </w:tcBorders>
                  <w:vAlign w:val="center"/>
                </w:tcPr>
                <w:p w14:paraId="156DF4E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不可随意倾倒；不可违法处置；不可与其他废物混放</w:t>
                  </w:r>
                </w:p>
              </w:tc>
            </w:tr>
          </w:tbl>
          <w:p w14:paraId="2DFC2296">
            <w:pPr>
              <w:wordWrap w:val="0"/>
              <w:topLinePunct/>
              <w:spacing w:line="360" w:lineRule="auto"/>
              <w:ind w:firstLine="482" w:firstLineChars="200"/>
              <w:rPr>
                <w:rFonts w:hint="eastAsia" w:ascii="Times New Roman" w:hAnsi="宋体" w:eastAsia="宋体" w:cs="Times New Roman"/>
                <w:b/>
                <w:sz w:val="24"/>
              </w:rPr>
            </w:pPr>
            <w:r>
              <w:rPr>
                <w:rFonts w:hint="eastAsia" w:ascii="Times New Roman" w:hAnsi="宋体" w:eastAsia="宋体" w:cs="Times New Roman"/>
                <w:b/>
                <w:sz w:val="24"/>
              </w:rPr>
              <w:t>5.4</w:t>
            </w:r>
            <w:r>
              <w:rPr>
                <w:rFonts w:ascii="Times New Roman" w:hAnsi="宋体" w:eastAsia="宋体" w:cs="Times New Roman"/>
                <w:b/>
                <w:sz w:val="24"/>
              </w:rPr>
              <w:t>固体废物污染防控技术要求</w:t>
            </w:r>
          </w:p>
          <w:p w14:paraId="3CC7AEB5">
            <w:pPr>
              <w:wordWrap w:val="0"/>
              <w:topLinePunct/>
              <w:spacing w:line="360" w:lineRule="auto"/>
              <w:ind w:firstLine="480" w:firstLineChars="200"/>
              <w:rPr>
                <w:rFonts w:ascii="Times New Roman" w:hAnsi="Times New Roman" w:eastAsia="宋体" w:cs="宋体"/>
                <w:kern w:val="0"/>
                <w:sz w:val="24"/>
                <w:szCs w:val="26"/>
                <w:lang w:bidi="ar"/>
              </w:rPr>
            </w:pPr>
            <w:r>
              <w:rPr>
                <w:rFonts w:hint="eastAsia" w:ascii="Times New Roman" w:hAnsi="Times New Roman" w:eastAsia="宋体" w:cs="宋体"/>
                <w:kern w:val="0"/>
                <w:sz w:val="24"/>
                <w:szCs w:val="26"/>
                <w:lang w:bidi="ar"/>
              </w:rPr>
              <w:t>(1)一般工业固体废物</w:t>
            </w:r>
          </w:p>
          <w:p w14:paraId="538623E7">
            <w:pPr>
              <w:wordWrap w:val="0"/>
              <w:topLinePunct/>
              <w:spacing w:line="360" w:lineRule="auto"/>
              <w:ind w:firstLine="480" w:firstLineChars="200"/>
              <w:rPr>
                <w:rFonts w:ascii="Times New Roman" w:hAnsi="Times New Roman" w:eastAsia="宋体" w:cs="宋体"/>
                <w:kern w:val="0"/>
                <w:sz w:val="24"/>
                <w:szCs w:val="26"/>
                <w:lang w:bidi="ar"/>
              </w:rPr>
            </w:pPr>
            <w:r>
              <w:rPr>
                <w:rFonts w:ascii="Times New Roman" w:hAnsi="Times New Roman" w:eastAsia="宋体" w:cs="宋体"/>
                <w:kern w:val="0"/>
                <w:sz w:val="24"/>
                <w:szCs w:val="26"/>
                <w:lang w:bidi="ar"/>
              </w:rPr>
              <w:t>本项目</w:t>
            </w:r>
            <w:r>
              <w:rPr>
                <w:rFonts w:hint="eastAsia" w:ascii="Times New Roman" w:hAnsi="Times New Roman" w:eastAsia="宋体" w:cs="宋体"/>
                <w:kern w:val="0"/>
                <w:sz w:val="24"/>
                <w:szCs w:val="26"/>
                <w:lang w:bidi="ar"/>
              </w:rPr>
              <w:t>拟</w:t>
            </w:r>
            <w:r>
              <w:rPr>
                <w:rFonts w:ascii="Times New Roman" w:hAnsi="Times New Roman" w:eastAsia="宋体" w:cs="宋体"/>
                <w:kern w:val="0"/>
                <w:sz w:val="24"/>
                <w:szCs w:val="26"/>
                <w:lang w:bidi="ar"/>
              </w:rPr>
              <w:t>在厂区</w:t>
            </w:r>
            <w:r>
              <w:rPr>
                <w:rFonts w:hint="eastAsia" w:ascii="Times New Roman" w:hAnsi="Times New Roman" w:eastAsia="宋体" w:cs="宋体"/>
                <w:kern w:val="0"/>
                <w:sz w:val="24"/>
                <w:szCs w:val="26"/>
                <w:lang w:bidi="ar"/>
              </w:rPr>
              <w:t>建设1间</w:t>
            </w:r>
            <w:r>
              <w:rPr>
                <w:rFonts w:ascii="Times New Roman" w:hAnsi="Times New Roman" w:eastAsia="宋体" w:cs="宋体"/>
                <w:kern w:val="0"/>
                <w:sz w:val="24"/>
                <w:szCs w:val="26"/>
                <w:lang w:bidi="ar"/>
              </w:rPr>
              <w:t>一般</w:t>
            </w:r>
            <w:r>
              <w:rPr>
                <w:rFonts w:hint="eastAsia" w:ascii="Times New Roman" w:hAnsi="Times New Roman" w:eastAsia="宋体" w:cs="宋体"/>
                <w:kern w:val="0"/>
                <w:sz w:val="24"/>
                <w:szCs w:val="26"/>
                <w:lang w:bidi="ar"/>
              </w:rPr>
              <w:t>工业固体废物</w:t>
            </w:r>
            <w:r>
              <w:rPr>
                <w:rFonts w:ascii="Times New Roman" w:hAnsi="Times New Roman" w:eastAsia="宋体" w:cs="宋体"/>
                <w:kern w:val="0"/>
                <w:sz w:val="24"/>
                <w:szCs w:val="26"/>
                <w:lang w:bidi="ar"/>
              </w:rPr>
              <w:t>暂存</w:t>
            </w:r>
            <w:r>
              <w:rPr>
                <w:rFonts w:hint="eastAsia" w:ascii="Times New Roman" w:hAnsi="Times New Roman" w:eastAsia="宋体" w:cs="宋体"/>
                <w:kern w:val="0"/>
                <w:sz w:val="24"/>
                <w:szCs w:val="26"/>
                <w:lang w:bidi="ar"/>
              </w:rPr>
              <w:t>间，占地面积20m</w:t>
            </w:r>
            <w:r>
              <w:rPr>
                <w:rFonts w:hint="eastAsia" w:ascii="Times New Roman" w:hAnsi="Times New Roman" w:eastAsia="宋体" w:cs="宋体"/>
                <w:kern w:val="0"/>
                <w:sz w:val="24"/>
                <w:szCs w:val="26"/>
                <w:vertAlign w:val="superscript"/>
                <w:lang w:bidi="ar"/>
              </w:rPr>
              <w:t>2</w:t>
            </w:r>
            <w:r>
              <w:rPr>
                <w:rFonts w:hint="eastAsia" w:ascii="Times New Roman" w:hAnsi="Times New Roman" w:eastAsia="宋体" w:cs="宋体"/>
                <w:kern w:val="0"/>
                <w:sz w:val="24"/>
                <w:szCs w:val="26"/>
                <w:lang w:bidi="ar"/>
              </w:rPr>
              <w:t>；建设单位应严格按照上述</w:t>
            </w:r>
            <w:r>
              <w:rPr>
                <w:rFonts w:ascii="Times New Roman" w:eastAsia="宋体"/>
                <w:sz w:val="24"/>
                <w:szCs w:val="20"/>
              </w:rPr>
              <w:t>固体废物利用处置方式</w:t>
            </w:r>
            <w:r>
              <w:rPr>
                <w:rFonts w:hint="eastAsia" w:ascii="Times New Roman" w:eastAsia="宋体"/>
                <w:sz w:val="24"/>
                <w:szCs w:val="20"/>
              </w:rPr>
              <w:t>对一般工业固体废物进行处置；</w:t>
            </w:r>
            <w:r>
              <w:rPr>
                <w:rFonts w:hint="eastAsia" w:ascii="Times New Roman" w:hAnsi="Times New Roman" w:eastAsia="宋体" w:cs="宋体"/>
                <w:kern w:val="0"/>
                <w:sz w:val="24"/>
                <w:szCs w:val="26"/>
                <w:lang w:bidi="ar"/>
              </w:rPr>
              <w:t>一般工业固体废物</w:t>
            </w:r>
            <w:r>
              <w:rPr>
                <w:rFonts w:ascii="Times New Roman" w:hAnsi="Times New Roman" w:eastAsia="宋体" w:cs="宋体"/>
                <w:kern w:val="0"/>
                <w:sz w:val="24"/>
                <w:szCs w:val="26"/>
                <w:lang w:bidi="ar"/>
              </w:rPr>
              <w:t>的贮存和处理</w:t>
            </w:r>
            <w:r>
              <w:rPr>
                <w:rFonts w:hint="eastAsia" w:ascii="Times New Roman" w:hAnsi="Times New Roman" w:eastAsia="宋体" w:cs="宋体"/>
                <w:kern w:val="0"/>
                <w:sz w:val="24"/>
                <w:szCs w:val="26"/>
                <w:lang w:bidi="ar"/>
              </w:rPr>
              <w:t>执行《一般工业固体废物贮存和填埋污染控制标准》（GB18599-2020）中</w:t>
            </w:r>
            <w:r>
              <w:rPr>
                <w:rFonts w:ascii="Times New Roman" w:hAnsi="Times New Roman" w:eastAsia="宋体" w:cs="宋体"/>
                <w:kern w:val="0"/>
                <w:sz w:val="24"/>
                <w:szCs w:val="26"/>
                <w:lang w:bidi="ar"/>
              </w:rPr>
              <w:t>相关要求</w:t>
            </w:r>
            <w:r>
              <w:rPr>
                <w:rFonts w:hint="eastAsia" w:ascii="Times New Roman" w:hAnsi="Times New Roman" w:eastAsia="宋体" w:cs="宋体"/>
                <w:kern w:val="0"/>
                <w:sz w:val="24"/>
                <w:szCs w:val="26"/>
                <w:lang w:bidi="ar"/>
              </w:rPr>
              <w:t>。</w:t>
            </w:r>
          </w:p>
          <w:p w14:paraId="5C1C4010">
            <w:pPr>
              <w:wordWrap w:val="0"/>
              <w:topLinePunct/>
              <w:spacing w:line="360" w:lineRule="auto"/>
              <w:ind w:firstLine="480" w:firstLineChars="200"/>
              <w:rPr>
                <w:rFonts w:ascii="Times New Roman" w:hAnsi="Times New Roman" w:eastAsia="宋体" w:cs="宋体"/>
                <w:kern w:val="0"/>
                <w:sz w:val="24"/>
                <w:szCs w:val="26"/>
                <w:lang w:bidi="ar"/>
              </w:rPr>
            </w:pPr>
            <w:r>
              <w:rPr>
                <w:rFonts w:hint="eastAsia" w:ascii="Times New Roman" w:hAnsi="Times New Roman" w:eastAsia="宋体" w:cs="宋体"/>
                <w:kern w:val="0"/>
                <w:sz w:val="24"/>
                <w:szCs w:val="26"/>
                <w:lang w:bidi="ar"/>
              </w:rPr>
              <w:t>根据《</w:t>
            </w:r>
            <w:r>
              <w:rPr>
                <w:rFonts w:ascii="Times New Roman" w:hAnsi="Times New Roman" w:eastAsia="宋体" w:cs="宋体"/>
                <w:kern w:val="0"/>
                <w:sz w:val="24"/>
                <w:szCs w:val="26"/>
                <w:lang w:bidi="ar"/>
              </w:rPr>
              <w:t>排污许可证申请与核发技术规范</w:t>
            </w:r>
            <w:r>
              <w:rPr>
                <w:rFonts w:hint="eastAsia" w:ascii="Times New Roman" w:hAnsi="Times New Roman" w:eastAsia="宋体" w:cs="宋体"/>
                <w:kern w:val="0"/>
                <w:sz w:val="24"/>
                <w:szCs w:val="26"/>
                <w:lang w:bidi="ar"/>
              </w:rPr>
              <w:t xml:space="preserve"> </w:t>
            </w:r>
            <w:r>
              <w:rPr>
                <w:rFonts w:ascii="Times New Roman" w:hAnsi="Times New Roman" w:eastAsia="宋体" w:cs="宋体"/>
                <w:kern w:val="0"/>
                <w:sz w:val="24"/>
                <w:szCs w:val="26"/>
                <w:lang w:bidi="ar"/>
              </w:rPr>
              <w:t>工业固体废物（试行）</w:t>
            </w:r>
            <w:r>
              <w:rPr>
                <w:rFonts w:hint="eastAsia" w:ascii="Times New Roman" w:hAnsi="Times New Roman" w:eastAsia="宋体" w:cs="宋体"/>
                <w:kern w:val="0"/>
                <w:sz w:val="24"/>
                <w:szCs w:val="26"/>
                <w:lang w:bidi="ar"/>
              </w:rPr>
              <w:t>》</w:t>
            </w:r>
            <w:r>
              <w:rPr>
                <w:rFonts w:ascii="Times New Roman" w:hAnsi="Times New Roman" w:eastAsia="宋体" w:cs="宋体"/>
                <w:kern w:val="0"/>
                <w:sz w:val="24"/>
                <w:szCs w:val="26"/>
                <w:lang w:bidi="ar"/>
              </w:rPr>
              <w:t>（HJ1200-2021）</w:t>
            </w:r>
            <w:r>
              <w:rPr>
                <w:rFonts w:hint="eastAsia" w:ascii="Times New Roman" w:hAnsi="Times New Roman" w:eastAsia="宋体" w:cs="宋体"/>
                <w:kern w:val="0"/>
                <w:sz w:val="24"/>
                <w:szCs w:val="26"/>
                <w:lang w:bidi="ar"/>
              </w:rPr>
              <w:t>，一般工业固体废物贮存/利用/处置污染防控技术要求具体如下：</w:t>
            </w:r>
          </w:p>
          <w:p w14:paraId="42D29C46">
            <w:pPr>
              <w:wordWrap w:val="0"/>
              <w:topLinePunct/>
              <w:spacing w:line="360" w:lineRule="auto"/>
              <w:ind w:firstLine="480" w:firstLineChars="200"/>
              <w:rPr>
                <w:rFonts w:ascii="Times New Roman" w:hAnsi="Times New Roman" w:eastAsia="宋体" w:cs="宋体"/>
                <w:color w:val="FF0000"/>
                <w:kern w:val="0"/>
                <w:sz w:val="24"/>
                <w:szCs w:val="26"/>
                <w:lang w:bidi="ar"/>
              </w:rPr>
            </w:pPr>
            <w:r>
              <w:rPr>
                <w:rFonts w:hint="eastAsia" w:ascii="Times New Roman" w:hAnsi="Times New Roman" w:eastAsia="宋体" w:cs="宋体"/>
                <w:kern w:val="0"/>
                <w:sz w:val="24"/>
                <w:szCs w:val="26"/>
                <w:lang w:bidi="ar"/>
              </w:rPr>
              <w:t>①采用库房、包装工具（罐、桶、包装袋等）贮存一般工业固体废物的，贮存过程应满足相应防渗漏、防雨淋、防扬尘等环境保护要求；自行贮存设施应采取防风、防雨、防晒的“三防”措施；</w:t>
            </w:r>
          </w:p>
          <w:p w14:paraId="24C209F0">
            <w:pPr>
              <w:wordWrap w:val="0"/>
              <w:topLinePunct/>
              <w:spacing w:line="360" w:lineRule="auto"/>
              <w:ind w:firstLine="480" w:firstLineChars="200"/>
              <w:rPr>
                <w:rFonts w:ascii="Times New Roman" w:hAnsi="Times New Roman" w:eastAsia="宋体" w:cs="宋体"/>
                <w:kern w:val="0"/>
                <w:sz w:val="24"/>
                <w:szCs w:val="26"/>
                <w:lang w:bidi="ar"/>
              </w:rPr>
            </w:pPr>
            <w:r>
              <w:rPr>
                <w:rFonts w:hint="eastAsia" w:ascii="Times New Roman" w:hAnsi="Times New Roman" w:eastAsia="宋体" w:cs="宋体"/>
                <w:kern w:val="0"/>
                <w:sz w:val="24"/>
                <w:szCs w:val="26"/>
                <w:lang w:bidi="ar"/>
              </w:rPr>
              <w:t>②危险废物和生活垃圾不得进入一般工业固体废物贮存场所；</w:t>
            </w:r>
          </w:p>
          <w:p w14:paraId="4304143A">
            <w:pPr>
              <w:wordWrap w:val="0"/>
              <w:topLinePunct/>
              <w:spacing w:line="360" w:lineRule="auto"/>
              <w:ind w:firstLine="480" w:firstLineChars="200"/>
              <w:rPr>
                <w:rFonts w:ascii="Times New Roman" w:hAnsi="Times New Roman" w:eastAsia="宋体" w:cs="宋体"/>
                <w:kern w:val="0"/>
                <w:sz w:val="24"/>
                <w:szCs w:val="26"/>
                <w:lang w:bidi="ar"/>
              </w:rPr>
            </w:pPr>
            <w:r>
              <w:rPr>
                <w:rFonts w:hint="eastAsia" w:ascii="Times New Roman" w:hAnsi="Times New Roman" w:eastAsia="宋体" w:cs="宋体"/>
                <w:kern w:val="0"/>
                <w:sz w:val="24"/>
                <w:szCs w:val="26"/>
                <w:lang w:bidi="ar"/>
              </w:rPr>
              <w:t>③不相容的一般工业固体废物应设置不同的分区进行贮存；贮存场所应设置清晰、完整的一般工业固体废物标志牌；贮存场的环境保护图形标志应符合GB 15562.2的规定，并应定期检查和维护；</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34"/>
              <w:gridCol w:w="4035"/>
            </w:tblGrid>
            <w:tr w14:paraId="0314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4" w:type="dxa"/>
                </w:tcPr>
                <w:p w14:paraId="0E88DF52">
                  <w:pPr>
                    <w:wordWrap w:val="0"/>
                    <w:topLinePunct/>
                    <w:spacing w:line="360" w:lineRule="auto"/>
                    <w:rPr>
                      <w:rFonts w:ascii="Times New Roman" w:hAnsi="Times New Roman" w:eastAsia="宋体" w:cs="宋体"/>
                      <w:color w:val="000000" w:themeColor="text1"/>
                      <w:kern w:val="0"/>
                      <w:sz w:val="24"/>
                      <w:szCs w:val="26"/>
                      <w:lang w:bidi="ar"/>
                      <w14:textFill>
                        <w14:solidFill>
                          <w14:schemeClr w14:val="tx1"/>
                        </w14:solidFill>
                      </w14:textFill>
                    </w:rPr>
                  </w:pPr>
                  <w:r>
                    <w:rPr>
                      <w:rFonts w:hint="eastAsia" w:ascii="Times New Roman" w:hAnsi="Times New Roman" w:eastAsia="宋体" w:cs="宋体"/>
                      <w:color w:val="000000" w:themeColor="text1"/>
                      <w:kern w:val="0"/>
                      <w:sz w:val="24"/>
                      <w:szCs w:val="26"/>
                      <w:lang w:bidi="ar"/>
                      <w14:textFill>
                        <w14:solidFill>
                          <w14:schemeClr w14:val="tx1"/>
                        </w14:solidFill>
                      </w14:textFill>
                    </w:rPr>
                    <w:drawing>
                      <wp:inline distT="0" distB="0" distL="114300" distR="114300">
                        <wp:extent cx="2416810" cy="1713865"/>
                        <wp:effectExtent l="0" t="0" r="21590" b="13335"/>
                        <wp:docPr id="15" name="图片 15" descr="c455b84b7d101e0fbf5359b8c9293e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455b84b7d101e0fbf5359b8c9293e73"/>
                                <pic:cNvPicPr>
                                  <a:picLocks noChangeAspect="1"/>
                                </pic:cNvPicPr>
                              </pic:nvPicPr>
                              <pic:blipFill>
                                <a:blip r:embed="rId25"/>
                                <a:stretch>
                                  <a:fillRect/>
                                </a:stretch>
                              </pic:blipFill>
                              <pic:spPr>
                                <a:xfrm>
                                  <a:off x="0" y="0"/>
                                  <a:ext cx="2416810" cy="1713865"/>
                                </a:xfrm>
                                <a:prstGeom prst="rect">
                                  <a:avLst/>
                                </a:prstGeom>
                              </pic:spPr>
                            </pic:pic>
                          </a:graphicData>
                        </a:graphic>
                      </wp:inline>
                    </w:drawing>
                  </w:r>
                </w:p>
              </w:tc>
              <w:tc>
                <w:tcPr>
                  <w:tcW w:w="4035" w:type="dxa"/>
                </w:tcPr>
                <w:p w14:paraId="33EC15FF">
                  <w:pPr>
                    <w:wordWrap w:val="0"/>
                    <w:topLinePunct/>
                    <w:spacing w:line="360" w:lineRule="auto"/>
                    <w:rPr>
                      <w:rFonts w:ascii="Times New Roman" w:hAnsi="Times New Roman" w:eastAsia="宋体" w:cs="宋体"/>
                      <w:color w:val="000000" w:themeColor="text1"/>
                      <w:kern w:val="0"/>
                      <w:sz w:val="24"/>
                      <w:szCs w:val="26"/>
                      <w:lang w:bidi="ar"/>
                      <w14:textFill>
                        <w14:solidFill>
                          <w14:schemeClr w14:val="tx1"/>
                        </w14:solidFill>
                      </w14:textFill>
                    </w:rPr>
                  </w:pPr>
                  <w:r>
                    <w:rPr>
                      <w:rFonts w:hint="eastAsia" w:ascii="Times New Roman" w:hAnsi="Times New Roman" w:eastAsia="宋体" w:cs="宋体"/>
                      <w:color w:val="000000" w:themeColor="text1"/>
                      <w:kern w:val="0"/>
                      <w:sz w:val="24"/>
                      <w:szCs w:val="26"/>
                      <w:lang w:bidi="ar"/>
                      <w14:textFill>
                        <w14:solidFill>
                          <w14:schemeClr w14:val="tx1"/>
                        </w14:solidFill>
                      </w14:textFill>
                    </w:rPr>
                    <w:drawing>
                      <wp:inline distT="0" distB="0" distL="114300" distR="114300">
                        <wp:extent cx="2419985" cy="1535430"/>
                        <wp:effectExtent l="0" t="0" r="18415" b="13970"/>
                        <wp:docPr id="16" name="图片 16" descr="d2b6e0b8b8ea4d99a7d69087aa96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d2b6e0b8b8ea4d99a7d69087aa966700"/>
                                <pic:cNvPicPr>
                                  <a:picLocks noChangeAspect="1"/>
                                </pic:cNvPicPr>
                              </pic:nvPicPr>
                              <pic:blipFill>
                                <a:blip r:embed="rId26"/>
                                <a:stretch>
                                  <a:fillRect/>
                                </a:stretch>
                              </pic:blipFill>
                              <pic:spPr>
                                <a:xfrm>
                                  <a:off x="0" y="0"/>
                                  <a:ext cx="2419985" cy="1535430"/>
                                </a:xfrm>
                                <a:prstGeom prst="rect">
                                  <a:avLst/>
                                </a:prstGeom>
                              </pic:spPr>
                            </pic:pic>
                          </a:graphicData>
                        </a:graphic>
                      </wp:inline>
                    </w:drawing>
                  </w:r>
                </w:p>
              </w:tc>
            </w:tr>
            <w:tr w14:paraId="04CF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4" w:type="dxa"/>
                </w:tcPr>
                <w:p w14:paraId="48D2EA8E">
                  <w:pPr>
                    <w:wordWrap w:val="0"/>
                    <w:topLinePunct/>
                    <w:spacing w:line="360" w:lineRule="auto"/>
                    <w:rPr>
                      <w:rFonts w:ascii="Times New Roman" w:hAnsi="Times New Roman" w:eastAsia="宋体" w:cs="宋体"/>
                      <w:color w:val="000000" w:themeColor="text1"/>
                      <w:kern w:val="0"/>
                      <w:sz w:val="24"/>
                      <w:szCs w:val="26"/>
                      <w:lang w:bidi="ar"/>
                      <w14:textFill>
                        <w14:solidFill>
                          <w14:schemeClr w14:val="tx1"/>
                        </w14:solidFill>
                      </w14:textFill>
                    </w:rPr>
                  </w:pPr>
                  <w:r>
                    <w:rPr>
                      <w:rFonts w:hint="eastAsia" w:ascii="Times New Roman" w:hAnsi="Times New Roman" w:eastAsia="宋体" w:cs="宋体"/>
                      <w:color w:val="000000" w:themeColor="text1"/>
                      <w:kern w:val="0"/>
                      <w:sz w:val="24"/>
                      <w:szCs w:val="26"/>
                      <w:lang w:bidi="ar"/>
                      <w14:textFill>
                        <w14:solidFill>
                          <w14:schemeClr w14:val="tx1"/>
                        </w14:solidFill>
                      </w14:textFill>
                    </w:rPr>
                    <w:drawing>
                      <wp:inline distT="0" distB="0" distL="114300" distR="114300">
                        <wp:extent cx="2419985" cy="1757045"/>
                        <wp:effectExtent l="0" t="0" r="18415" b="20955"/>
                        <wp:docPr id="17" name="图片 17" descr="a86fc35d20de222a22ea792c1eaa91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a86fc35d20de222a22ea792c1eaa911e"/>
                                <pic:cNvPicPr>
                                  <a:picLocks noChangeAspect="1"/>
                                </pic:cNvPicPr>
                              </pic:nvPicPr>
                              <pic:blipFill>
                                <a:blip r:embed="rId27"/>
                                <a:stretch>
                                  <a:fillRect/>
                                </a:stretch>
                              </pic:blipFill>
                              <pic:spPr>
                                <a:xfrm>
                                  <a:off x="0" y="0"/>
                                  <a:ext cx="2419985" cy="1757045"/>
                                </a:xfrm>
                                <a:prstGeom prst="rect">
                                  <a:avLst/>
                                </a:prstGeom>
                              </pic:spPr>
                            </pic:pic>
                          </a:graphicData>
                        </a:graphic>
                      </wp:inline>
                    </w:drawing>
                  </w:r>
                </w:p>
              </w:tc>
              <w:tc>
                <w:tcPr>
                  <w:tcW w:w="4035" w:type="dxa"/>
                </w:tcPr>
                <w:p w14:paraId="5E7D37BB">
                  <w:pPr>
                    <w:wordWrap w:val="0"/>
                    <w:topLinePunct/>
                    <w:spacing w:line="360" w:lineRule="auto"/>
                    <w:rPr>
                      <w:rFonts w:ascii="Times New Roman" w:hAnsi="Times New Roman" w:eastAsia="宋体" w:cs="宋体"/>
                      <w:color w:val="000000" w:themeColor="text1"/>
                      <w:kern w:val="0"/>
                      <w:sz w:val="24"/>
                      <w:szCs w:val="26"/>
                      <w:lang w:bidi="ar"/>
                      <w14:textFill>
                        <w14:solidFill>
                          <w14:schemeClr w14:val="tx1"/>
                        </w14:solidFill>
                      </w14:textFill>
                    </w:rPr>
                  </w:pPr>
                  <w:r>
                    <w:rPr>
                      <w:rFonts w:hint="eastAsia" w:ascii="Times New Roman" w:hAnsi="Times New Roman" w:eastAsia="宋体" w:cs="宋体"/>
                      <w:color w:val="000000" w:themeColor="text1"/>
                      <w:kern w:val="0"/>
                      <w:sz w:val="24"/>
                      <w:szCs w:val="26"/>
                      <w:lang w:bidi="ar"/>
                      <w14:textFill>
                        <w14:solidFill>
                          <w14:schemeClr w14:val="tx1"/>
                        </w14:solidFill>
                      </w14:textFill>
                    </w:rPr>
                    <w:drawing>
                      <wp:inline distT="0" distB="0" distL="114300" distR="114300">
                        <wp:extent cx="2423160" cy="1666875"/>
                        <wp:effectExtent l="0" t="0" r="15240" b="9525"/>
                        <wp:docPr id="24" name="图片 24" descr="4114123db6d5010dfd923f56c41e5d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4114123db6d5010dfd923f56c41e5d17"/>
                                <pic:cNvPicPr>
                                  <a:picLocks noChangeAspect="1"/>
                                </pic:cNvPicPr>
                              </pic:nvPicPr>
                              <pic:blipFill>
                                <a:blip r:embed="rId28"/>
                                <a:stretch>
                                  <a:fillRect/>
                                </a:stretch>
                              </pic:blipFill>
                              <pic:spPr>
                                <a:xfrm>
                                  <a:off x="0" y="0"/>
                                  <a:ext cx="2423160" cy="1666875"/>
                                </a:xfrm>
                                <a:prstGeom prst="rect">
                                  <a:avLst/>
                                </a:prstGeom>
                              </pic:spPr>
                            </pic:pic>
                          </a:graphicData>
                        </a:graphic>
                      </wp:inline>
                    </w:drawing>
                  </w:r>
                </w:p>
              </w:tc>
            </w:tr>
          </w:tbl>
          <w:p w14:paraId="388C6720">
            <w:pPr>
              <w:wordWrap w:val="0"/>
              <w:topLinePunct/>
              <w:spacing w:line="360" w:lineRule="auto"/>
              <w:ind w:firstLine="480" w:firstLineChars="200"/>
              <w:rPr>
                <w:rFonts w:ascii="Times New Roman" w:hAnsi="Times New Roman" w:eastAsia="宋体" w:cs="宋体"/>
                <w:kern w:val="0"/>
                <w:sz w:val="24"/>
                <w:szCs w:val="26"/>
                <w:lang w:bidi="ar"/>
              </w:rPr>
            </w:pPr>
            <w:r>
              <w:rPr>
                <w:rFonts w:hint="eastAsia" w:ascii="Times New Roman" w:hAnsi="Times New Roman" w:eastAsia="宋体" w:cs="宋体"/>
                <w:kern w:val="0"/>
                <w:sz w:val="24"/>
                <w:szCs w:val="26"/>
                <w:lang w:bidi="ar"/>
              </w:rPr>
              <w:t>④产生工业固体废物的单位应当建立健全工业固体废物产生、收集、贮存、运输、利用、处置全过程的污染环境防治责任制度，建立工业固体废物管理台账，如实记录产生工业固体废物的种类、数量、流向、贮存、利用、处置等信息，实现工业固体废物可追溯、可查询</w:t>
            </w:r>
            <w:r>
              <w:fldChar w:fldCharType="begin"/>
            </w:r>
            <w:r>
              <w:instrText xml:space="preserve"> HYPERLINK "https://sthjj.xlgl.gov.cn/sthjj/hjgl/trygfgl/ywzs/e2e92d99e008492f8d6062f3421db980/index.html" \t "/Users/zhangminen/Documents\x/_blank" </w:instrText>
            </w:r>
            <w:r>
              <w:fldChar w:fldCharType="separate"/>
            </w:r>
            <w:r>
              <w:fldChar w:fldCharType="end"/>
            </w:r>
            <w:r>
              <w:rPr>
                <w:rFonts w:hint="eastAsia" w:ascii="Times New Roman" w:hAnsi="Times New Roman" w:eastAsia="宋体" w:cs="宋体"/>
                <w:kern w:val="0"/>
                <w:sz w:val="24"/>
                <w:szCs w:val="26"/>
                <w:lang w:bidi="ar"/>
              </w:rPr>
              <w:t xml:space="preserve">。一般工业固体废物环境管理台账保存期限不得少于五年； </w:t>
            </w:r>
          </w:p>
          <w:p w14:paraId="7D5CF81C">
            <w:pPr>
              <w:wordWrap w:val="0"/>
              <w:topLinePunct/>
              <w:spacing w:line="360" w:lineRule="auto"/>
              <w:ind w:firstLine="480" w:firstLineChars="200"/>
              <w:rPr>
                <w:rFonts w:ascii="Times New Roman" w:hAnsi="Times New Roman" w:eastAsia="宋体" w:cs="宋体"/>
                <w:kern w:val="0"/>
                <w:sz w:val="24"/>
                <w:szCs w:val="26"/>
                <w:lang w:bidi="ar"/>
              </w:rPr>
            </w:pPr>
            <w:r>
              <w:rPr>
                <w:rFonts w:hint="eastAsia" w:ascii="Times New Roman" w:hAnsi="Times New Roman" w:eastAsia="宋体" w:cs="宋体"/>
                <w:kern w:val="0"/>
                <w:sz w:val="24"/>
                <w:szCs w:val="26"/>
                <w:lang w:bidi="ar"/>
              </w:rPr>
              <w:t xml:space="preserve">⑤产生工业固体废物的单位委托他人运输、利用、处置工业固体废物的，应当对受托方的主体资格和技术能力进行核实，依法签订书面合同，在合同中约定污染防治要求； </w:t>
            </w:r>
          </w:p>
          <w:p w14:paraId="72A740EE">
            <w:pPr>
              <w:wordWrap w:val="0"/>
              <w:topLinePunct/>
              <w:spacing w:line="360" w:lineRule="auto"/>
              <w:ind w:firstLine="480" w:firstLineChars="200"/>
              <w:rPr>
                <w:rFonts w:ascii="Times New Roman" w:hAnsi="Times New Roman" w:eastAsia="宋体" w:cs="宋体"/>
                <w:kern w:val="0"/>
                <w:sz w:val="24"/>
                <w:szCs w:val="26"/>
                <w:lang w:bidi="ar"/>
              </w:rPr>
            </w:pPr>
            <w:r>
              <w:rPr>
                <w:rFonts w:hint="eastAsia" w:ascii="Times New Roman" w:hAnsi="Times New Roman" w:eastAsia="宋体" w:cs="宋体"/>
                <w:kern w:val="0"/>
                <w:sz w:val="24"/>
                <w:szCs w:val="26"/>
                <w:lang w:bidi="ar"/>
              </w:rPr>
              <w:t xml:space="preserve">⑥产生、收集、贮存、运输、利用、处置固体废物的单位和其他生产经营者，应当采取防扬散、防流失、防渗漏或者其他防止环境污染的措施，不得擅自倾倒、堆放、丢弃、遗撒固体废物。 </w:t>
            </w:r>
          </w:p>
          <w:p w14:paraId="1572E6EB">
            <w:pPr>
              <w:wordWrap w:val="0"/>
              <w:topLinePunct/>
              <w:spacing w:line="360" w:lineRule="auto"/>
              <w:ind w:firstLine="480" w:firstLineChars="200"/>
              <w:rPr>
                <w:rFonts w:ascii="Times New Roman" w:hAnsi="Times New Roman" w:eastAsia="宋体" w:cs="宋体"/>
                <w:kern w:val="0"/>
                <w:sz w:val="24"/>
                <w:szCs w:val="26"/>
                <w:lang w:bidi="ar"/>
              </w:rPr>
            </w:pPr>
            <w:r>
              <w:rPr>
                <w:rFonts w:hint="eastAsia" w:ascii="Times New Roman" w:hAnsi="Times New Roman" w:eastAsia="宋体" w:cs="宋体"/>
                <w:kern w:val="0"/>
                <w:sz w:val="24"/>
                <w:szCs w:val="26"/>
                <w:lang w:bidi="ar"/>
              </w:rPr>
              <w:t>(2)危险废物</w:t>
            </w:r>
          </w:p>
          <w:p w14:paraId="741193F8">
            <w:pPr>
              <w:wordWrap w:val="0"/>
              <w:topLinePunct/>
              <w:spacing w:line="360" w:lineRule="auto"/>
              <w:ind w:firstLine="480" w:firstLineChars="200"/>
              <w:rPr>
                <w:rFonts w:ascii="Times New Roman" w:hAnsi="Times New Roman" w:eastAsia="宋体" w:cs="宋体"/>
                <w:kern w:val="0"/>
                <w:sz w:val="24"/>
                <w:szCs w:val="26"/>
                <w:lang w:bidi="ar"/>
              </w:rPr>
            </w:pPr>
            <w:r>
              <w:rPr>
                <w:rFonts w:ascii="Times New Roman" w:hAnsi="Times New Roman" w:eastAsia="宋体" w:cs="宋体"/>
                <w:kern w:val="0"/>
                <w:sz w:val="24"/>
                <w:szCs w:val="26"/>
                <w:lang w:bidi="ar"/>
              </w:rPr>
              <w:t>本项目</w:t>
            </w:r>
            <w:r>
              <w:rPr>
                <w:rFonts w:hint="eastAsia" w:ascii="Times New Roman" w:hAnsi="Times New Roman" w:eastAsia="宋体" w:cs="宋体"/>
                <w:kern w:val="0"/>
                <w:sz w:val="24"/>
                <w:szCs w:val="26"/>
                <w:lang w:bidi="ar"/>
              </w:rPr>
              <w:t>拟建设1座危险废物贮存点，占地面积35m</w:t>
            </w:r>
            <w:r>
              <w:rPr>
                <w:rFonts w:hint="eastAsia" w:ascii="Times New Roman" w:hAnsi="Times New Roman" w:eastAsia="宋体" w:cs="宋体"/>
                <w:kern w:val="0"/>
                <w:sz w:val="24"/>
                <w:szCs w:val="26"/>
                <w:vertAlign w:val="superscript"/>
                <w:lang w:bidi="ar"/>
              </w:rPr>
              <w:t>2</w:t>
            </w:r>
            <w:r>
              <w:rPr>
                <w:rFonts w:hint="eastAsia" w:ascii="Times New Roman" w:hAnsi="Times New Roman" w:eastAsia="宋体" w:cs="宋体"/>
                <w:kern w:val="0"/>
                <w:sz w:val="24"/>
                <w:szCs w:val="26"/>
                <w:lang w:bidi="ar"/>
              </w:rPr>
              <w:t>。危险废物贮存污染控制要求、贮存设施选址和污染控制要求、容器和包装物污染控制要求、贮存过程污染控制要求等执行《危险废物贮存污染控制标准》（GB18597-2023）：</w:t>
            </w:r>
          </w:p>
          <w:p w14:paraId="61667FB0">
            <w:pPr>
              <w:wordWrap w:val="0"/>
              <w:topLinePunct/>
              <w:spacing w:line="360" w:lineRule="auto"/>
              <w:ind w:firstLine="480" w:firstLineChars="200"/>
              <w:rPr>
                <w:rFonts w:ascii="Times New Roman" w:hAnsi="Times New Roman" w:eastAsia="宋体" w:cs="宋体"/>
                <w:color w:val="FF0000"/>
                <w:kern w:val="0"/>
                <w:sz w:val="24"/>
                <w:szCs w:val="26"/>
                <w:lang w:bidi="ar"/>
              </w:rPr>
            </w:pPr>
            <w:r>
              <w:rPr>
                <w:rFonts w:hint="eastAsia" w:ascii="Times New Roman" w:hAnsi="Times New Roman" w:eastAsia="宋体" w:cs="宋体"/>
                <w:kern w:val="0"/>
                <w:sz w:val="24"/>
                <w:szCs w:val="26"/>
                <w:lang w:bidi="ar"/>
              </w:rPr>
              <w:t>①贮存设施应根据危险废物的形态、物理化学性质、包装形式和污染物迁移途径，采取必要的防风、防晒、防雨、防漏、防渗、防腐以及其他环境污染防治措施，不应露天堆放危险废物；</w:t>
            </w:r>
          </w:p>
          <w:p w14:paraId="343D60AD">
            <w:pPr>
              <w:wordWrap w:val="0"/>
              <w:topLinePunct/>
              <w:spacing w:line="360" w:lineRule="auto"/>
              <w:ind w:firstLine="480" w:firstLineChars="200"/>
              <w:rPr>
                <w:rFonts w:ascii="Times New Roman" w:hAnsi="Times New Roman" w:eastAsia="宋体" w:cs="宋体"/>
                <w:kern w:val="0"/>
                <w:sz w:val="24"/>
                <w:szCs w:val="26"/>
                <w:lang w:bidi="ar"/>
              </w:rPr>
            </w:pPr>
            <w:r>
              <w:rPr>
                <w:rFonts w:hint="eastAsia" w:ascii="Times New Roman" w:hAnsi="Times New Roman" w:eastAsia="宋体" w:cs="宋体"/>
                <w:kern w:val="0"/>
                <w:sz w:val="24"/>
                <w:szCs w:val="26"/>
                <w:lang w:bidi="ar"/>
              </w:rPr>
              <w:t>②危险废物收集装于密闭的包装容器或优质的塑料包装袋，包装容器和包装袋应选用与装盛物相容的材料制成，容器或包装袋表面应粘贴危险废物标识，禁止与一般工业固体废物和生活垃圾混合；</w:t>
            </w:r>
          </w:p>
          <w:p w14:paraId="31B2893E">
            <w:pPr>
              <w:wordWrap w:val="0"/>
              <w:topLinePunct/>
              <w:spacing w:line="360" w:lineRule="auto"/>
              <w:ind w:firstLine="480" w:firstLineChars="200"/>
              <w:rPr>
                <w:rFonts w:ascii="Times New Roman" w:hAnsi="Times New Roman" w:eastAsia="宋体" w:cs="宋体"/>
                <w:kern w:val="0"/>
                <w:sz w:val="24"/>
                <w:szCs w:val="26"/>
                <w:lang w:bidi="ar"/>
              </w:rPr>
            </w:pPr>
            <w:r>
              <w:rPr>
                <w:rFonts w:hint="eastAsia" w:ascii="Times New Roman" w:hAnsi="Times New Roman" w:eastAsia="宋体" w:cs="宋体"/>
                <w:kern w:val="0"/>
                <w:sz w:val="24"/>
                <w:szCs w:val="26"/>
                <w:lang w:bidi="ar"/>
              </w:rPr>
              <w:t>③贮存设施应根据危险废物的类别、数量、形态、物理化学性质和污染防治等要求设置必要的贮存分区，避免不相容的危险废物接触、混合</w:t>
            </w:r>
            <w:r>
              <w:fldChar w:fldCharType="begin"/>
            </w:r>
            <w:r>
              <w:instrText xml:space="preserve"> HYPERLINK "https://wechat.estsglobal.com/wechat/law_contents/223" \t "/Users/zhangminen/Documents\x/_blank" </w:instrText>
            </w:r>
            <w:r>
              <w:fldChar w:fldCharType="separate"/>
            </w:r>
            <w:r>
              <w:fldChar w:fldCharType="end"/>
            </w:r>
            <w:r>
              <w:rPr>
                <w:rFonts w:hint="eastAsia" w:ascii="Times New Roman" w:hAnsi="Times New Roman" w:eastAsia="宋体" w:cs="宋体"/>
                <w:kern w:val="0"/>
                <w:sz w:val="24"/>
                <w:szCs w:val="26"/>
                <w:lang w:bidi="ar"/>
              </w:rPr>
              <w:t>。危险废物贮存点内不同贮存分区之间应采取隔离措施，隔离措施可根据危险废物特性采用过道、隔板或隔墙等方式；</w:t>
            </w:r>
          </w:p>
          <w:p w14:paraId="2947D270">
            <w:pPr>
              <w:wordWrap w:val="0"/>
              <w:topLinePunct/>
              <w:spacing w:line="360" w:lineRule="auto"/>
              <w:ind w:firstLine="480" w:firstLineChars="200"/>
              <w:rPr>
                <w:rFonts w:ascii="Times New Roman" w:hAnsi="Times New Roman" w:eastAsia="宋体" w:cs="宋体"/>
                <w:kern w:val="0"/>
                <w:sz w:val="24"/>
                <w:szCs w:val="26"/>
                <w:lang w:bidi="ar"/>
              </w:rPr>
            </w:pPr>
            <w:r>
              <w:rPr>
                <w:rFonts w:hint="eastAsia" w:ascii="Times New Roman" w:hAnsi="Times New Roman" w:eastAsia="宋体" w:cs="宋体"/>
                <w:kern w:val="0"/>
                <w:sz w:val="24"/>
                <w:szCs w:val="26"/>
                <w:lang w:bidi="ar"/>
              </w:rPr>
              <w:t>④贮存设施或贮存分区内地面、墙面裙脚、堵截泄漏的围堰、接触危险废物的隔板和墙体等应采用坚固的材料建造，表面无裂缝；</w:t>
            </w:r>
          </w:p>
          <w:p w14:paraId="4360CE08">
            <w:pPr>
              <w:wordWrap w:val="0"/>
              <w:topLinePunct/>
              <w:spacing w:line="360" w:lineRule="auto"/>
              <w:ind w:firstLine="480" w:firstLineChars="200"/>
              <w:rPr>
                <w:rFonts w:ascii="Times New Roman" w:hAnsi="Times New Roman" w:eastAsia="宋体" w:cs="宋体"/>
                <w:color w:val="FF0000"/>
                <w:kern w:val="0"/>
                <w:sz w:val="24"/>
                <w:szCs w:val="26"/>
                <w:lang w:bidi="ar"/>
              </w:rPr>
            </w:pPr>
            <w:r>
              <w:rPr>
                <w:rFonts w:hint="eastAsia" w:ascii="Times New Roman" w:hAnsi="Times New Roman" w:eastAsia="宋体" w:cs="宋体"/>
                <w:kern w:val="0"/>
                <w:sz w:val="24"/>
                <w:szCs w:val="26"/>
                <w:lang w:bidi="ar"/>
              </w:rPr>
              <w:t>⑤危险废物贮存点、容器和包装物应按HJ1276要求设置危险废物贮存设施或场所标志、危险废物贮存分区标志和危险废物标签等危险废物识别标志（危险废物贮存设施必须按照（GB15562.2）的规定设置警示标志）；</w:t>
            </w:r>
          </w:p>
          <w:tbl>
            <w:tblPr>
              <w:tblStyle w:val="29"/>
              <w:tblW w:w="80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34"/>
              <w:gridCol w:w="4035"/>
            </w:tblGrid>
            <w:tr w14:paraId="68CCC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4" w:hRule="atLeast"/>
              </w:trPr>
              <w:tc>
                <w:tcPr>
                  <w:tcW w:w="4034" w:type="dxa"/>
                </w:tcPr>
                <w:p w14:paraId="73CCDD59">
                  <w:pPr>
                    <w:wordWrap w:val="0"/>
                    <w:topLinePunct/>
                    <w:spacing w:line="360" w:lineRule="auto"/>
                    <w:rPr>
                      <w:rFonts w:ascii="Times New Roman" w:hAnsi="Times New Roman" w:eastAsia="宋体" w:cs="宋体"/>
                      <w:color w:val="FF0000"/>
                      <w:kern w:val="0"/>
                      <w:sz w:val="24"/>
                      <w:szCs w:val="26"/>
                      <w:lang w:bidi="ar"/>
                    </w:rPr>
                  </w:pPr>
                  <w:r>
                    <w:rPr>
                      <w:rFonts w:hint="eastAsia" w:ascii="Times New Roman" w:hAnsi="Times New Roman" w:eastAsia="宋体" w:cs="宋体"/>
                      <w:color w:val="FF0000"/>
                      <w:kern w:val="0"/>
                      <w:sz w:val="24"/>
                      <w:szCs w:val="26"/>
                      <w:lang w:bidi="ar"/>
                    </w:rPr>
                    <w:drawing>
                      <wp:anchor distT="0" distB="0" distL="114300" distR="114300" simplePos="0" relativeHeight="251670528" behindDoc="1" locked="0" layoutInCell="1" allowOverlap="1">
                        <wp:simplePos x="0" y="0"/>
                        <wp:positionH relativeFrom="column">
                          <wp:posOffset>10795</wp:posOffset>
                        </wp:positionH>
                        <wp:positionV relativeFrom="paragraph">
                          <wp:posOffset>114935</wp:posOffset>
                        </wp:positionV>
                        <wp:extent cx="2416175" cy="1536065"/>
                        <wp:effectExtent l="0" t="0" r="22225" b="13335"/>
                        <wp:wrapNone/>
                        <wp:docPr id="25" name="图片 25" descr="2ad0ba7b11094fa867214807b05fc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2ad0ba7b11094fa867214807b05fc820"/>
                                <pic:cNvPicPr>
                                  <a:picLocks noChangeAspect="1"/>
                                </pic:cNvPicPr>
                              </pic:nvPicPr>
                              <pic:blipFill>
                                <a:blip r:embed="rId29"/>
                                <a:stretch>
                                  <a:fillRect/>
                                </a:stretch>
                              </pic:blipFill>
                              <pic:spPr>
                                <a:xfrm>
                                  <a:off x="0" y="0"/>
                                  <a:ext cx="2416175" cy="1536065"/>
                                </a:xfrm>
                                <a:prstGeom prst="rect">
                                  <a:avLst/>
                                </a:prstGeom>
                              </pic:spPr>
                            </pic:pic>
                          </a:graphicData>
                        </a:graphic>
                      </wp:anchor>
                    </w:drawing>
                  </w:r>
                </w:p>
              </w:tc>
              <w:tc>
                <w:tcPr>
                  <w:tcW w:w="4035" w:type="dxa"/>
                </w:tcPr>
                <w:p w14:paraId="1554945F">
                  <w:pPr>
                    <w:wordWrap w:val="0"/>
                    <w:topLinePunct/>
                    <w:spacing w:line="360" w:lineRule="auto"/>
                    <w:jc w:val="center"/>
                    <w:rPr>
                      <w:rFonts w:ascii="Times New Roman" w:hAnsi="Times New Roman" w:eastAsia="宋体" w:cs="宋体"/>
                      <w:color w:val="FF0000"/>
                      <w:kern w:val="0"/>
                      <w:sz w:val="24"/>
                      <w:szCs w:val="26"/>
                      <w:lang w:bidi="ar"/>
                    </w:rPr>
                  </w:pPr>
                  <w:r>
                    <w:rPr>
                      <w:rFonts w:hint="eastAsia" w:ascii="Times New Roman" w:hAnsi="Times New Roman" w:eastAsia="宋体" w:cs="宋体"/>
                      <w:color w:val="FF0000"/>
                      <w:kern w:val="0"/>
                      <w:sz w:val="24"/>
                      <w:szCs w:val="26"/>
                      <w:lang w:bidi="ar"/>
                    </w:rPr>
                    <w:drawing>
                      <wp:inline distT="0" distB="0" distL="114300" distR="114300">
                        <wp:extent cx="1034415" cy="1631315"/>
                        <wp:effectExtent l="0" t="0" r="6985" b="19685"/>
                        <wp:docPr id="30" name="图片 30" descr="b860c3bb1d9f2d83491befe3483b38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b860c3bb1d9f2d83491befe3483b383c"/>
                                <pic:cNvPicPr>
                                  <a:picLocks noChangeAspect="1"/>
                                </pic:cNvPicPr>
                              </pic:nvPicPr>
                              <pic:blipFill>
                                <a:blip r:embed="rId30"/>
                                <a:stretch>
                                  <a:fillRect/>
                                </a:stretch>
                              </pic:blipFill>
                              <pic:spPr>
                                <a:xfrm>
                                  <a:off x="0" y="0"/>
                                  <a:ext cx="1034415" cy="1631315"/>
                                </a:xfrm>
                                <a:prstGeom prst="rect">
                                  <a:avLst/>
                                </a:prstGeom>
                              </pic:spPr>
                            </pic:pic>
                          </a:graphicData>
                        </a:graphic>
                      </wp:inline>
                    </w:drawing>
                  </w:r>
                </w:p>
              </w:tc>
            </w:tr>
            <w:tr w14:paraId="38848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9" w:type="dxa"/>
                  <w:gridSpan w:val="2"/>
                </w:tcPr>
                <w:p w14:paraId="144F127A">
                  <w:pPr>
                    <w:wordWrap w:val="0"/>
                    <w:topLinePunct/>
                    <w:spacing w:line="360" w:lineRule="auto"/>
                    <w:jc w:val="center"/>
                    <w:rPr>
                      <w:rFonts w:ascii="Times New Roman" w:hAnsi="Times New Roman" w:eastAsia="宋体" w:cs="宋体"/>
                      <w:color w:val="FF0000"/>
                      <w:kern w:val="0"/>
                      <w:sz w:val="24"/>
                      <w:szCs w:val="26"/>
                      <w:lang w:bidi="ar"/>
                    </w:rPr>
                  </w:pPr>
                  <w:r>
                    <w:rPr>
                      <w:rFonts w:hint="eastAsia" w:ascii="Times New Roman" w:hAnsi="Times New Roman" w:eastAsia="宋体" w:cs="宋体"/>
                      <w:b/>
                      <w:bCs/>
                      <w:kern w:val="0"/>
                      <w:sz w:val="24"/>
                      <w:szCs w:val="26"/>
                      <w:lang w:bidi="ar"/>
                    </w:rPr>
                    <w:t>危险废物贮存设施标志样式示意图</w:t>
                  </w:r>
                </w:p>
              </w:tc>
            </w:tr>
            <w:tr w14:paraId="7E9B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4" w:type="dxa"/>
                </w:tcPr>
                <w:p w14:paraId="4F35F2F8">
                  <w:pPr>
                    <w:wordWrap w:val="0"/>
                    <w:topLinePunct/>
                    <w:spacing w:line="360" w:lineRule="auto"/>
                    <w:jc w:val="center"/>
                    <w:rPr>
                      <w:rFonts w:ascii="Times New Roman" w:hAnsi="Times New Roman" w:eastAsia="宋体" w:cs="宋体"/>
                      <w:color w:val="FF0000"/>
                      <w:kern w:val="0"/>
                      <w:sz w:val="24"/>
                      <w:szCs w:val="26"/>
                      <w:lang w:bidi="ar"/>
                    </w:rPr>
                  </w:pPr>
                  <w:r>
                    <w:rPr>
                      <w:rFonts w:hint="eastAsia" w:ascii="Times New Roman" w:hAnsi="Times New Roman" w:eastAsia="宋体" w:cs="宋体"/>
                      <w:color w:val="FF0000"/>
                      <w:kern w:val="0"/>
                      <w:sz w:val="24"/>
                      <w:szCs w:val="26"/>
                      <w:lang w:bidi="ar"/>
                    </w:rPr>
                    <w:drawing>
                      <wp:anchor distT="0" distB="0" distL="114300" distR="114300" simplePos="0" relativeHeight="251694080" behindDoc="1" locked="0" layoutInCell="1" allowOverlap="1">
                        <wp:simplePos x="0" y="0"/>
                        <wp:positionH relativeFrom="column">
                          <wp:posOffset>10795</wp:posOffset>
                        </wp:positionH>
                        <wp:positionV relativeFrom="paragraph">
                          <wp:posOffset>135255</wp:posOffset>
                        </wp:positionV>
                        <wp:extent cx="2416175" cy="1710690"/>
                        <wp:effectExtent l="0" t="0" r="22225" b="16510"/>
                        <wp:wrapNone/>
                        <wp:docPr id="35" name="图片 35" descr="d3266ef8ea9139ef33da57a28988cd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d3266ef8ea9139ef33da57a28988cd64"/>
                                <pic:cNvPicPr>
                                  <a:picLocks noChangeAspect="1"/>
                                </pic:cNvPicPr>
                              </pic:nvPicPr>
                              <pic:blipFill>
                                <a:blip r:embed="rId31"/>
                                <a:stretch>
                                  <a:fillRect/>
                                </a:stretch>
                              </pic:blipFill>
                              <pic:spPr>
                                <a:xfrm>
                                  <a:off x="0" y="0"/>
                                  <a:ext cx="2416175" cy="1710690"/>
                                </a:xfrm>
                                <a:prstGeom prst="rect">
                                  <a:avLst/>
                                </a:prstGeom>
                              </pic:spPr>
                            </pic:pic>
                          </a:graphicData>
                        </a:graphic>
                      </wp:anchor>
                    </w:drawing>
                  </w:r>
                </w:p>
              </w:tc>
              <w:tc>
                <w:tcPr>
                  <w:tcW w:w="4035" w:type="dxa"/>
                </w:tcPr>
                <w:p w14:paraId="63B70083">
                  <w:pPr>
                    <w:wordWrap w:val="0"/>
                    <w:topLinePunct/>
                    <w:spacing w:line="360" w:lineRule="auto"/>
                    <w:jc w:val="center"/>
                    <w:rPr>
                      <w:rFonts w:ascii="Times New Roman" w:hAnsi="Times New Roman" w:eastAsia="宋体" w:cs="宋体"/>
                      <w:color w:val="FF0000"/>
                      <w:kern w:val="0"/>
                      <w:sz w:val="24"/>
                      <w:szCs w:val="26"/>
                      <w:lang w:bidi="ar"/>
                    </w:rPr>
                  </w:pPr>
                  <w:r>
                    <w:rPr>
                      <w:rFonts w:hint="eastAsia" w:ascii="Times New Roman" w:hAnsi="Times New Roman" w:eastAsia="宋体" w:cs="宋体"/>
                      <w:color w:val="FF0000"/>
                      <w:kern w:val="0"/>
                      <w:sz w:val="24"/>
                      <w:szCs w:val="26"/>
                      <w:lang w:bidi="ar"/>
                    </w:rPr>
                    <w:drawing>
                      <wp:inline distT="0" distB="0" distL="114300" distR="114300">
                        <wp:extent cx="1597025" cy="1950720"/>
                        <wp:effectExtent l="0" t="0" r="3175" b="5080"/>
                        <wp:docPr id="34" name="图片 34" descr="e4183c8c2e3d77580fb6556db966be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e4183c8c2e3d77580fb6556db966befb"/>
                                <pic:cNvPicPr>
                                  <a:picLocks noChangeAspect="1"/>
                                </pic:cNvPicPr>
                              </pic:nvPicPr>
                              <pic:blipFill>
                                <a:blip r:embed="rId32"/>
                                <a:stretch>
                                  <a:fillRect/>
                                </a:stretch>
                              </pic:blipFill>
                              <pic:spPr>
                                <a:xfrm>
                                  <a:off x="0" y="0"/>
                                  <a:ext cx="1597025" cy="1950720"/>
                                </a:xfrm>
                                <a:prstGeom prst="rect">
                                  <a:avLst/>
                                </a:prstGeom>
                              </pic:spPr>
                            </pic:pic>
                          </a:graphicData>
                        </a:graphic>
                      </wp:inline>
                    </w:drawing>
                  </w:r>
                </w:p>
              </w:tc>
            </w:tr>
            <w:tr w14:paraId="348D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9" w:type="dxa"/>
                  <w:gridSpan w:val="2"/>
                </w:tcPr>
                <w:p w14:paraId="32A66569">
                  <w:pPr>
                    <w:wordWrap w:val="0"/>
                    <w:topLinePunct/>
                    <w:spacing w:line="360" w:lineRule="auto"/>
                    <w:jc w:val="center"/>
                    <w:rPr>
                      <w:rFonts w:ascii="Times New Roman" w:hAnsi="Times New Roman" w:eastAsia="宋体" w:cs="宋体"/>
                      <w:color w:val="FF0000"/>
                      <w:kern w:val="0"/>
                      <w:sz w:val="24"/>
                      <w:szCs w:val="26"/>
                      <w:lang w:bidi="ar"/>
                    </w:rPr>
                  </w:pPr>
                  <w:r>
                    <w:rPr>
                      <w:rFonts w:hint="eastAsia" w:ascii="Times New Roman" w:hAnsi="Times New Roman" w:eastAsia="宋体" w:cs="宋体"/>
                      <w:b/>
                      <w:bCs/>
                      <w:kern w:val="0"/>
                      <w:sz w:val="24"/>
                      <w:szCs w:val="26"/>
                      <w:lang w:bidi="ar"/>
                    </w:rPr>
                    <w:t>危险废物贮存分区标志样式示意图</w:t>
                  </w:r>
                </w:p>
              </w:tc>
            </w:tr>
            <w:tr w14:paraId="5A93E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4" w:type="dxa"/>
                </w:tcPr>
                <w:p w14:paraId="2B9B3B34">
                  <w:pPr>
                    <w:wordWrap w:val="0"/>
                    <w:topLinePunct/>
                    <w:spacing w:line="360" w:lineRule="auto"/>
                    <w:jc w:val="center"/>
                    <w:rPr>
                      <w:rFonts w:ascii="Times New Roman" w:hAnsi="Times New Roman" w:eastAsia="宋体" w:cs="宋体"/>
                      <w:color w:val="FF0000"/>
                      <w:kern w:val="0"/>
                      <w:sz w:val="24"/>
                      <w:szCs w:val="26"/>
                      <w:lang w:bidi="ar"/>
                    </w:rPr>
                  </w:pPr>
                  <w:r>
                    <w:rPr>
                      <w:rFonts w:hint="eastAsia" w:ascii="Times New Roman" w:hAnsi="Times New Roman" w:eastAsia="宋体" w:cs="宋体"/>
                      <w:color w:val="FF0000"/>
                      <w:kern w:val="0"/>
                      <w:sz w:val="24"/>
                      <w:szCs w:val="26"/>
                      <w:lang w:bidi="ar"/>
                    </w:rPr>
                    <w:drawing>
                      <wp:inline distT="0" distB="0" distL="114300" distR="114300">
                        <wp:extent cx="2416175" cy="2425700"/>
                        <wp:effectExtent l="0" t="0" r="22225" b="12700"/>
                        <wp:docPr id="37" name="图片 37" descr="e0f07b15eefb7d8868971b1a9502e2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e0f07b15eefb7d8868971b1a9502e2ae"/>
                                <pic:cNvPicPr>
                                  <a:picLocks noChangeAspect="1"/>
                                </pic:cNvPicPr>
                              </pic:nvPicPr>
                              <pic:blipFill>
                                <a:blip r:embed="rId33"/>
                                <a:stretch>
                                  <a:fillRect/>
                                </a:stretch>
                              </pic:blipFill>
                              <pic:spPr>
                                <a:xfrm>
                                  <a:off x="0" y="0"/>
                                  <a:ext cx="2416175" cy="2425700"/>
                                </a:xfrm>
                                <a:prstGeom prst="rect">
                                  <a:avLst/>
                                </a:prstGeom>
                              </pic:spPr>
                            </pic:pic>
                          </a:graphicData>
                        </a:graphic>
                      </wp:inline>
                    </w:drawing>
                  </w:r>
                </w:p>
              </w:tc>
              <w:tc>
                <w:tcPr>
                  <w:tcW w:w="4035" w:type="dxa"/>
                </w:tcPr>
                <w:p w14:paraId="7D3AF9F3">
                  <w:pPr>
                    <w:wordWrap w:val="0"/>
                    <w:topLinePunct/>
                    <w:spacing w:line="360" w:lineRule="auto"/>
                    <w:rPr>
                      <w:rFonts w:ascii="Times New Roman" w:hAnsi="Times New Roman" w:eastAsia="宋体" w:cs="宋体"/>
                      <w:color w:val="FF0000"/>
                      <w:kern w:val="0"/>
                      <w:sz w:val="24"/>
                      <w:szCs w:val="26"/>
                      <w:lang w:bidi="ar"/>
                    </w:rPr>
                  </w:pPr>
                  <w:r>
                    <w:rPr>
                      <w:rFonts w:hint="eastAsia" w:ascii="Times New Roman" w:hAnsi="Times New Roman" w:eastAsia="宋体" w:cs="宋体"/>
                      <w:color w:val="FF0000"/>
                      <w:kern w:val="0"/>
                      <w:sz w:val="24"/>
                      <w:szCs w:val="26"/>
                      <w:lang w:bidi="ar"/>
                    </w:rPr>
                    <w:drawing>
                      <wp:anchor distT="0" distB="0" distL="114300" distR="114300" simplePos="0" relativeHeight="251671552" behindDoc="1" locked="0" layoutInCell="1" allowOverlap="1">
                        <wp:simplePos x="0" y="0"/>
                        <wp:positionH relativeFrom="column">
                          <wp:posOffset>-10160</wp:posOffset>
                        </wp:positionH>
                        <wp:positionV relativeFrom="paragraph">
                          <wp:posOffset>352425</wp:posOffset>
                        </wp:positionV>
                        <wp:extent cx="2419985" cy="1860550"/>
                        <wp:effectExtent l="0" t="0" r="18415" b="19050"/>
                        <wp:wrapNone/>
                        <wp:docPr id="44" name="图片 44" descr="e2e2b3f9c793e86e78f81fbf3ad65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e2e2b3f9c793e86e78f81fbf3ad65767"/>
                                <pic:cNvPicPr>
                                  <a:picLocks noChangeAspect="1"/>
                                </pic:cNvPicPr>
                              </pic:nvPicPr>
                              <pic:blipFill>
                                <a:blip r:embed="rId34"/>
                                <a:stretch>
                                  <a:fillRect/>
                                </a:stretch>
                              </pic:blipFill>
                              <pic:spPr>
                                <a:xfrm>
                                  <a:off x="0" y="0"/>
                                  <a:ext cx="2419985" cy="1860550"/>
                                </a:xfrm>
                                <a:prstGeom prst="rect">
                                  <a:avLst/>
                                </a:prstGeom>
                              </pic:spPr>
                            </pic:pic>
                          </a:graphicData>
                        </a:graphic>
                      </wp:anchor>
                    </w:drawing>
                  </w:r>
                </w:p>
              </w:tc>
            </w:tr>
            <w:tr w14:paraId="73CB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4" w:type="dxa"/>
                  <w:vAlign w:val="center"/>
                </w:tcPr>
                <w:p w14:paraId="77AECF75">
                  <w:pPr>
                    <w:wordWrap w:val="0"/>
                    <w:topLinePunct/>
                    <w:spacing w:line="360" w:lineRule="auto"/>
                    <w:jc w:val="center"/>
                    <w:rPr>
                      <w:rFonts w:ascii="Times New Roman" w:hAnsi="Times New Roman" w:eastAsia="宋体" w:cs="宋体"/>
                      <w:color w:val="FF0000"/>
                      <w:kern w:val="0"/>
                      <w:sz w:val="24"/>
                      <w:szCs w:val="26"/>
                      <w:lang w:bidi="ar"/>
                    </w:rPr>
                  </w:pPr>
                  <w:r>
                    <w:rPr>
                      <w:rFonts w:hint="eastAsia" w:ascii="Times New Roman" w:hAnsi="Times New Roman" w:eastAsia="宋体" w:cs="宋体"/>
                      <w:b/>
                      <w:bCs/>
                      <w:kern w:val="0"/>
                      <w:sz w:val="24"/>
                      <w:szCs w:val="26"/>
                      <w:lang w:bidi="ar"/>
                    </w:rPr>
                    <w:t>危险废物标签样式示意图</w:t>
                  </w:r>
                </w:p>
              </w:tc>
              <w:tc>
                <w:tcPr>
                  <w:tcW w:w="4035" w:type="dxa"/>
                  <w:vAlign w:val="center"/>
                </w:tcPr>
                <w:p w14:paraId="0859B03F">
                  <w:pPr>
                    <w:wordWrap w:val="0"/>
                    <w:topLinePunct/>
                    <w:spacing w:line="360" w:lineRule="auto"/>
                    <w:jc w:val="center"/>
                    <w:rPr>
                      <w:rFonts w:ascii="Times New Roman" w:hAnsi="Times New Roman" w:eastAsia="宋体" w:cs="宋体"/>
                      <w:color w:val="FF0000"/>
                      <w:kern w:val="0"/>
                      <w:sz w:val="24"/>
                      <w:szCs w:val="26"/>
                      <w:lang w:bidi="ar"/>
                    </w:rPr>
                  </w:pPr>
                  <w:r>
                    <w:rPr>
                      <w:rFonts w:hint="eastAsia" w:ascii="Times New Roman" w:hAnsi="Times New Roman" w:eastAsia="宋体" w:cs="宋体"/>
                      <w:b/>
                      <w:bCs/>
                      <w:kern w:val="0"/>
                      <w:sz w:val="24"/>
                      <w:szCs w:val="26"/>
                      <w:lang w:bidi="ar"/>
                    </w:rPr>
                    <w:t>危险特性警示图示意</w:t>
                  </w:r>
                </w:p>
              </w:tc>
            </w:tr>
          </w:tbl>
          <w:p w14:paraId="50D90575">
            <w:pPr>
              <w:wordWrap w:val="0"/>
              <w:topLinePunct/>
              <w:spacing w:line="360" w:lineRule="auto"/>
              <w:ind w:firstLine="480" w:firstLineChars="200"/>
              <w:rPr>
                <w:rFonts w:ascii="Times New Roman" w:hAnsi="Times New Roman" w:eastAsia="宋体" w:cs="宋体"/>
                <w:color w:val="FF0000"/>
                <w:kern w:val="0"/>
                <w:sz w:val="24"/>
                <w:szCs w:val="26"/>
                <w:lang w:bidi="ar"/>
              </w:rPr>
            </w:pPr>
            <w:r>
              <w:rPr>
                <w:rFonts w:hint="eastAsia" w:ascii="Times New Roman" w:hAnsi="Times New Roman" w:eastAsia="宋体" w:cs="宋体"/>
                <w:kern w:val="0"/>
                <w:sz w:val="24"/>
                <w:szCs w:val="26"/>
                <w:lang w:bidi="ar"/>
              </w:rPr>
              <w:t>⑥容器和包装物材质、内衬应与盛装的危险废物相容；</w:t>
            </w:r>
            <w:r>
              <w:rPr>
                <w:rFonts w:hint="eastAsia" w:ascii="Times New Roman" w:hAnsi="Times New Roman" w:eastAsia="宋体" w:cs="宋体"/>
                <w:color w:val="FF0000"/>
                <w:kern w:val="0"/>
                <w:sz w:val="24"/>
                <w:szCs w:val="26"/>
                <w:lang w:bidi="ar"/>
              </w:rPr>
              <w:t xml:space="preserve"> </w:t>
            </w:r>
          </w:p>
          <w:p w14:paraId="30B3330B">
            <w:pPr>
              <w:wordWrap w:val="0"/>
              <w:topLinePunct/>
              <w:spacing w:line="360" w:lineRule="auto"/>
              <w:ind w:firstLine="480" w:firstLineChars="200"/>
              <w:rPr>
                <w:rFonts w:ascii="Times New Roman" w:hAnsi="Times New Roman" w:eastAsia="宋体" w:cs="宋体"/>
                <w:color w:val="FF0000"/>
                <w:kern w:val="0"/>
                <w:sz w:val="24"/>
                <w:szCs w:val="26"/>
                <w:lang w:bidi="ar"/>
              </w:rPr>
            </w:pPr>
            <w:r>
              <w:rPr>
                <w:rFonts w:hint="eastAsia" w:ascii="Times New Roman" w:hAnsi="Times New Roman" w:eastAsia="宋体" w:cs="宋体"/>
                <w:kern w:val="0"/>
                <w:sz w:val="24"/>
                <w:szCs w:val="26"/>
                <w:lang w:bidi="ar"/>
              </w:rPr>
              <w:t>⑦危险废物贮存点应采取技术和管理措施防止无关人员进入；</w:t>
            </w:r>
          </w:p>
          <w:p w14:paraId="65BA0928">
            <w:pPr>
              <w:wordWrap w:val="0"/>
              <w:topLinePunct/>
              <w:spacing w:line="360" w:lineRule="auto"/>
              <w:ind w:firstLine="480" w:firstLineChars="200"/>
              <w:rPr>
                <w:rFonts w:ascii="Times New Roman" w:hAnsi="Times New Roman" w:eastAsia="宋体" w:cs="宋体"/>
                <w:kern w:val="0"/>
                <w:sz w:val="24"/>
                <w:szCs w:val="26"/>
                <w:lang w:bidi="ar"/>
              </w:rPr>
            </w:pPr>
            <w:r>
              <w:rPr>
                <w:rFonts w:hint="eastAsia" w:ascii="Times New Roman" w:hAnsi="Times New Roman" w:eastAsia="宋体" w:cs="宋体"/>
                <w:kern w:val="0"/>
                <w:sz w:val="24"/>
                <w:szCs w:val="26"/>
                <w:lang w:bidi="ar"/>
              </w:rPr>
              <w:t>⑧产生危险废物的单位，应当按照国家有关规定制定危险废物管理计划，建立危险废物管理台账，如实记录有关信息，并通过国家危险废物信息管理系统向所在地生态环境主管部门申报危险废物的种类、产生量、流向、贮存、处置等有关资料。转移危险废物的，应当执行危险废物转移联单制度，应当通过国家危险废物信息管理系统填写、运行危险废物电子转移联单</w:t>
            </w:r>
            <w:r>
              <w:fldChar w:fldCharType="begin"/>
            </w:r>
            <w:r>
              <w:instrText xml:space="preserve"> HYPERLINK "http://www.nys.gov.cn:8090/Upload/main/ContentManage/Article/File/2025/06/20/202506202056598945.pdf" \l "41#38" \t "/Users/zhangminen/Documents\x/_blank" </w:instrText>
            </w:r>
            <w:r>
              <w:fldChar w:fldCharType="separate"/>
            </w:r>
            <w:r>
              <w:fldChar w:fldCharType="end"/>
            </w:r>
            <w:r>
              <w:rPr>
                <w:rFonts w:hint="eastAsia" w:ascii="Times New Roman" w:hAnsi="Times New Roman" w:eastAsia="宋体" w:cs="宋体"/>
                <w:kern w:val="0"/>
                <w:sz w:val="24"/>
                <w:szCs w:val="26"/>
                <w:lang w:bidi="ar"/>
              </w:rPr>
              <w:t>。危险废物必须交由有危险废物处理资质且具备该类危废收纳资格范围的单位。</w:t>
            </w:r>
          </w:p>
          <w:p w14:paraId="2CFE2D68">
            <w:pPr>
              <w:wordWrap w:val="0"/>
              <w:topLinePunct/>
              <w:spacing w:line="360" w:lineRule="auto"/>
              <w:ind w:firstLine="480" w:firstLineChars="200"/>
              <w:rPr>
                <w:rFonts w:ascii="Times New Roman" w:hAnsi="Times New Roman" w:eastAsia="宋体" w:cs="宋体"/>
                <w:kern w:val="0"/>
                <w:sz w:val="24"/>
                <w:szCs w:val="26"/>
                <w:lang w:bidi="ar"/>
              </w:rPr>
            </w:pPr>
            <w:r>
              <w:rPr>
                <w:rFonts w:hint="eastAsia" w:ascii="Times New Roman" w:hAnsi="Times New Roman" w:eastAsia="宋体" w:cs="宋体"/>
                <w:kern w:val="0"/>
                <w:sz w:val="24"/>
                <w:szCs w:val="26"/>
                <w:lang w:bidi="ar"/>
              </w:rPr>
              <w:t>危险废物贮存及管理要求：①危险废物贮存点地面与裙脚、围堰等应采取表面防渗措施，表面防渗材料应与所接触的物料或污染物相容；危险废物贮存点还应进行基础防渗，防渗层为至少1m厚黏土层（渗透系数不大于10</w:t>
            </w:r>
            <w:r>
              <w:rPr>
                <w:rFonts w:hint="eastAsia" w:ascii="Times New Roman" w:hAnsi="Times New Roman" w:eastAsia="宋体" w:cs="宋体"/>
                <w:kern w:val="0"/>
                <w:sz w:val="24"/>
                <w:szCs w:val="26"/>
                <w:vertAlign w:val="superscript"/>
                <w:lang w:bidi="ar"/>
              </w:rPr>
              <w:t>-7</w:t>
            </w:r>
            <w:r>
              <w:rPr>
                <w:rFonts w:hint="eastAsia" w:ascii="Times New Roman" w:hAnsi="Times New Roman" w:eastAsia="宋体" w:cs="宋体"/>
                <w:kern w:val="0"/>
                <w:sz w:val="24"/>
                <w:szCs w:val="26"/>
                <w:lang w:bidi="ar"/>
              </w:rPr>
              <w:t>cm/s），或至少2mm厚高密度聚乙烯膜等人工防渗材料（渗透系数不大于10</w:t>
            </w:r>
            <w:r>
              <w:rPr>
                <w:rFonts w:hint="eastAsia" w:ascii="Times New Roman" w:hAnsi="Times New Roman" w:eastAsia="宋体" w:cs="宋体"/>
                <w:kern w:val="0"/>
                <w:sz w:val="24"/>
                <w:szCs w:val="26"/>
                <w:vertAlign w:val="superscript"/>
                <w:lang w:bidi="ar"/>
              </w:rPr>
              <w:t xml:space="preserve">-10 </w:t>
            </w:r>
            <w:r>
              <w:rPr>
                <w:rFonts w:hint="eastAsia" w:ascii="Times New Roman" w:hAnsi="Times New Roman" w:eastAsia="宋体" w:cs="宋体"/>
                <w:kern w:val="0"/>
                <w:sz w:val="24"/>
                <w:szCs w:val="26"/>
                <w:lang w:bidi="ar"/>
              </w:rPr>
              <w:t>cm/s），或其他防渗性能等效的材料；②装载液体、半固体危险废物的容器内需留有足够的空间，容器顶部距液面之间的距离不得小于100mm；③应当使用符合标准的容器盛装危险废物，装载危险废物的容器其材质强度应满足贮存要求；④盛装危险废物的容器必须完好无损，同时容器所选用的材质须不能与危险废物产生化学反应，液体危险废物可注入开孔直径不超过70mm并放有气孔的桶中；⑤危险废物转移应认真执行《危险废物转移联单制度》，定期送往有资质的处置单位处理，防止二次污染；⑥危险废物贮存点应能满足项目建成后全厂危险废物临时贮存的需要。</w:t>
            </w:r>
          </w:p>
          <w:p w14:paraId="2E20BB82">
            <w:pPr>
              <w:wordWrap w:val="0"/>
              <w:topLinePunct/>
              <w:spacing w:line="360" w:lineRule="auto"/>
              <w:ind w:firstLine="480" w:firstLineChars="200"/>
              <w:rPr>
                <w:rFonts w:ascii="Times New Roman" w:hAnsi="Times New Roman" w:eastAsia="宋体" w:cs="宋体"/>
                <w:kern w:val="0"/>
                <w:sz w:val="24"/>
                <w:szCs w:val="26"/>
                <w:lang w:bidi="ar"/>
              </w:rPr>
            </w:pPr>
            <w:r>
              <w:rPr>
                <w:rFonts w:hint="eastAsia" w:ascii="Times New Roman" w:hAnsi="Times New Roman" w:eastAsia="宋体" w:cs="宋体"/>
                <w:kern w:val="0"/>
                <w:sz w:val="24"/>
                <w:szCs w:val="26"/>
                <w:lang w:bidi="ar"/>
              </w:rPr>
              <w:t>委托处置危险废物的处置单位应持有环保部颁发的《危险废物经营许可证》，具有收集、运输、贮存、处理处置及综合利用本项目危险废物的资质，建设单位委托时应予以核查。</w:t>
            </w:r>
          </w:p>
          <w:p w14:paraId="38C64411">
            <w:pPr>
              <w:wordWrap w:val="0"/>
              <w:topLinePunct/>
              <w:spacing w:line="360" w:lineRule="auto"/>
              <w:ind w:firstLine="480" w:firstLineChars="200"/>
              <w:rPr>
                <w:rFonts w:ascii="Times New Roman" w:hAnsi="Times New Roman" w:eastAsia="宋体" w:cs="宋体"/>
                <w:kern w:val="0"/>
                <w:sz w:val="24"/>
                <w:szCs w:val="26"/>
                <w:lang w:bidi="ar"/>
              </w:rPr>
            </w:pPr>
            <w:r>
              <w:rPr>
                <w:rFonts w:hint="eastAsia" w:ascii="Times New Roman" w:hAnsi="Times New Roman" w:eastAsia="宋体" w:cs="宋体"/>
                <w:kern w:val="0"/>
                <w:sz w:val="24"/>
                <w:szCs w:val="26"/>
                <w:lang w:bidi="ar"/>
              </w:rPr>
              <w:t>危险废物贮存点所有者或运营者应建立贮存设施环境管理制度、管理人员岗位职责制度、设施运行操作制度、人员岗位培训制度等。</w:t>
            </w:r>
          </w:p>
          <w:p w14:paraId="292E11D9">
            <w:pPr>
              <w:wordWrap w:val="0"/>
              <w:topLinePunct/>
              <w:spacing w:line="360" w:lineRule="auto"/>
              <w:ind w:firstLine="480" w:firstLineChars="200"/>
              <w:rPr>
                <w:rFonts w:ascii="Times New Roman" w:hAnsi="Times New Roman" w:eastAsia="宋体" w:cs="宋体"/>
                <w:kern w:val="0"/>
                <w:sz w:val="24"/>
                <w:szCs w:val="26"/>
                <w:lang w:bidi="ar"/>
              </w:rPr>
            </w:pPr>
            <w:r>
              <w:rPr>
                <w:rFonts w:ascii="Times New Roman" w:hAnsi="Times New Roman" w:eastAsia="宋体" w:cs="宋体"/>
                <w:kern w:val="0"/>
                <w:sz w:val="24"/>
                <w:szCs w:val="26"/>
                <w:lang w:bidi="ar"/>
              </w:rPr>
              <w:t>根据《建设项目危险废物环境影响评价指南》（公告2017年</w:t>
            </w:r>
            <w:r>
              <w:rPr>
                <w:rFonts w:hint="eastAsia" w:ascii="Times New Roman" w:hAnsi="Times New Roman" w:eastAsia="宋体" w:cs="宋体"/>
                <w:kern w:val="0"/>
                <w:sz w:val="24"/>
                <w:szCs w:val="26"/>
                <w:lang w:bidi="ar"/>
              </w:rPr>
              <w:t>第</w:t>
            </w:r>
            <w:r>
              <w:rPr>
                <w:rFonts w:ascii="Times New Roman" w:hAnsi="Times New Roman" w:eastAsia="宋体" w:cs="宋体"/>
                <w:kern w:val="0"/>
                <w:sz w:val="24"/>
                <w:szCs w:val="26"/>
                <w:lang w:bidi="ar"/>
              </w:rPr>
              <w:t>43号）的要求，项目危险废物贮存场所</w:t>
            </w:r>
            <w:r>
              <w:rPr>
                <w:rFonts w:hint="eastAsia" w:ascii="Times New Roman" w:hAnsi="Times New Roman" w:eastAsia="宋体" w:cs="宋体"/>
                <w:kern w:val="0"/>
                <w:sz w:val="24"/>
                <w:szCs w:val="26"/>
                <w:lang w:bidi="ar"/>
              </w:rPr>
              <w:t>基本情况</w:t>
            </w:r>
            <w:r>
              <w:rPr>
                <w:rFonts w:ascii="Times New Roman" w:hAnsi="Times New Roman" w:eastAsia="宋体" w:cs="宋体"/>
                <w:kern w:val="0"/>
                <w:sz w:val="24"/>
                <w:szCs w:val="26"/>
                <w:lang w:bidi="ar"/>
              </w:rPr>
              <w:t>见下表</w:t>
            </w:r>
            <w:r>
              <w:rPr>
                <w:rFonts w:hint="eastAsia" w:ascii="Times New Roman" w:hAnsi="Times New Roman" w:eastAsia="宋体" w:cs="宋体"/>
                <w:kern w:val="0"/>
                <w:sz w:val="24"/>
                <w:szCs w:val="26"/>
                <w:lang w:bidi="ar"/>
              </w:rPr>
              <w:t>。</w:t>
            </w:r>
          </w:p>
          <w:p w14:paraId="676F8B38">
            <w:pPr>
              <w:widowControl/>
              <w:wordWrap w:val="0"/>
              <w:topLinePunct/>
              <w:spacing w:line="360" w:lineRule="auto"/>
              <w:jc w:val="center"/>
              <w:rPr>
                <w:rFonts w:ascii="Times New Roman" w:hAnsi="Times New Roman" w:eastAsia="宋体" w:cs="宋体-PUA"/>
                <w:b/>
                <w:color w:val="FF0000"/>
                <w:sz w:val="24"/>
                <w:shd w:val="clear" w:color="auto" w:fill="FFFFFF"/>
              </w:rPr>
            </w:pPr>
            <w:r>
              <w:rPr>
                <w:rFonts w:hint="eastAsia" w:ascii="Times New Roman" w:hAnsi="Times New Roman" w:eastAsia="宋体" w:cs="宋体-PUA"/>
                <w:b/>
                <w:color w:val="000000" w:themeColor="text1"/>
                <w:sz w:val="24"/>
                <w:shd w:val="clear" w:color="auto" w:fill="FFFFFF"/>
                <w14:textFill>
                  <w14:solidFill>
                    <w14:schemeClr w14:val="tx1"/>
                  </w14:solidFill>
                </w14:textFill>
              </w:rPr>
              <w:t xml:space="preserve"> </w:t>
            </w:r>
            <w:r>
              <w:rPr>
                <w:rFonts w:ascii="Times New Roman" w:hAnsi="Times New Roman" w:eastAsia="宋体" w:cs="宋体-PUA"/>
                <w:b/>
                <w:color w:val="000000" w:themeColor="text1"/>
                <w:sz w:val="24"/>
                <w:shd w:val="clear" w:color="auto" w:fill="FFFFFF"/>
                <w14:textFill>
                  <w14:solidFill>
                    <w14:schemeClr w14:val="tx1"/>
                  </w14:solidFill>
                </w14:textFill>
              </w:rPr>
              <w:t>4-</w:t>
            </w:r>
            <w:r>
              <w:rPr>
                <w:rFonts w:hint="eastAsia" w:ascii="Times New Roman" w:hAnsi="Times New Roman" w:eastAsia="宋体" w:cs="宋体-PUA"/>
                <w:b/>
                <w:color w:val="000000" w:themeColor="text1"/>
                <w:sz w:val="24"/>
                <w:shd w:val="clear" w:color="auto" w:fill="FFFFFF"/>
                <w14:textFill>
                  <w14:solidFill>
                    <w14:schemeClr w14:val="tx1"/>
                  </w14:solidFill>
                </w14:textFill>
              </w:rPr>
              <w:t xml:space="preserve">38  </w:t>
            </w:r>
            <w:r>
              <w:rPr>
                <w:rFonts w:ascii="Times New Roman" w:hAnsi="Times New Roman" w:eastAsia="宋体" w:cs="宋体-PUA"/>
                <w:b/>
                <w:color w:val="000000" w:themeColor="text1"/>
                <w:sz w:val="24"/>
                <w:shd w:val="clear" w:color="auto" w:fill="FFFFFF"/>
                <w14:textFill>
                  <w14:solidFill>
                    <w14:schemeClr w14:val="tx1"/>
                  </w14:solidFill>
                </w14:textFill>
              </w:rPr>
              <w:t>项目危险废物贮存场所基本情况一览表</w:t>
            </w:r>
          </w:p>
          <w:tbl>
            <w:tblPr>
              <w:tblStyle w:val="2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257"/>
              <w:gridCol w:w="857"/>
              <w:gridCol w:w="1246"/>
              <w:gridCol w:w="1117"/>
              <w:gridCol w:w="1128"/>
              <w:gridCol w:w="857"/>
              <w:gridCol w:w="775"/>
            </w:tblGrid>
            <w:tr w14:paraId="1D89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9" w:type="pct"/>
                  <w:tcBorders>
                    <w:top w:val="single" w:color="auto" w:sz="4" w:space="0"/>
                    <w:left w:val="single" w:color="auto" w:sz="4" w:space="0"/>
                    <w:bottom w:val="single" w:color="auto" w:sz="4" w:space="0"/>
                    <w:right w:val="single" w:color="auto" w:sz="4" w:space="0"/>
                  </w:tcBorders>
                  <w:vAlign w:val="center"/>
                </w:tcPr>
                <w:p w14:paraId="3D3CD7EF">
                  <w:pPr>
                    <w:wordWrap w:val="0"/>
                    <w:topLinePunct/>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贮存场所名称</w:t>
                  </w:r>
                </w:p>
              </w:tc>
              <w:tc>
                <w:tcPr>
                  <w:tcW w:w="779" w:type="pct"/>
                  <w:tcBorders>
                    <w:top w:val="single" w:color="auto" w:sz="4" w:space="0"/>
                    <w:left w:val="single" w:color="auto" w:sz="4" w:space="0"/>
                    <w:bottom w:val="single" w:color="auto" w:sz="4" w:space="0"/>
                    <w:right w:val="single" w:color="auto" w:sz="4" w:space="0"/>
                  </w:tcBorders>
                  <w:vAlign w:val="center"/>
                </w:tcPr>
                <w:p w14:paraId="6234B793">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危险废物</w:t>
                  </w:r>
                </w:p>
                <w:p w14:paraId="1B7374BF">
                  <w:pPr>
                    <w:wordWrap w:val="0"/>
                    <w:topLinePunct/>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名称</w:t>
                  </w:r>
                </w:p>
              </w:tc>
              <w:tc>
                <w:tcPr>
                  <w:tcW w:w="532" w:type="pct"/>
                  <w:tcBorders>
                    <w:top w:val="single" w:color="auto" w:sz="4" w:space="0"/>
                    <w:left w:val="single" w:color="auto" w:sz="4" w:space="0"/>
                    <w:bottom w:val="single" w:color="auto" w:sz="4" w:space="0"/>
                    <w:right w:val="single" w:color="auto" w:sz="4" w:space="0"/>
                  </w:tcBorders>
                  <w:vAlign w:val="center"/>
                </w:tcPr>
                <w:p w14:paraId="37527DE8">
                  <w:pPr>
                    <w:wordWrap w:val="0"/>
                    <w:topLinePunct/>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危险废物类别</w:t>
                  </w:r>
                </w:p>
              </w:tc>
              <w:tc>
                <w:tcPr>
                  <w:tcW w:w="772" w:type="pct"/>
                  <w:tcBorders>
                    <w:top w:val="single" w:color="auto" w:sz="4" w:space="0"/>
                    <w:left w:val="single" w:color="auto" w:sz="4" w:space="0"/>
                    <w:bottom w:val="single" w:color="auto" w:sz="4" w:space="0"/>
                    <w:right w:val="single" w:color="auto" w:sz="4" w:space="0"/>
                  </w:tcBorders>
                  <w:vAlign w:val="center"/>
                </w:tcPr>
                <w:p w14:paraId="72B501CC">
                  <w:pPr>
                    <w:wordWrap w:val="0"/>
                    <w:topLinePunct/>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危险废物代码</w:t>
                  </w:r>
                </w:p>
              </w:tc>
              <w:tc>
                <w:tcPr>
                  <w:tcW w:w="692" w:type="pct"/>
                  <w:tcBorders>
                    <w:top w:val="single" w:color="auto" w:sz="4" w:space="0"/>
                    <w:left w:val="single" w:color="auto" w:sz="4" w:space="0"/>
                    <w:bottom w:val="single" w:color="auto" w:sz="4" w:space="0"/>
                    <w:right w:val="single" w:color="auto" w:sz="4" w:space="0"/>
                  </w:tcBorders>
                  <w:vAlign w:val="center"/>
                </w:tcPr>
                <w:p w14:paraId="2512EB1E">
                  <w:pPr>
                    <w:wordWrap w:val="0"/>
                    <w:topLinePunct/>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占地面积</w:t>
                  </w:r>
                  <w:r>
                    <w:rPr>
                      <w:rFonts w:hint="eastAsia" w:ascii="Times New Roman" w:hAnsi="Times New Roman" w:eastAsia="宋体" w:cs="Times New Roman"/>
                      <w:b/>
                      <w:bCs/>
                      <w:color w:val="000000" w:themeColor="text1"/>
                      <w:szCs w:val="21"/>
                      <w14:textFill>
                        <w14:solidFill>
                          <w14:schemeClr w14:val="tx1"/>
                        </w14:solidFill>
                      </w14:textFill>
                    </w:rPr>
                    <w:t>(m</w:t>
                  </w:r>
                  <w:r>
                    <w:rPr>
                      <w:rFonts w:hint="eastAsia" w:ascii="Times New Roman" w:hAnsi="Times New Roman" w:eastAsia="宋体" w:cs="Times New Roman"/>
                      <w:b/>
                      <w:bCs/>
                      <w:color w:val="000000" w:themeColor="text1"/>
                      <w:szCs w:val="21"/>
                      <w:vertAlign w:val="superscript"/>
                      <w14:textFill>
                        <w14:solidFill>
                          <w14:schemeClr w14:val="tx1"/>
                        </w14:solidFill>
                      </w14:textFill>
                    </w:rPr>
                    <w:t>2</w:t>
                  </w:r>
                  <w:r>
                    <w:rPr>
                      <w:rFonts w:hint="eastAsia" w:ascii="Times New Roman" w:hAnsi="Times New Roman" w:eastAsia="宋体" w:cs="Times New Roman"/>
                      <w:b/>
                      <w:bCs/>
                      <w:color w:val="000000" w:themeColor="text1"/>
                      <w:szCs w:val="21"/>
                      <w14:textFill>
                        <w14:solidFill>
                          <w14:schemeClr w14:val="tx1"/>
                        </w14:solidFill>
                      </w14:textFill>
                    </w:rPr>
                    <w:t>)</w:t>
                  </w:r>
                </w:p>
              </w:tc>
              <w:tc>
                <w:tcPr>
                  <w:tcW w:w="699" w:type="pct"/>
                  <w:tcBorders>
                    <w:top w:val="single" w:color="auto" w:sz="4" w:space="0"/>
                    <w:left w:val="single" w:color="auto" w:sz="4" w:space="0"/>
                    <w:bottom w:val="single" w:color="auto" w:sz="4" w:space="0"/>
                    <w:right w:val="single" w:color="auto" w:sz="4" w:space="0"/>
                  </w:tcBorders>
                  <w:vAlign w:val="center"/>
                </w:tcPr>
                <w:p w14:paraId="61D2A90D">
                  <w:pPr>
                    <w:wordWrap w:val="0"/>
                    <w:topLinePunct/>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贮存</w:t>
                  </w:r>
                  <w:r>
                    <w:rPr>
                      <w:rFonts w:hint="eastAsia" w:ascii="Times New Roman" w:hAnsi="Times New Roman" w:eastAsia="宋体" w:cs="Times New Roman"/>
                      <w:b/>
                      <w:bCs/>
                      <w:color w:val="000000" w:themeColor="text1"/>
                      <w:szCs w:val="21"/>
                      <w14:textFill>
                        <w14:solidFill>
                          <w14:schemeClr w14:val="tx1"/>
                        </w14:solidFill>
                      </w14:textFill>
                    </w:rPr>
                    <w:t>方式</w:t>
                  </w:r>
                </w:p>
              </w:tc>
              <w:tc>
                <w:tcPr>
                  <w:tcW w:w="532" w:type="pct"/>
                  <w:tcBorders>
                    <w:top w:val="single" w:color="auto" w:sz="4" w:space="0"/>
                    <w:left w:val="single" w:color="auto" w:sz="4" w:space="0"/>
                    <w:bottom w:val="single" w:color="auto" w:sz="4" w:space="0"/>
                    <w:right w:val="single" w:color="auto" w:sz="4" w:space="0"/>
                  </w:tcBorders>
                  <w:vAlign w:val="center"/>
                </w:tcPr>
                <w:p w14:paraId="69AC38AD">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贮存</w:t>
                  </w:r>
                </w:p>
                <w:p w14:paraId="0F0746B4">
                  <w:pPr>
                    <w:wordWrap w:val="0"/>
                    <w:topLinePunct/>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能力</w:t>
                  </w:r>
                </w:p>
              </w:tc>
              <w:tc>
                <w:tcPr>
                  <w:tcW w:w="481" w:type="pct"/>
                  <w:tcBorders>
                    <w:top w:val="single" w:color="auto" w:sz="4" w:space="0"/>
                    <w:left w:val="single" w:color="auto" w:sz="4" w:space="0"/>
                    <w:bottom w:val="single" w:color="auto" w:sz="4" w:space="0"/>
                    <w:right w:val="single" w:color="auto" w:sz="4" w:space="0"/>
                  </w:tcBorders>
                  <w:vAlign w:val="center"/>
                </w:tcPr>
                <w:p w14:paraId="2530128D">
                  <w:pPr>
                    <w:wordWrap w:val="0"/>
                    <w:topLinePunct/>
                    <w:adjustRightInd w:val="0"/>
                    <w:spacing w:line="240" w:lineRule="exact"/>
                    <w:jc w:val="center"/>
                    <w:textAlignment w:val="baseline"/>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贮存</w:t>
                  </w:r>
                </w:p>
                <w:p w14:paraId="404476AD">
                  <w:pPr>
                    <w:wordWrap w:val="0"/>
                    <w:topLinePunct/>
                    <w:adjustRightInd w:val="0"/>
                    <w:spacing w:line="240" w:lineRule="exact"/>
                    <w:jc w:val="center"/>
                    <w:textAlignment w:val="baseline"/>
                    <w:rPr>
                      <w:rFonts w:ascii="Times New Roman" w:hAnsi="Times New Roman" w:eastAsia="宋体" w:cs="Times New Roman"/>
                      <w:b/>
                      <w:bCs/>
                      <w:color w:val="FF0000"/>
                      <w:szCs w:val="21"/>
                    </w:rPr>
                  </w:pPr>
                  <w:r>
                    <w:rPr>
                      <w:rFonts w:ascii="Times New Roman" w:hAnsi="Times New Roman" w:eastAsia="宋体" w:cs="Times New Roman"/>
                      <w:b/>
                      <w:bCs/>
                      <w:color w:val="000000" w:themeColor="text1"/>
                      <w:szCs w:val="21"/>
                      <w14:textFill>
                        <w14:solidFill>
                          <w14:schemeClr w14:val="tx1"/>
                        </w14:solidFill>
                      </w14:textFill>
                    </w:rPr>
                    <w:t>周期</w:t>
                  </w:r>
                </w:p>
              </w:tc>
            </w:tr>
            <w:tr w14:paraId="4E09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9" w:type="pct"/>
                  <w:vMerge w:val="restart"/>
                  <w:tcBorders>
                    <w:top w:val="single" w:color="auto" w:sz="4" w:space="0"/>
                    <w:left w:val="single" w:color="auto" w:sz="4" w:space="0"/>
                    <w:right w:val="single" w:color="auto" w:sz="4" w:space="0"/>
                  </w:tcBorders>
                  <w:vAlign w:val="center"/>
                </w:tcPr>
                <w:p w14:paraId="43FE6B6E">
                  <w:pPr>
                    <w:wordWrap w:val="0"/>
                    <w:topLinePunct/>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危险废物贮存点</w:t>
                  </w:r>
                </w:p>
              </w:tc>
              <w:tc>
                <w:tcPr>
                  <w:tcW w:w="779" w:type="pct"/>
                  <w:tcBorders>
                    <w:top w:val="single" w:color="auto" w:sz="4" w:space="0"/>
                    <w:left w:val="single" w:color="auto" w:sz="4" w:space="0"/>
                    <w:bottom w:val="single" w:color="auto" w:sz="4" w:space="0"/>
                    <w:right w:val="single" w:color="auto" w:sz="4" w:space="0"/>
                  </w:tcBorders>
                  <w:vAlign w:val="center"/>
                </w:tcPr>
                <w:p w14:paraId="126C2DF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废活性炭</w:t>
                  </w:r>
                </w:p>
              </w:tc>
              <w:tc>
                <w:tcPr>
                  <w:tcW w:w="532" w:type="pct"/>
                  <w:tcBorders>
                    <w:top w:val="single" w:color="auto" w:sz="4" w:space="0"/>
                    <w:left w:val="single" w:color="auto" w:sz="4" w:space="0"/>
                    <w:bottom w:val="single" w:color="auto" w:sz="4" w:space="0"/>
                    <w:right w:val="single" w:color="auto" w:sz="4" w:space="0"/>
                  </w:tcBorders>
                  <w:vAlign w:val="center"/>
                </w:tcPr>
                <w:p w14:paraId="5B2CD9E9">
                  <w:pPr>
                    <w:wordWrap w:val="0"/>
                    <w:topLinePunct/>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HW49其他废物</w:t>
                  </w:r>
                </w:p>
              </w:tc>
              <w:tc>
                <w:tcPr>
                  <w:tcW w:w="772" w:type="pct"/>
                  <w:tcBorders>
                    <w:top w:val="single" w:color="auto" w:sz="4" w:space="0"/>
                    <w:left w:val="single" w:color="auto" w:sz="4" w:space="0"/>
                    <w:bottom w:val="single" w:color="auto" w:sz="4" w:space="0"/>
                    <w:right w:val="single" w:color="auto" w:sz="4" w:space="0"/>
                  </w:tcBorders>
                  <w:vAlign w:val="center"/>
                </w:tcPr>
                <w:p w14:paraId="62B0B6C7">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900-039-49</w:t>
                  </w:r>
                </w:p>
              </w:tc>
              <w:tc>
                <w:tcPr>
                  <w:tcW w:w="692" w:type="pct"/>
                  <w:vMerge w:val="restart"/>
                  <w:tcBorders>
                    <w:top w:val="single" w:color="auto" w:sz="4" w:space="0"/>
                    <w:left w:val="single" w:color="auto" w:sz="4" w:space="0"/>
                    <w:right w:val="single" w:color="auto" w:sz="4" w:space="0"/>
                  </w:tcBorders>
                  <w:vAlign w:val="center"/>
                </w:tcPr>
                <w:p w14:paraId="3060E927">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35</w:t>
                  </w:r>
                </w:p>
              </w:tc>
              <w:tc>
                <w:tcPr>
                  <w:tcW w:w="699" w:type="pct"/>
                  <w:tcBorders>
                    <w:top w:val="single" w:color="auto" w:sz="4" w:space="0"/>
                    <w:left w:val="single" w:color="auto" w:sz="4" w:space="0"/>
                    <w:bottom w:val="single" w:color="auto" w:sz="4" w:space="0"/>
                    <w:right w:val="single" w:color="auto" w:sz="4" w:space="0"/>
                  </w:tcBorders>
                  <w:vAlign w:val="center"/>
                </w:tcPr>
                <w:p w14:paraId="10DD567C">
                  <w:pPr>
                    <w:wordWrap w:val="0"/>
                    <w:topLinePunct/>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防腐防渗密封容器</w:t>
                  </w:r>
                </w:p>
              </w:tc>
              <w:tc>
                <w:tcPr>
                  <w:tcW w:w="532" w:type="pct"/>
                  <w:vMerge w:val="restart"/>
                  <w:tcBorders>
                    <w:top w:val="single" w:color="auto" w:sz="4" w:space="0"/>
                    <w:left w:val="single" w:color="auto" w:sz="4" w:space="0"/>
                    <w:right w:val="single" w:color="auto" w:sz="4" w:space="0"/>
                  </w:tcBorders>
                  <w:vAlign w:val="center"/>
                </w:tcPr>
                <w:p w14:paraId="164B9A4E">
                  <w:pPr>
                    <w:wordWrap w:val="0"/>
                    <w:topLinePunct/>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宋体" w:cs="Times New Roman"/>
                      <w:color w:val="000000" w:themeColor="text1"/>
                      <w:szCs w:val="21"/>
                      <w14:textFill>
                        <w14:solidFill>
                          <w14:schemeClr w14:val="tx1"/>
                        </w14:solidFill>
                      </w14:textFill>
                    </w:rPr>
                    <w:t>1年</w:t>
                  </w:r>
                </w:p>
              </w:tc>
              <w:tc>
                <w:tcPr>
                  <w:tcW w:w="481" w:type="pct"/>
                  <w:tcBorders>
                    <w:top w:val="single" w:color="auto" w:sz="4" w:space="0"/>
                    <w:left w:val="single" w:color="auto" w:sz="4" w:space="0"/>
                    <w:bottom w:val="single" w:color="auto" w:sz="4" w:space="0"/>
                    <w:right w:val="single" w:color="auto" w:sz="4" w:space="0"/>
                  </w:tcBorders>
                  <w:vAlign w:val="center"/>
                </w:tcPr>
                <w:p w14:paraId="6D6B7235">
                  <w:pPr>
                    <w:wordWrap w:val="0"/>
                    <w:topLinePunct/>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1季度</w:t>
                  </w:r>
                </w:p>
              </w:tc>
            </w:tr>
            <w:tr w14:paraId="64FF9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9" w:type="pct"/>
                  <w:vMerge w:val="continue"/>
                  <w:tcBorders>
                    <w:left w:val="single" w:color="auto" w:sz="4" w:space="0"/>
                    <w:right w:val="single" w:color="auto" w:sz="4" w:space="0"/>
                  </w:tcBorders>
                  <w:vAlign w:val="center"/>
                </w:tcPr>
                <w:p w14:paraId="55E441D2">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779" w:type="pct"/>
                  <w:tcBorders>
                    <w:top w:val="single" w:color="auto" w:sz="4" w:space="0"/>
                    <w:left w:val="single" w:color="auto" w:sz="4" w:space="0"/>
                    <w:bottom w:val="single" w:color="auto" w:sz="4" w:space="0"/>
                    <w:right w:val="single" w:color="auto" w:sz="4" w:space="0"/>
                  </w:tcBorders>
                  <w:vAlign w:val="center"/>
                </w:tcPr>
                <w:p w14:paraId="30BE056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废焦油</w:t>
                  </w:r>
                </w:p>
              </w:tc>
              <w:tc>
                <w:tcPr>
                  <w:tcW w:w="532" w:type="pct"/>
                  <w:vMerge w:val="restart"/>
                  <w:tcBorders>
                    <w:top w:val="single" w:color="auto" w:sz="4" w:space="0"/>
                    <w:left w:val="single" w:color="auto" w:sz="4" w:space="0"/>
                    <w:right w:val="single" w:color="auto" w:sz="4" w:space="0"/>
                  </w:tcBorders>
                  <w:vAlign w:val="center"/>
                </w:tcPr>
                <w:p w14:paraId="04E15041">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HW11精（蒸）馏残渣—石墨及其他非金属矿物制品制造</w:t>
                  </w:r>
                </w:p>
              </w:tc>
              <w:tc>
                <w:tcPr>
                  <w:tcW w:w="772" w:type="pct"/>
                  <w:vMerge w:val="restart"/>
                  <w:tcBorders>
                    <w:top w:val="single" w:color="auto" w:sz="4" w:space="0"/>
                    <w:left w:val="single" w:color="auto" w:sz="4" w:space="0"/>
                    <w:right w:val="single" w:color="auto" w:sz="4" w:space="0"/>
                  </w:tcBorders>
                  <w:vAlign w:val="center"/>
                </w:tcPr>
                <w:p w14:paraId="52D0844F">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309-001-11</w:t>
                  </w:r>
                </w:p>
              </w:tc>
              <w:tc>
                <w:tcPr>
                  <w:tcW w:w="692" w:type="pct"/>
                  <w:vMerge w:val="continue"/>
                  <w:tcBorders>
                    <w:left w:val="single" w:color="auto" w:sz="4" w:space="0"/>
                    <w:right w:val="single" w:color="auto" w:sz="4" w:space="0"/>
                  </w:tcBorders>
                  <w:vAlign w:val="center"/>
                </w:tcPr>
                <w:p w14:paraId="2470BB78">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699" w:type="pct"/>
                  <w:vMerge w:val="restart"/>
                  <w:tcBorders>
                    <w:top w:val="single" w:color="auto" w:sz="4" w:space="0"/>
                    <w:left w:val="single" w:color="auto" w:sz="4" w:space="0"/>
                    <w:right w:val="single" w:color="auto" w:sz="4" w:space="0"/>
                  </w:tcBorders>
                  <w:vAlign w:val="center"/>
                </w:tcPr>
                <w:p w14:paraId="13D4AC3C">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防渗托盘；</w:t>
                  </w:r>
                  <w:r>
                    <w:rPr>
                      <w:rFonts w:ascii="Times New Roman" w:hAnsi="Times New Roman" w:eastAsia="宋体" w:cs="Times New Roman"/>
                      <w:color w:val="000000" w:themeColor="text1"/>
                      <w:szCs w:val="21"/>
                      <w14:textFill>
                        <w14:solidFill>
                          <w14:schemeClr w14:val="tx1"/>
                        </w14:solidFill>
                      </w14:textFill>
                    </w:rPr>
                    <w:t>防腐防渗密</w:t>
                  </w:r>
                  <w:r>
                    <w:rPr>
                      <w:rFonts w:hint="eastAsia" w:ascii="Times New Roman" w:hAnsi="Times New Roman" w:eastAsia="宋体" w:cs="Times New Roman"/>
                      <w:color w:val="000000" w:themeColor="text1"/>
                      <w:szCs w:val="21"/>
                      <w14:textFill>
                        <w14:solidFill>
                          <w14:schemeClr w14:val="tx1"/>
                        </w14:solidFill>
                      </w14:textFill>
                    </w:rPr>
                    <w:t>闭</w:t>
                  </w:r>
                  <w:r>
                    <w:rPr>
                      <w:rFonts w:ascii="Times New Roman" w:hAnsi="Times New Roman" w:eastAsia="宋体" w:cs="Times New Roman"/>
                      <w:color w:val="000000" w:themeColor="text1"/>
                      <w:szCs w:val="21"/>
                      <w14:textFill>
                        <w14:solidFill>
                          <w14:schemeClr w14:val="tx1"/>
                        </w14:solidFill>
                      </w14:textFill>
                    </w:rPr>
                    <w:t>容器</w:t>
                  </w:r>
                </w:p>
              </w:tc>
              <w:tc>
                <w:tcPr>
                  <w:tcW w:w="532" w:type="pct"/>
                  <w:vMerge w:val="continue"/>
                  <w:tcBorders>
                    <w:left w:val="single" w:color="auto" w:sz="4" w:space="0"/>
                    <w:right w:val="single" w:color="auto" w:sz="4" w:space="0"/>
                  </w:tcBorders>
                  <w:vAlign w:val="center"/>
                </w:tcPr>
                <w:p w14:paraId="60E031C4">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481" w:type="pct"/>
                  <w:tcBorders>
                    <w:top w:val="single" w:color="auto" w:sz="4" w:space="0"/>
                    <w:left w:val="single" w:color="auto" w:sz="4" w:space="0"/>
                    <w:bottom w:val="single" w:color="auto" w:sz="4" w:space="0"/>
                    <w:right w:val="single" w:color="auto" w:sz="4" w:space="0"/>
                  </w:tcBorders>
                  <w:vAlign w:val="center"/>
                </w:tcPr>
                <w:p w14:paraId="13E22058">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1月</w:t>
                  </w:r>
                </w:p>
              </w:tc>
            </w:tr>
            <w:tr w14:paraId="314C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509" w:type="pct"/>
                  <w:vMerge w:val="continue"/>
                  <w:tcBorders>
                    <w:left w:val="single" w:color="auto" w:sz="4" w:space="0"/>
                    <w:right w:val="single" w:color="auto" w:sz="4" w:space="0"/>
                  </w:tcBorders>
                  <w:vAlign w:val="center"/>
                </w:tcPr>
                <w:p w14:paraId="3C819A22">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779" w:type="pct"/>
                  <w:tcBorders>
                    <w:top w:val="single" w:color="auto" w:sz="4" w:space="0"/>
                    <w:left w:val="single" w:color="auto" w:sz="4" w:space="0"/>
                    <w:bottom w:val="single" w:color="auto" w:sz="4" w:space="0"/>
                    <w:right w:val="single" w:color="auto" w:sz="4" w:space="0"/>
                  </w:tcBorders>
                  <w:vAlign w:val="center"/>
                </w:tcPr>
                <w:p w14:paraId="5302E8F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洗涤塔循环废液</w:t>
                  </w:r>
                </w:p>
              </w:tc>
              <w:tc>
                <w:tcPr>
                  <w:tcW w:w="532" w:type="pct"/>
                  <w:vMerge w:val="continue"/>
                  <w:tcBorders>
                    <w:left w:val="single" w:color="auto" w:sz="4" w:space="0"/>
                    <w:right w:val="single" w:color="auto" w:sz="4" w:space="0"/>
                  </w:tcBorders>
                  <w:vAlign w:val="center"/>
                </w:tcPr>
                <w:p w14:paraId="31B0F532">
                  <w:pPr>
                    <w:adjustRightInd w:val="0"/>
                    <w:spacing w:line="240" w:lineRule="exact"/>
                    <w:jc w:val="center"/>
                    <w:textAlignment w:val="baseline"/>
                    <w:rPr>
                      <w:rFonts w:ascii="Times New Roman" w:hAnsi="Times New Roman" w:eastAsia="宋体" w:cs="Times New Roman"/>
                      <w:color w:val="FF0000"/>
                      <w:szCs w:val="21"/>
                    </w:rPr>
                  </w:pPr>
                </w:p>
              </w:tc>
              <w:tc>
                <w:tcPr>
                  <w:tcW w:w="772" w:type="pct"/>
                  <w:vMerge w:val="continue"/>
                  <w:tcBorders>
                    <w:left w:val="single" w:color="auto" w:sz="4" w:space="0"/>
                    <w:right w:val="single" w:color="auto" w:sz="4" w:space="0"/>
                  </w:tcBorders>
                  <w:vAlign w:val="center"/>
                </w:tcPr>
                <w:p w14:paraId="6CBB5D59">
                  <w:pPr>
                    <w:adjustRightInd w:val="0"/>
                    <w:spacing w:line="240" w:lineRule="exact"/>
                    <w:jc w:val="center"/>
                    <w:textAlignment w:val="baseline"/>
                    <w:rPr>
                      <w:rFonts w:ascii="Times New Roman" w:hAnsi="Times New Roman" w:eastAsia="宋体" w:cs="Times New Roman"/>
                      <w:color w:val="FF0000"/>
                      <w:szCs w:val="21"/>
                    </w:rPr>
                  </w:pPr>
                </w:p>
              </w:tc>
              <w:tc>
                <w:tcPr>
                  <w:tcW w:w="692" w:type="pct"/>
                  <w:vMerge w:val="continue"/>
                  <w:tcBorders>
                    <w:left w:val="single" w:color="auto" w:sz="4" w:space="0"/>
                    <w:right w:val="single" w:color="auto" w:sz="4" w:space="0"/>
                  </w:tcBorders>
                  <w:vAlign w:val="center"/>
                </w:tcPr>
                <w:p w14:paraId="6AF90588">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699" w:type="pct"/>
                  <w:vMerge w:val="continue"/>
                  <w:tcBorders>
                    <w:left w:val="single" w:color="auto" w:sz="4" w:space="0"/>
                    <w:right w:val="single" w:color="auto" w:sz="4" w:space="0"/>
                  </w:tcBorders>
                  <w:vAlign w:val="center"/>
                </w:tcPr>
                <w:p w14:paraId="6E562951">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532" w:type="pct"/>
                  <w:vMerge w:val="continue"/>
                  <w:tcBorders>
                    <w:left w:val="single" w:color="auto" w:sz="4" w:space="0"/>
                    <w:right w:val="single" w:color="auto" w:sz="4" w:space="0"/>
                  </w:tcBorders>
                  <w:vAlign w:val="center"/>
                </w:tcPr>
                <w:p w14:paraId="7A7BEC74">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481" w:type="pct"/>
                  <w:tcBorders>
                    <w:top w:val="single" w:color="auto" w:sz="4" w:space="0"/>
                    <w:left w:val="single" w:color="auto" w:sz="4" w:space="0"/>
                    <w:bottom w:val="single" w:color="auto" w:sz="4" w:space="0"/>
                    <w:right w:val="single" w:color="auto" w:sz="4" w:space="0"/>
                  </w:tcBorders>
                  <w:vAlign w:val="center"/>
                </w:tcPr>
                <w:p w14:paraId="7F2B0ADC">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1月</w:t>
                  </w:r>
                </w:p>
              </w:tc>
            </w:tr>
            <w:tr w14:paraId="4B729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9" w:type="pct"/>
                  <w:vMerge w:val="continue"/>
                  <w:tcBorders>
                    <w:left w:val="single" w:color="auto" w:sz="4" w:space="0"/>
                    <w:right w:val="single" w:color="auto" w:sz="4" w:space="0"/>
                  </w:tcBorders>
                  <w:vAlign w:val="center"/>
                </w:tcPr>
                <w:p w14:paraId="603DAC57">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779" w:type="pct"/>
                  <w:tcBorders>
                    <w:top w:val="single" w:color="auto" w:sz="4" w:space="0"/>
                    <w:left w:val="single" w:color="auto" w:sz="4" w:space="0"/>
                    <w:bottom w:val="single" w:color="auto" w:sz="4" w:space="0"/>
                    <w:right w:val="single" w:color="auto" w:sz="4" w:space="0"/>
                  </w:tcBorders>
                  <w:vAlign w:val="center"/>
                </w:tcPr>
                <w:p w14:paraId="3909685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洗涤塔沉淀焦油渣</w:t>
                  </w:r>
                </w:p>
              </w:tc>
              <w:tc>
                <w:tcPr>
                  <w:tcW w:w="532" w:type="pct"/>
                  <w:vMerge w:val="continue"/>
                  <w:tcBorders>
                    <w:left w:val="single" w:color="auto" w:sz="4" w:space="0"/>
                    <w:right w:val="single" w:color="auto" w:sz="4" w:space="0"/>
                  </w:tcBorders>
                  <w:vAlign w:val="center"/>
                </w:tcPr>
                <w:p w14:paraId="38F57AB2">
                  <w:pPr>
                    <w:adjustRightInd w:val="0"/>
                    <w:spacing w:line="240" w:lineRule="exact"/>
                    <w:jc w:val="center"/>
                    <w:textAlignment w:val="baseline"/>
                    <w:rPr>
                      <w:rFonts w:ascii="Times New Roman" w:hAnsi="Times New Roman" w:eastAsia="宋体" w:cs="Times New Roman"/>
                      <w:color w:val="FF0000"/>
                      <w:szCs w:val="21"/>
                    </w:rPr>
                  </w:pPr>
                </w:p>
              </w:tc>
              <w:tc>
                <w:tcPr>
                  <w:tcW w:w="772" w:type="pct"/>
                  <w:vMerge w:val="continue"/>
                  <w:tcBorders>
                    <w:left w:val="single" w:color="auto" w:sz="4" w:space="0"/>
                    <w:right w:val="single" w:color="auto" w:sz="4" w:space="0"/>
                  </w:tcBorders>
                  <w:vAlign w:val="center"/>
                </w:tcPr>
                <w:p w14:paraId="3C70E05F">
                  <w:pPr>
                    <w:adjustRightInd w:val="0"/>
                    <w:spacing w:line="240" w:lineRule="exact"/>
                    <w:jc w:val="center"/>
                    <w:textAlignment w:val="baseline"/>
                    <w:rPr>
                      <w:rFonts w:ascii="Times New Roman" w:hAnsi="Times New Roman" w:eastAsia="宋体" w:cs="Times New Roman"/>
                      <w:color w:val="FF0000"/>
                      <w:szCs w:val="21"/>
                    </w:rPr>
                  </w:pPr>
                </w:p>
              </w:tc>
              <w:tc>
                <w:tcPr>
                  <w:tcW w:w="692" w:type="pct"/>
                  <w:vMerge w:val="continue"/>
                  <w:tcBorders>
                    <w:left w:val="single" w:color="auto" w:sz="4" w:space="0"/>
                    <w:right w:val="single" w:color="auto" w:sz="4" w:space="0"/>
                  </w:tcBorders>
                  <w:vAlign w:val="center"/>
                </w:tcPr>
                <w:p w14:paraId="515C70F5">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699" w:type="pct"/>
                  <w:vMerge w:val="continue"/>
                  <w:tcBorders>
                    <w:left w:val="single" w:color="auto" w:sz="4" w:space="0"/>
                    <w:bottom w:val="single" w:color="auto" w:sz="4" w:space="0"/>
                    <w:right w:val="single" w:color="auto" w:sz="4" w:space="0"/>
                  </w:tcBorders>
                  <w:vAlign w:val="center"/>
                </w:tcPr>
                <w:p w14:paraId="626635AD">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532" w:type="pct"/>
                  <w:vMerge w:val="continue"/>
                  <w:tcBorders>
                    <w:left w:val="single" w:color="auto" w:sz="4" w:space="0"/>
                    <w:right w:val="single" w:color="auto" w:sz="4" w:space="0"/>
                  </w:tcBorders>
                  <w:vAlign w:val="center"/>
                </w:tcPr>
                <w:p w14:paraId="0626236A">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481" w:type="pct"/>
                  <w:tcBorders>
                    <w:top w:val="single" w:color="auto" w:sz="4" w:space="0"/>
                    <w:left w:val="single" w:color="auto" w:sz="4" w:space="0"/>
                    <w:bottom w:val="single" w:color="auto" w:sz="4" w:space="0"/>
                    <w:right w:val="single" w:color="auto" w:sz="4" w:space="0"/>
                  </w:tcBorders>
                  <w:vAlign w:val="center"/>
                </w:tcPr>
                <w:p w14:paraId="00294CC3">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1月</w:t>
                  </w:r>
                </w:p>
              </w:tc>
            </w:tr>
            <w:tr w14:paraId="0FDF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509" w:type="pct"/>
                  <w:vMerge w:val="continue"/>
                  <w:tcBorders>
                    <w:left w:val="single" w:color="auto" w:sz="4" w:space="0"/>
                    <w:right w:val="single" w:color="auto" w:sz="4" w:space="0"/>
                  </w:tcBorders>
                  <w:vAlign w:val="center"/>
                </w:tcPr>
                <w:p w14:paraId="0548CD11">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779" w:type="pct"/>
                  <w:tcBorders>
                    <w:top w:val="single" w:color="auto" w:sz="4" w:space="0"/>
                    <w:left w:val="single" w:color="auto" w:sz="4" w:space="0"/>
                    <w:bottom w:val="single" w:color="auto" w:sz="4" w:space="0"/>
                    <w:right w:val="single" w:color="auto" w:sz="4" w:space="0"/>
                  </w:tcBorders>
                  <w:vAlign w:val="center"/>
                </w:tcPr>
                <w:p w14:paraId="54EFBA4D">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szCs w:val="21"/>
                    </w:rPr>
                    <w:t>废矿物油</w:t>
                  </w:r>
                </w:p>
              </w:tc>
              <w:tc>
                <w:tcPr>
                  <w:tcW w:w="532" w:type="pct"/>
                  <w:vMerge w:val="restart"/>
                  <w:tcBorders>
                    <w:left w:val="single" w:color="auto" w:sz="4" w:space="0"/>
                    <w:right w:val="single" w:color="auto" w:sz="4" w:space="0"/>
                  </w:tcBorders>
                  <w:vAlign w:val="center"/>
                </w:tcPr>
                <w:p w14:paraId="0BCAED80">
                  <w:pPr>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宋体" w:cs="Times New Roman"/>
                      <w:szCs w:val="21"/>
                    </w:rPr>
                    <w:t>HW08废矿物油与含矿物油废物</w:t>
                  </w:r>
                </w:p>
              </w:tc>
              <w:tc>
                <w:tcPr>
                  <w:tcW w:w="772" w:type="pct"/>
                  <w:tcBorders>
                    <w:left w:val="single" w:color="auto" w:sz="4" w:space="0"/>
                    <w:right w:val="single" w:color="auto" w:sz="4" w:space="0"/>
                  </w:tcBorders>
                  <w:vAlign w:val="center"/>
                </w:tcPr>
                <w:p w14:paraId="0305EC98">
                  <w:pPr>
                    <w:adjustRightInd w:val="0"/>
                    <w:spacing w:line="240" w:lineRule="exact"/>
                    <w:jc w:val="center"/>
                    <w:textAlignment w:val="baseline"/>
                    <w:rPr>
                      <w:rFonts w:ascii="Times New Roman" w:hAnsi="Times New Roman" w:eastAsia="宋体" w:cs="Times New Roman"/>
                      <w:color w:val="FF0000"/>
                      <w:szCs w:val="21"/>
                    </w:rPr>
                  </w:pPr>
                  <w:r>
                    <w:rPr>
                      <w:rFonts w:ascii="Times New Roman" w:hAnsi="Times New Roman" w:eastAsia="宋体" w:cs="Times New Roman"/>
                      <w:szCs w:val="21"/>
                    </w:rPr>
                    <w:t>900-214-08</w:t>
                  </w:r>
                </w:p>
              </w:tc>
              <w:tc>
                <w:tcPr>
                  <w:tcW w:w="692" w:type="pct"/>
                  <w:vMerge w:val="continue"/>
                  <w:tcBorders>
                    <w:left w:val="single" w:color="auto" w:sz="4" w:space="0"/>
                    <w:right w:val="single" w:color="auto" w:sz="4" w:space="0"/>
                  </w:tcBorders>
                  <w:vAlign w:val="center"/>
                </w:tcPr>
                <w:p w14:paraId="15523353">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699" w:type="pct"/>
                  <w:tcBorders>
                    <w:top w:val="single" w:color="auto" w:sz="4" w:space="0"/>
                    <w:left w:val="single" w:color="auto" w:sz="4" w:space="0"/>
                    <w:bottom w:val="single" w:color="auto" w:sz="4" w:space="0"/>
                    <w:right w:val="single" w:color="auto" w:sz="4" w:space="0"/>
                  </w:tcBorders>
                  <w:vAlign w:val="center"/>
                </w:tcPr>
                <w:p w14:paraId="0D87C229">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防渗托盘；</w:t>
                  </w:r>
                  <w:r>
                    <w:rPr>
                      <w:rFonts w:ascii="Times New Roman" w:hAnsi="Times New Roman" w:eastAsia="宋体" w:cs="Times New Roman"/>
                      <w:color w:val="000000" w:themeColor="text1"/>
                      <w:szCs w:val="21"/>
                      <w14:textFill>
                        <w14:solidFill>
                          <w14:schemeClr w14:val="tx1"/>
                        </w14:solidFill>
                      </w14:textFill>
                    </w:rPr>
                    <w:t>防腐防渗密</w:t>
                  </w:r>
                  <w:r>
                    <w:rPr>
                      <w:rFonts w:hint="eastAsia" w:ascii="Times New Roman" w:hAnsi="Times New Roman" w:eastAsia="宋体" w:cs="Times New Roman"/>
                      <w:color w:val="000000" w:themeColor="text1"/>
                      <w:szCs w:val="21"/>
                      <w14:textFill>
                        <w14:solidFill>
                          <w14:schemeClr w14:val="tx1"/>
                        </w14:solidFill>
                      </w14:textFill>
                    </w:rPr>
                    <w:t>闭</w:t>
                  </w:r>
                  <w:r>
                    <w:rPr>
                      <w:rFonts w:ascii="Times New Roman" w:hAnsi="Times New Roman" w:eastAsia="宋体" w:cs="Times New Roman"/>
                      <w:color w:val="000000" w:themeColor="text1"/>
                      <w:szCs w:val="21"/>
                      <w14:textFill>
                        <w14:solidFill>
                          <w14:schemeClr w14:val="tx1"/>
                        </w14:solidFill>
                      </w14:textFill>
                    </w:rPr>
                    <w:t>容器</w:t>
                  </w:r>
                </w:p>
              </w:tc>
              <w:tc>
                <w:tcPr>
                  <w:tcW w:w="532" w:type="pct"/>
                  <w:vMerge w:val="continue"/>
                  <w:tcBorders>
                    <w:left w:val="single" w:color="auto" w:sz="4" w:space="0"/>
                    <w:right w:val="single" w:color="auto" w:sz="4" w:space="0"/>
                  </w:tcBorders>
                  <w:vAlign w:val="center"/>
                </w:tcPr>
                <w:p w14:paraId="2C30628E">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481" w:type="pct"/>
                  <w:tcBorders>
                    <w:top w:val="single" w:color="auto" w:sz="4" w:space="0"/>
                    <w:left w:val="single" w:color="auto" w:sz="4" w:space="0"/>
                    <w:bottom w:val="single" w:color="auto" w:sz="4" w:space="0"/>
                    <w:right w:val="single" w:color="auto" w:sz="4" w:space="0"/>
                  </w:tcBorders>
                  <w:vAlign w:val="center"/>
                </w:tcPr>
                <w:p w14:paraId="5741BC40">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1季度</w:t>
                  </w:r>
                </w:p>
              </w:tc>
            </w:tr>
            <w:tr w14:paraId="750F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09" w:type="pct"/>
                  <w:vMerge w:val="continue"/>
                  <w:tcBorders>
                    <w:left w:val="single" w:color="auto" w:sz="4" w:space="0"/>
                    <w:right w:val="single" w:color="auto" w:sz="4" w:space="0"/>
                  </w:tcBorders>
                  <w:vAlign w:val="center"/>
                </w:tcPr>
                <w:p w14:paraId="1429BB42">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779" w:type="pct"/>
                  <w:tcBorders>
                    <w:top w:val="single" w:color="auto" w:sz="4" w:space="0"/>
                    <w:left w:val="single" w:color="auto" w:sz="4" w:space="0"/>
                    <w:bottom w:val="single" w:color="auto" w:sz="4" w:space="0"/>
                    <w:right w:val="single" w:color="auto" w:sz="4" w:space="0"/>
                  </w:tcBorders>
                  <w:vAlign w:val="center"/>
                </w:tcPr>
                <w:p w14:paraId="20017EF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废油桶</w:t>
                  </w:r>
                </w:p>
              </w:tc>
              <w:tc>
                <w:tcPr>
                  <w:tcW w:w="532" w:type="pct"/>
                  <w:vMerge w:val="continue"/>
                  <w:tcBorders>
                    <w:left w:val="single" w:color="auto" w:sz="4" w:space="0"/>
                    <w:right w:val="single" w:color="auto" w:sz="4" w:space="0"/>
                  </w:tcBorders>
                  <w:vAlign w:val="center"/>
                </w:tcPr>
                <w:p w14:paraId="74706EBE">
                  <w:pPr>
                    <w:adjustRightInd w:val="0"/>
                    <w:spacing w:line="240" w:lineRule="exact"/>
                    <w:jc w:val="center"/>
                    <w:textAlignment w:val="baseline"/>
                    <w:rPr>
                      <w:rFonts w:ascii="Times New Roman" w:hAnsi="Times New Roman" w:eastAsia="宋体" w:cs="Times New Roman"/>
                      <w:szCs w:val="21"/>
                    </w:rPr>
                  </w:pPr>
                </w:p>
              </w:tc>
              <w:tc>
                <w:tcPr>
                  <w:tcW w:w="772" w:type="pct"/>
                  <w:tcBorders>
                    <w:left w:val="single" w:color="auto" w:sz="4" w:space="0"/>
                    <w:right w:val="single" w:color="auto" w:sz="4" w:space="0"/>
                  </w:tcBorders>
                  <w:vAlign w:val="center"/>
                </w:tcPr>
                <w:p w14:paraId="185564E3">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900-249-08</w:t>
                  </w:r>
                </w:p>
              </w:tc>
              <w:tc>
                <w:tcPr>
                  <w:tcW w:w="692" w:type="pct"/>
                  <w:vMerge w:val="continue"/>
                  <w:tcBorders>
                    <w:left w:val="single" w:color="auto" w:sz="4" w:space="0"/>
                    <w:right w:val="single" w:color="auto" w:sz="4" w:space="0"/>
                  </w:tcBorders>
                  <w:vAlign w:val="center"/>
                </w:tcPr>
                <w:p w14:paraId="1F0C27AB">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699" w:type="pct"/>
                  <w:tcBorders>
                    <w:top w:val="single" w:color="auto" w:sz="4" w:space="0"/>
                    <w:left w:val="single" w:color="auto" w:sz="4" w:space="0"/>
                    <w:bottom w:val="single" w:color="auto" w:sz="4" w:space="0"/>
                    <w:right w:val="single" w:color="auto" w:sz="4" w:space="0"/>
                  </w:tcBorders>
                  <w:vAlign w:val="center"/>
                </w:tcPr>
                <w:p w14:paraId="305A7E60">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防渗托盘；分类收集，保持桶体完整并加盖</w:t>
                  </w:r>
                </w:p>
              </w:tc>
              <w:tc>
                <w:tcPr>
                  <w:tcW w:w="532" w:type="pct"/>
                  <w:vMerge w:val="continue"/>
                  <w:tcBorders>
                    <w:left w:val="single" w:color="auto" w:sz="4" w:space="0"/>
                    <w:right w:val="single" w:color="auto" w:sz="4" w:space="0"/>
                  </w:tcBorders>
                  <w:vAlign w:val="center"/>
                </w:tcPr>
                <w:p w14:paraId="1AAEE5A5">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481" w:type="pct"/>
                  <w:tcBorders>
                    <w:top w:val="single" w:color="auto" w:sz="4" w:space="0"/>
                    <w:left w:val="single" w:color="auto" w:sz="4" w:space="0"/>
                    <w:bottom w:val="single" w:color="auto" w:sz="4" w:space="0"/>
                    <w:right w:val="single" w:color="auto" w:sz="4" w:space="0"/>
                  </w:tcBorders>
                  <w:vAlign w:val="center"/>
                </w:tcPr>
                <w:p w14:paraId="42ACAA55">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1季度</w:t>
                  </w:r>
                </w:p>
              </w:tc>
            </w:tr>
            <w:tr w14:paraId="6382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9" w:type="pct"/>
                  <w:vMerge w:val="continue"/>
                  <w:tcBorders>
                    <w:left w:val="single" w:color="auto" w:sz="4" w:space="0"/>
                    <w:right w:val="single" w:color="auto" w:sz="4" w:space="0"/>
                  </w:tcBorders>
                  <w:vAlign w:val="center"/>
                </w:tcPr>
                <w:p w14:paraId="66E2B280">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779" w:type="pct"/>
                  <w:tcBorders>
                    <w:top w:val="single" w:color="auto" w:sz="4" w:space="0"/>
                    <w:left w:val="single" w:color="auto" w:sz="4" w:space="0"/>
                    <w:bottom w:val="single" w:color="auto" w:sz="4" w:space="0"/>
                    <w:right w:val="single" w:color="auto" w:sz="4" w:space="0"/>
                  </w:tcBorders>
                  <w:vAlign w:val="center"/>
                </w:tcPr>
                <w:p w14:paraId="21E6BBE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废含油棉纱及废手套</w:t>
                  </w:r>
                </w:p>
              </w:tc>
              <w:tc>
                <w:tcPr>
                  <w:tcW w:w="532" w:type="pct"/>
                  <w:tcBorders>
                    <w:left w:val="single" w:color="auto" w:sz="4" w:space="0"/>
                    <w:bottom w:val="single" w:color="auto" w:sz="4" w:space="0"/>
                    <w:right w:val="single" w:color="auto" w:sz="4" w:space="0"/>
                  </w:tcBorders>
                  <w:vAlign w:val="center"/>
                </w:tcPr>
                <w:p w14:paraId="2BC474BA">
                  <w:pPr>
                    <w:wordWrap w:val="0"/>
                    <w:topLinePunct/>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HW49其他废物</w:t>
                  </w:r>
                </w:p>
              </w:tc>
              <w:tc>
                <w:tcPr>
                  <w:tcW w:w="772" w:type="pct"/>
                  <w:tcBorders>
                    <w:left w:val="single" w:color="auto" w:sz="4" w:space="0"/>
                    <w:bottom w:val="single" w:color="auto" w:sz="4" w:space="0"/>
                    <w:right w:val="single" w:color="auto" w:sz="4" w:space="0"/>
                  </w:tcBorders>
                  <w:vAlign w:val="center"/>
                </w:tcPr>
                <w:p w14:paraId="2ABEC03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900-041-49</w:t>
                  </w:r>
                </w:p>
              </w:tc>
              <w:tc>
                <w:tcPr>
                  <w:tcW w:w="692" w:type="pct"/>
                  <w:vMerge w:val="continue"/>
                  <w:tcBorders>
                    <w:left w:val="single" w:color="auto" w:sz="4" w:space="0"/>
                    <w:right w:val="single" w:color="auto" w:sz="4" w:space="0"/>
                  </w:tcBorders>
                  <w:vAlign w:val="center"/>
                </w:tcPr>
                <w:p w14:paraId="72DFC940">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699" w:type="pct"/>
                  <w:tcBorders>
                    <w:top w:val="single" w:color="auto" w:sz="4" w:space="0"/>
                    <w:left w:val="single" w:color="auto" w:sz="4" w:space="0"/>
                    <w:right w:val="single" w:color="auto" w:sz="4" w:space="0"/>
                  </w:tcBorders>
                  <w:vAlign w:val="center"/>
                </w:tcPr>
                <w:p w14:paraId="0E3897F6">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防腐防渗密</w:t>
                  </w:r>
                  <w:r>
                    <w:rPr>
                      <w:rFonts w:hint="eastAsia" w:ascii="Times New Roman" w:hAnsi="Times New Roman" w:eastAsia="宋体" w:cs="Times New Roman"/>
                      <w:color w:val="000000" w:themeColor="text1"/>
                      <w:szCs w:val="21"/>
                      <w14:textFill>
                        <w14:solidFill>
                          <w14:schemeClr w14:val="tx1"/>
                        </w14:solidFill>
                      </w14:textFill>
                    </w:rPr>
                    <w:t>闭</w:t>
                  </w:r>
                  <w:r>
                    <w:rPr>
                      <w:rFonts w:ascii="Times New Roman" w:hAnsi="Times New Roman" w:eastAsia="宋体" w:cs="Times New Roman"/>
                      <w:color w:val="000000" w:themeColor="text1"/>
                      <w:szCs w:val="21"/>
                      <w14:textFill>
                        <w14:solidFill>
                          <w14:schemeClr w14:val="tx1"/>
                        </w14:solidFill>
                      </w14:textFill>
                    </w:rPr>
                    <w:t>容器</w:t>
                  </w:r>
                </w:p>
              </w:tc>
              <w:tc>
                <w:tcPr>
                  <w:tcW w:w="532" w:type="pct"/>
                  <w:vMerge w:val="continue"/>
                  <w:tcBorders>
                    <w:left w:val="single" w:color="auto" w:sz="4" w:space="0"/>
                    <w:right w:val="single" w:color="auto" w:sz="4" w:space="0"/>
                  </w:tcBorders>
                  <w:vAlign w:val="center"/>
                </w:tcPr>
                <w:p w14:paraId="2C2A67A6">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p>
              </w:tc>
              <w:tc>
                <w:tcPr>
                  <w:tcW w:w="481" w:type="pct"/>
                  <w:tcBorders>
                    <w:top w:val="single" w:color="auto" w:sz="4" w:space="0"/>
                    <w:left w:val="single" w:color="auto" w:sz="4" w:space="0"/>
                    <w:right w:val="single" w:color="auto" w:sz="4" w:space="0"/>
                  </w:tcBorders>
                  <w:vAlign w:val="center"/>
                </w:tcPr>
                <w:p w14:paraId="71D71661">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1季度</w:t>
                  </w:r>
                </w:p>
              </w:tc>
            </w:tr>
          </w:tbl>
          <w:p w14:paraId="21988B8B">
            <w:pPr>
              <w:wordWrap w:val="0"/>
              <w:topLinePunct/>
              <w:spacing w:line="360" w:lineRule="auto"/>
              <w:ind w:firstLine="480" w:firstLineChars="200"/>
              <w:rPr>
                <w:rFonts w:ascii="Calibri" w:hAnsi="Calibri" w:eastAsia="宋体" w:cs="Times New Roman"/>
                <w:sz w:val="24"/>
                <w:szCs w:val="20"/>
              </w:rPr>
            </w:pPr>
            <w:r>
              <w:rPr>
                <w:rFonts w:ascii="Calibri" w:hAnsi="Calibri" w:eastAsia="宋体" w:cs="Times New Roman"/>
                <w:sz w:val="24"/>
                <w:szCs w:val="20"/>
              </w:rPr>
              <w:t>综上所述，本项目固体废物的处置遵循了分类原则、回收利用原则、减量化原则、无害化原则及分散与集中相结合的原则，将不同类型的固体废物进行分类收集、分类处理，</w:t>
            </w:r>
            <w:r>
              <w:rPr>
                <w:rFonts w:hint="eastAsia" w:ascii="Calibri" w:hAnsi="Calibri" w:eastAsia="宋体" w:cs="Times New Roman"/>
                <w:sz w:val="24"/>
                <w:szCs w:val="20"/>
              </w:rPr>
              <w:t>本项目</w:t>
            </w:r>
            <w:r>
              <w:rPr>
                <w:rFonts w:ascii="Calibri" w:hAnsi="Calibri" w:eastAsia="宋体" w:cs="Times New Roman"/>
                <w:sz w:val="24"/>
                <w:szCs w:val="20"/>
              </w:rPr>
              <w:t>产生的</w:t>
            </w:r>
            <w:r>
              <w:rPr>
                <w:rFonts w:hint="eastAsia" w:ascii="Calibri" w:hAnsi="Calibri" w:eastAsia="宋体" w:cs="Times New Roman"/>
                <w:sz w:val="24"/>
                <w:szCs w:val="20"/>
              </w:rPr>
              <w:t>各类</w:t>
            </w:r>
            <w:r>
              <w:rPr>
                <w:rFonts w:ascii="Calibri" w:hAnsi="Calibri" w:eastAsia="宋体" w:cs="Times New Roman"/>
                <w:sz w:val="24"/>
                <w:szCs w:val="20"/>
              </w:rPr>
              <w:t>固体废物均得到了合理处置</w:t>
            </w:r>
            <w:r>
              <w:rPr>
                <w:rFonts w:hint="eastAsia" w:ascii="Calibri" w:hAnsi="Calibri" w:eastAsia="宋体" w:cs="Times New Roman"/>
                <w:sz w:val="24"/>
                <w:szCs w:val="20"/>
              </w:rPr>
              <w:t>。</w:t>
            </w:r>
          </w:p>
          <w:p w14:paraId="742E053F">
            <w:pPr>
              <w:wordWrap w:val="0"/>
              <w:topLinePunct/>
              <w:spacing w:line="360" w:lineRule="auto"/>
              <w:ind w:firstLine="480" w:firstLineChars="200"/>
              <w:rPr>
                <w:rFonts w:ascii="Calibri" w:hAnsi="Calibri" w:eastAsia="宋体" w:cs="Times New Roman"/>
                <w:sz w:val="24"/>
                <w:szCs w:val="20"/>
              </w:rPr>
            </w:pPr>
            <w:r>
              <w:rPr>
                <w:rFonts w:hint="eastAsia" w:ascii="Calibri" w:hAnsi="Calibri" w:eastAsia="宋体" w:cs="Times New Roman"/>
                <w:sz w:val="24"/>
                <w:szCs w:val="20"/>
              </w:rPr>
              <w:t>建设单位应在运营期</w:t>
            </w:r>
            <w:r>
              <w:rPr>
                <w:rFonts w:ascii="Calibri" w:hAnsi="Calibri" w:eastAsia="宋体" w:cs="Times New Roman"/>
                <w:sz w:val="24"/>
                <w:szCs w:val="20"/>
              </w:rPr>
              <w:t>做好固废的日常管理工作，</w:t>
            </w:r>
            <w:r>
              <w:rPr>
                <w:rFonts w:hint="eastAsia" w:ascii="Calibri" w:hAnsi="Calibri" w:eastAsia="宋体" w:cs="Times New Roman"/>
                <w:sz w:val="24"/>
                <w:szCs w:val="20"/>
              </w:rPr>
              <w:t>在严格执行固体废物防治措施，禁止违法、随意倾倒处置固体废物的条件下，本项目固体废物</w:t>
            </w:r>
            <w:r>
              <w:rPr>
                <w:rFonts w:ascii="Calibri" w:hAnsi="Calibri" w:eastAsia="宋体" w:cs="Times New Roman"/>
                <w:sz w:val="24"/>
                <w:szCs w:val="20"/>
              </w:rPr>
              <w:t>不会对周</w:t>
            </w:r>
            <w:r>
              <w:rPr>
                <w:rFonts w:hint="eastAsia" w:ascii="Calibri" w:hAnsi="Calibri" w:eastAsia="宋体" w:cs="Times New Roman"/>
                <w:sz w:val="24"/>
                <w:szCs w:val="20"/>
              </w:rPr>
              <w:t>边</w:t>
            </w:r>
            <w:r>
              <w:rPr>
                <w:rFonts w:ascii="Calibri" w:hAnsi="Calibri" w:eastAsia="宋体" w:cs="Times New Roman"/>
                <w:sz w:val="24"/>
                <w:szCs w:val="20"/>
              </w:rPr>
              <w:t>环境造成二次污染，因此，本项目产生的固体废物对项目所在区域环境影响</w:t>
            </w:r>
            <w:r>
              <w:rPr>
                <w:rFonts w:hint="eastAsia" w:ascii="Calibri" w:hAnsi="Calibri" w:eastAsia="宋体" w:cs="Times New Roman"/>
                <w:sz w:val="24"/>
                <w:szCs w:val="20"/>
              </w:rPr>
              <w:t>较小</w:t>
            </w:r>
            <w:r>
              <w:rPr>
                <w:rFonts w:ascii="Calibri" w:hAnsi="Calibri" w:eastAsia="宋体" w:cs="Times New Roman"/>
                <w:sz w:val="24"/>
                <w:szCs w:val="20"/>
              </w:rPr>
              <w:t>。</w:t>
            </w:r>
          </w:p>
          <w:p w14:paraId="248C331B">
            <w:pPr>
              <w:wordWrap w:val="0"/>
              <w:topLinePunct/>
              <w:spacing w:line="360" w:lineRule="auto"/>
              <w:rPr>
                <w:rFonts w:hint="eastAsia" w:ascii="Times New Roman" w:hAnsi="宋体" w:eastAsia="宋体" w:cs="Times New Roman"/>
                <w:b/>
                <w:sz w:val="24"/>
              </w:rPr>
            </w:pPr>
            <w:r>
              <w:rPr>
                <w:rFonts w:hint="eastAsia" w:ascii="Times New Roman" w:hAnsi="宋体" w:eastAsia="宋体" w:cs="Times New Roman"/>
                <w:b/>
                <w:sz w:val="24"/>
              </w:rPr>
              <w:t>6土壤、地下水</w:t>
            </w:r>
          </w:p>
          <w:p w14:paraId="319157F8">
            <w:pPr>
              <w:wordWrap w:val="0"/>
              <w:topLinePunct/>
              <w:spacing w:line="360" w:lineRule="auto"/>
              <w:ind w:firstLine="480" w:firstLineChars="200"/>
              <w:rPr>
                <w:rFonts w:hint="eastAsia" w:ascii="Times New Roman" w:hAnsi="宋体" w:eastAsia="宋体" w:cs="Times New Roman"/>
                <w:bCs/>
                <w:sz w:val="24"/>
              </w:rPr>
            </w:pPr>
            <w:r>
              <w:rPr>
                <w:rFonts w:hint="eastAsia" w:ascii="Times New Roman" w:hAnsi="宋体" w:eastAsia="宋体" w:cs="Times New Roman"/>
                <w:bCs/>
                <w:sz w:val="24"/>
              </w:rPr>
              <w:t>按照“源头控制、分区防控、污染监控、应急响应”的原则，本项目土壤、地下水环境污染防治采取“源头控制、分区防渗、加强巡检”的防治措施。</w:t>
            </w:r>
          </w:p>
          <w:p w14:paraId="2FE891AC">
            <w:pPr>
              <w:wordWrap w:val="0"/>
              <w:topLinePunct/>
              <w:spacing w:line="360" w:lineRule="auto"/>
              <w:ind w:firstLine="480" w:firstLineChars="200"/>
              <w:rPr>
                <w:rFonts w:hint="eastAsia" w:ascii="Times New Roman" w:hAnsi="宋体" w:eastAsia="宋体" w:cs="Times New Roman"/>
                <w:bCs/>
                <w:color w:val="FF0000"/>
                <w:sz w:val="24"/>
              </w:rPr>
            </w:pPr>
            <w:r>
              <w:rPr>
                <w:rFonts w:hint="eastAsia" w:ascii="Times New Roman" w:hAnsi="宋体" w:eastAsia="宋体" w:cs="Times New Roman"/>
                <w:bCs/>
                <w:sz w:val="24"/>
              </w:rPr>
              <w:t>本项目结合工程分析及各生产功能单元可能泄漏至地面区域的污染物性质和生产单元的构筑方式，将各生产功能单元划分为重点防渗区、一般防渗区和简单防渗区，执行《环境影响评价技术导则 地下水环境》（HJ610-2016）建设项目污染防控对策—地下水污染防渗分区的防渗技术要求。</w:t>
            </w:r>
          </w:p>
          <w:p w14:paraId="08293F64">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按照各生产功能单元可能泄漏至地面区域的污染物性质，本项目分区防渗要求如下：</w:t>
            </w:r>
          </w:p>
          <w:p w14:paraId="317192E1">
            <w:pPr>
              <w:wordWrap w:val="0"/>
              <w:topLinePunct/>
              <w:spacing w:line="360" w:lineRule="auto"/>
              <w:ind w:firstLine="480" w:firstLineChars="200"/>
              <w:rPr>
                <w:rFonts w:ascii="Times New Roman" w:hAnsi="Times New Roman" w:eastAsia="宋体" w:cs="Times New Roman"/>
                <w:color w:val="FF0000"/>
                <w:sz w:val="24"/>
              </w:rPr>
            </w:pPr>
            <w:r>
              <w:rPr>
                <w:rFonts w:hint="eastAsia" w:ascii="Times New Roman" w:hAnsi="Times New Roman" w:eastAsia="宋体" w:cs="Times New Roman"/>
                <w:sz w:val="24"/>
              </w:rPr>
              <w:t>本环评要求危险废物贮存点（危险废物暂存间）区域、有机热载体炉房区域（导热油）、柴油储罐区域、事故收集池（柴油储罐区）、防火堤围堰执行重点防渗区要求。即重点防渗区防渗层的防渗性能应等效于6.0m厚渗透系数为1.0×10</w:t>
            </w:r>
            <w:r>
              <w:rPr>
                <w:rFonts w:hint="eastAsia" w:ascii="Times New Roman" w:hAnsi="Times New Roman" w:eastAsia="宋体" w:cs="Times New Roman"/>
                <w:sz w:val="24"/>
                <w:vertAlign w:val="superscript"/>
              </w:rPr>
              <w:t>-7</w:t>
            </w:r>
            <w:r>
              <w:rPr>
                <w:rFonts w:hint="eastAsia" w:ascii="Times New Roman" w:hAnsi="Times New Roman" w:eastAsia="宋体" w:cs="Times New Roman"/>
                <w:sz w:val="24"/>
              </w:rPr>
              <w:t>cm/s的黏土层的防渗性能；危险废物贮存点（危险废物暂存间）还应同时满足《危险废物贮存污染控制标准》（GB 18597-2023）的相关要求：“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eastAsia" w:ascii="Times New Roman" w:hAnsi="Times New Roman" w:eastAsia="宋体" w:cs="Times New Roman"/>
                <w:sz w:val="24"/>
                <w:vertAlign w:val="superscript"/>
              </w:rPr>
              <w:t>-7</w:t>
            </w:r>
            <w:r>
              <w:rPr>
                <w:rFonts w:hint="eastAsia" w:ascii="Times New Roman" w:hAnsi="Times New Roman" w:eastAsia="宋体" w:cs="Times New Roman"/>
                <w:sz w:val="24"/>
              </w:rPr>
              <w:t>cm/s），或至少2mm厚高密度聚乙烯膜等人工防渗材料（渗透系数不大于10</w:t>
            </w:r>
            <w:r>
              <w:rPr>
                <w:rFonts w:hint="eastAsia" w:ascii="Times New Roman" w:hAnsi="Times New Roman" w:eastAsia="宋体" w:cs="Times New Roman"/>
                <w:sz w:val="24"/>
                <w:vertAlign w:val="superscript"/>
              </w:rPr>
              <w:t>-10</w:t>
            </w:r>
            <w:r>
              <w:rPr>
                <w:rFonts w:hint="eastAsia" w:ascii="Times New Roman" w:hAnsi="Times New Roman" w:eastAsia="宋体" w:cs="Times New Roman"/>
                <w:sz w:val="24"/>
              </w:rPr>
              <w:t>cm/s），或其他防渗性能等效的材料”</w:t>
            </w:r>
            <w:r>
              <w:fldChar w:fldCharType="begin"/>
            </w:r>
            <w:r>
              <w:instrText xml:space="preserve"> HYPERLINK "http://www.nys.gov.cn:8090/Upload/main/ContentManage/Article/File/2025/06/20/202506202056598945.pdf" \l "41#38" \t "/Users/zhangminen/Documents\x/_blank" </w:instrText>
            </w:r>
            <w:r>
              <w:fldChar w:fldCharType="separate"/>
            </w:r>
            <w:r>
              <w:fldChar w:fldCharType="end"/>
            </w:r>
            <w:r>
              <w:rPr>
                <w:rFonts w:hint="eastAsia" w:ascii="Times New Roman" w:hAnsi="Times New Roman" w:eastAsia="宋体" w:cs="Times New Roman"/>
                <w:sz w:val="24"/>
              </w:rPr>
              <w:t>。柴油储罐区设置非燃烧材料的防火堤围堰，围堰高度1m，内置导流槽与防渗事故收集池（50m</w:t>
            </w:r>
            <w:r>
              <w:rPr>
                <w:rFonts w:hint="eastAsia" w:ascii="Times New Roman" w:hAnsi="Times New Roman" w:eastAsia="宋体" w:cs="Times New Roman"/>
                <w:sz w:val="24"/>
                <w:vertAlign w:val="superscript"/>
              </w:rPr>
              <w:t>3</w:t>
            </w:r>
            <w:r>
              <w:rPr>
                <w:rFonts w:hint="eastAsia" w:ascii="Times New Roman" w:hAnsi="Times New Roman" w:eastAsia="宋体" w:cs="Times New Roman"/>
                <w:sz w:val="24"/>
              </w:rPr>
              <w:t>）有效连接。</w:t>
            </w:r>
          </w:p>
          <w:p w14:paraId="6D1C9A60">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沥青拌合楼区域、沥青储罐区域、原料堆棚区域、废料仓、一般工业固体废物暂存间、化粪池区域、车辆冲洗废水沉淀池区域执行一般防渗区要求，即一般防渗区防渗层的防渗性能应等效于1.5m厚渗透系数为1.0×10</w:t>
            </w:r>
            <w:r>
              <w:rPr>
                <w:rFonts w:hint="eastAsia" w:ascii="Times New Roman" w:hAnsi="Times New Roman" w:eastAsia="宋体" w:cs="Times New Roman"/>
                <w:sz w:val="24"/>
                <w:vertAlign w:val="superscript"/>
              </w:rPr>
              <w:t>-7</w:t>
            </w:r>
            <w:r>
              <w:rPr>
                <w:rFonts w:hint="eastAsia" w:ascii="Times New Roman" w:hAnsi="Times New Roman" w:eastAsia="宋体" w:cs="Times New Roman"/>
                <w:sz w:val="24"/>
              </w:rPr>
              <w:t>cm/s的黏土层的防渗性能。厂区综合用房、道路等区域执行简单防渗区要求，进行一般地面硬化。</w:t>
            </w:r>
          </w:p>
          <w:p w14:paraId="7D5B5081">
            <w:pPr>
              <w:wordWrap w:val="0"/>
              <w:topLinePunct/>
              <w:spacing w:line="360" w:lineRule="auto"/>
              <w:ind w:firstLine="480" w:firstLineChars="200"/>
              <w:rPr>
                <w:rFonts w:ascii="Times New Roman" w:hAnsi="Times New Roman" w:eastAsia="宋体" w:cs="Times New Roman"/>
                <w:color w:val="FF0000"/>
                <w:sz w:val="24"/>
              </w:rPr>
            </w:pPr>
            <w:r>
              <w:rPr>
                <w:rFonts w:hint="eastAsia" w:ascii="Times New Roman" w:hAnsi="Times New Roman" w:eastAsia="宋体" w:cs="Times New Roman"/>
                <w:sz w:val="24"/>
              </w:rPr>
              <w:t>在污染监控与应急响应方面，本项目运营期应加强巡检，发现隐患及时整改；并制定土壤及地下水污染事故应急预案，配备必要的应急物资及防渗堵漏设施。在严格落实上述地下水、土壤分区防渗、污染监控、应急响应防治措施及要求后，可有效切断土壤、地下水环境污染途径。</w:t>
            </w:r>
          </w:p>
          <w:p w14:paraId="332C59FA">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综上，本项目建设及运行对土壤、地下水环境影响较小。</w:t>
            </w:r>
          </w:p>
          <w:p w14:paraId="4784A210">
            <w:pPr>
              <w:spacing w:line="360" w:lineRule="auto"/>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7环境风险分析及防范措施</w:t>
            </w:r>
          </w:p>
          <w:p w14:paraId="464A1C46">
            <w:pPr>
              <w:spacing w:line="360" w:lineRule="auto"/>
              <w:ind w:firstLine="482" w:firstLineChars="200"/>
              <w:rPr>
                <w:rFonts w:ascii="Times New Roman" w:hAnsi="Times New Roman" w:eastAsia="宋体" w:cs="Times New Roman"/>
                <w:b/>
                <w:bCs/>
                <w:sz w:val="24"/>
              </w:rPr>
            </w:pPr>
            <w:r>
              <w:rPr>
                <w:rFonts w:hint="eastAsia" w:ascii="Times New Roman" w:hAnsi="Times New Roman" w:eastAsia="宋体" w:cs="Times New Roman"/>
                <w:b/>
                <w:bCs/>
                <w:sz w:val="24"/>
              </w:rPr>
              <w:t>7.1</w:t>
            </w:r>
            <w:r>
              <w:rPr>
                <w:rFonts w:ascii="Times New Roman" w:hAnsi="Times New Roman" w:eastAsia="宋体" w:cs="Times New Roman"/>
                <w:b/>
                <w:bCs/>
                <w:sz w:val="24"/>
              </w:rPr>
              <w:t>环境风险潜势初判</w:t>
            </w:r>
          </w:p>
          <w:p w14:paraId="242B88D1">
            <w:pPr>
              <w:wordWrap w:val="0"/>
              <w:topLinePunct/>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依据《建设项目环境风险评价技术导则》（HJ169-2018）中6.1，“根据建设项目涉及的物质和工艺系统的危险性及其所在地的环境敏感程度，结合事故情形下环境影响途径，对建设项目潜在环境危害程度进行概化分析，确定环境风险潜势”。</w:t>
            </w:r>
          </w:p>
          <w:p w14:paraId="352C762B">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根据《建设项目环境风险评价技术导则》附录B.1、附录C.1.1，计算环境危险物质数量与临界量比值Q。本项目环境危险物质与其临界量比值（Q值）详见表4-39。</w:t>
            </w:r>
          </w:p>
          <w:p w14:paraId="05BE2AF6">
            <w:pPr>
              <w:wordWrap w:val="0"/>
              <w:topLinePunct/>
              <w:spacing w:line="360" w:lineRule="auto"/>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 xml:space="preserve">  表4-39 本项目环境危险物质与其临界量比值</w:t>
            </w:r>
          </w:p>
          <w:tbl>
            <w:tblPr>
              <w:tblStyle w:val="28"/>
              <w:tblW w:w="49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78"/>
              <w:gridCol w:w="1968"/>
              <w:gridCol w:w="1995"/>
              <w:gridCol w:w="1563"/>
              <w:gridCol w:w="1603"/>
            </w:tblGrid>
            <w:tr w14:paraId="704E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48" w:type="pct"/>
                  <w:tcBorders>
                    <w:tl2br w:val="nil"/>
                    <w:tr2bl w:val="nil"/>
                  </w:tcBorders>
                  <w:vAlign w:val="center"/>
                </w:tcPr>
                <w:p w14:paraId="6B82E2F3">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序号</w:t>
                  </w:r>
                </w:p>
              </w:tc>
              <w:tc>
                <w:tcPr>
                  <w:tcW w:w="1229" w:type="pct"/>
                  <w:tcBorders>
                    <w:tl2br w:val="nil"/>
                    <w:tr2bl w:val="nil"/>
                  </w:tcBorders>
                  <w:vAlign w:val="center"/>
                </w:tcPr>
                <w:p w14:paraId="17497E57">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环境危险物质名称</w:t>
                  </w:r>
                </w:p>
              </w:tc>
              <w:tc>
                <w:tcPr>
                  <w:tcW w:w="1246" w:type="pct"/>
                  <w:tcBorders>
                    <w:tl2br w:val="nil"/>
                    <w:tr2bl w:val="nil"/>
                  </w:tcBorders>
                  <w:vAlign w:val="center"/>
                </w:tcPr>
                <w:p w14:paraId="79807F08">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环境危险物质在厂区中最大贮存量（t）</w:t>
                  </w:r>
                </w:p>
              </w:tc>
              <w:tc>
                <w:tcPr>
                  <w:tcW w:w="975" w:type="pct"/>
                  <w:tcBorders>
                    <w:tl2br w:val="nil"/>
                    <w:tr2bl w:val="nil"/>
                  </w:tcBorders>
                  <w:vAlign w:val="center"/>
                </w:tcPr>
                <w:p w14:paraId="51965549">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环境危险物质临界量(t)</w:t>
                  </w:r>
                </w:p>
              </w:tc>
              <w:tc>
                <w:tcPr>
                  <w:tcW w:w="1000" w:type="pct"/>
                  <w:tcBorders>
                    <w:tl2br w:val="nil"/>
                    <w:tr2bl w:val="nil"/>
                  </w:tcBorders>
                  <w:vAlign w:val="center"/>
                </w:tcPr>
                <w:p w14:paraId="0F52A345">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Q值</w:t>
                  </w:r>
                </w:p>
              </w:tc>
            </w:tr>
            <w:tr w14:paraId="649D8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48" w:type="pct"/>
                  <w:tcBorders>
                    <w:tl2br w:val="nil"/>
                    <w:tr2bl w:val="nil"/>
                  </w:tcBorders>
                  <w:vAlign w:val="center"/>
                </w:tcPr>
                <w:p w14:paraId="062F57EC">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1</w:t>
                  </w:r>
                </w:p>
              </w:tc>
              <w:tc>
                <w:tcPr>
                  <w:tcW w:w="1229" w:type="pct"/>
                  <w:tcBorders>
                    <w:tl2br w:val="nil"/>
                    <w:tr2bl w:val="nil"/>
                  </w:tcBorders>
                  <w:vAlign w:val="center"/>
                </w:tcPr>
                <w:p w14:paraId="614C9E9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柴油</w:t>
                  </w:r>
                </w:p>
              </w:tc>
              <w:tc>
                <w:tcPr>
                  <w:tcW w:w="1246" w:type="pct"/>
                  <w:tcBorders>
                    <w:tl2br w:val="nil"/>
                    <w:tr2bl w:val="nil"/>
                  </w:tcBorders>
                  <w:vAlign w:val="center"/>
                </w:tcPr>
                <w:p w14:paraId="536C3CD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65</w:t>
                  </w:r>
                </w:p>
              </w:tc>
              <w:tc>
                <w:tcPr>
                  <w:tcW w:w="975" w:type="pct"/>
                  <w:tcBorders>
                    <w:tl2br w:val="nil"/>
                    <w:tr2bl w:val="nil"/>
                  </w:tcBorders>
                  <w:vAlign w:val="center"/>
                </w:tcPr>
                <w:p w14:paraId="7A66592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2500</w:t>
                  </w:r>
                </w:p>
              </w:tc>
              <w:tc>
                <w:tcPr>
                  <w:tcW w:w="1000" w:type="pct"/>
                  <w:tcBorders>
                    <w:tl2br w:val="nil"/>
                    <w:tr2bl w:val="nil"/>
                  </w:tcBorders>
                  <w:vAlign w:val="center"/>
                </w:tcPr>
                <w:p w14:paraId="4377C3C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0.026</w:t>
                  </w:r>
                </w:p>
              </w:tc>
            </w:tr>
            <w:tr w14:paraId="7E456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48" w:type="pct"/>
                  <w:tcBorders>
                    <w:tl2br w:val="nil"/>
                    <w:tr2bl w:val="nil"/>
                  </w:tcBorders>
                  <w:vAlign w:val="center"/>
                </w:tcPr>
                <w:p w14:paraId="09D539C5">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2</w:t>
                  </w:r>
                </w:p>
              </w:tc>
              <w:tc>
                <w:tcPr>
                  <w:tcW w:w="1229" w:type="pct"/>
                  <w:tcBorders>
                    <w:tl2br w:val="nil"/>
                    <w:tr2bl w:val="nil"/>
                  </w:tcBorders>
                  <w:vAlign w:val="center"/>
                </w:tcPr>
                <w:p w14:paraId="5415F13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导热油</w:t>
                  </w:r>
                </w:p>
              </w:tc>
              <w:tc>
                <w:tcPr>
                  <w:tcW w:w="1246" w:type="pct"/>
                  <w:tcBorders>
                    <w:tl2br w:val="nil"/>
                    <w:tr2bl w:val="nil"/>
                  </w:tcBorders>
                  <w:vAlign w:val="center"/>
                </w:tcPr>
                <w:p w14:paraId="68D2A83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8</w:t>
                  </w:r>
                </w:p>
              </w:tc>
              <w:tc>
                <w:tcPr>
                  <w:tcW w:w="975" w:type="pct"/>
                  <w:tcBorders>
                    <w:tl2br w:val="nil"/>
                    <w:tr2bl w:val="nil"/>
                  </w:tcBorders>
                  <w:vAlign w:val="center"/>
                </w:tcPr>
                <w:p w14:paraId="748CF1E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2500</w:t>
                  </w:r>
                </w:p>
              </w:tc>
              <w:tc>
                <w:tcPr>
                  <w:tcW w:w="1000" w:type="pct"/>
                  <w:tcBorders>
                    <w:tl2br w:val="nil"/>
                    <w:tr2bl w:val="nil"/>
                  </w:tcBorders>
                  <w:vAlign w:val="center"/>
                </w:tcPr>
                <w:p w14:paraId="5E29A25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0.0032</w:t>
                  </w:r>
                </w:p>
              </w:tc>
            </w:tr>
            <w:tr w14:paraId="315C1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48" w:type="pct"/>
                  <w:tcBorders>
                    <w:tl2br w:val="nil"/>
                    <w:tr2bl w:val="nil"/>
                  </w:tcBorders>
                  <w:vAlign w:val="center"/>
                </w:tcPr>
                <w:p w14:paraId="47C02300">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3</w:t>
                  </w:r>
                </w:p>
              </w:tc>
              <w:tc>
                <w:tcPr>
                  <w:tcW w:w="1229" w:type="pct"/>
                  <w:tcBorders>
                    <w:tl2br w:val="nil"/>
                    <w:tr2bl w:val="nil"/>
                  </w:tcBorders>
                  <w:vAlign w:val="center"/>
                </w:tcPr>
                <w:p w14:paraId="310B91B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二氧化硫</w:t>
                  </w:r>
                </w:p>
                <w:p w14:paraId="23E2D83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（废气污染物）</w:t>
                  </w:r>
                </w:p>
              </w:tc>
              <w:tc>
                <w:tcPr>
                  <w:tcW w:w="1246" w:type="pct"/>
                  <w:tcBorders>
                    <w:tl2br w:val="nil"/>
                    <w:tr2bl w:val="nil"/>
                  </w:tcBorders>
                  <w:vAlign w:val="center"/>
                </w:tcPr>
                <w:p w14:paraId="508DF75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0.00347</w:t>
                  </w:r>
                </w:p>
              </w:tc>
              <w:tc>
                <w:tcPr>
                  <w:tcW w:w="975" w:type="pct"/>
                  <w:tcBorders>
                    <w:tl2br w:val="nil"/>
                    <w:tr2bl w:val="nil"/>
                  </w:tcBorders>
                  <w:vAlign w:val="center"/>
                </w:tcPr>
                <w:p w14:paraId="7157CA3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2.5</w:t>
                  </w:r>
                </w:p>
              </w:tc>
              <w:tc>
                <w:tcPr>
                  <w:tcW w:w="1000" w:type="pct"/>
                  <w:tcBorders>
                    <w:tl2br w:val="nil"/>
                    <w:tr2bl w:val="nil"/>
                  </w:tcBorders>
                  <w:vAlign w:val="center"/>
                </w:tcPr>
                <w:p w14:paraId="4FF627A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0.001388</w:t>
                  </w:r>
                </w:p>
              </w:tc>
            </w:tr>
            <w:tr w14:paraId="332F8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48" w:type="pct"/>
                  <w:tcBorders>
                    <w:tl2br w:val="nil"/>
                    <w:tr2bl w:val="nil"/>
                  </w:tcBorders>
                  <w:vAlign w:val="center"/>
                </w:tcPr>
                <w:p w14:paraId="3451BEF8">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4</w:t>
                  </w:r>
                </w:p>
              </w:tc>
              <w:tc>
                <w:tcPr>
                  <w:tcW w:w="1229" w:type="pct"/>
                  <w:tcBorders>
                    <w:tl2br w:val="nil"/>
                    <w:tr2bl w:val="nil"/>
                  </w:tcBorders>
                  <w:vAlign w:val="center"/>
                </w:tcPr>
                <w:p w14:paraId="3F17ED03">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苯并[a]芘</w:t>
                  </w:r>
                </w:p>
                <w:p w14:paraId="13EC596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（废气污染物）</w:t>
                  </w:r>
                </w:p>
              </w:tc>
              <w:tc>
                <w:tcPr>
                  <w:tcW w:w="1246" w:type="pct"/>
                  <w:tcBorders>
                    <w:tl2br w:val="nil"/>
                    <w:tr2bl w:val="nil"/>
                  </w:tcBorders>
                  <w:vAlign w:val="center"/>
                </w:tcPr>
                <w:p w14:paraId="6D2F22B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0.000005799</w:t>
                  </w:r>
                </w:p>
              </w:tc>
              <w:tc>
                <w:tcPr>
                  <w:tcW w:w="975" w:type="pct"/>
                  <w:tcBorders>
                    <w:tl2br w:val="nil"/>
                    <w:tr2bl w:val="nil"/>
                  </w:tcBorders>
                  <w:vAlign w:val="center"/>
                </w:tcPr>
                <w:p w14:paraId="4454370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w:t>
                  </w:r>
                </w:p>
              </w:tc>
              <w:tc>
                <w:tcPr>
                  <w:tcW w:w="1000" w:type="pct"/>
                  <w:tcBorders>
                    <w:tl2br w:val="nil"/>
                    <w:tr2bl w:val="nil"/>
                  </w:tcBorders>
                  <w:vAlign w:val="center"/>
                </w:tcPr>
                <w:p w14:paraId="6DCED78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0.0000011598</w:t>
                  </w:r>
                </w:p>
              </w:tc>
            </w:tr>
            <w:tr w14:paraId="2916D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48" w:type="pct"/>
                  <w:tcBorders>
                    <w:tl2br w:val="nil"/>
                    <w:tr2bl w:val="nil"/>
                  </w:tcBorders>
                  <w:vAlign w:val="center"/>
                </w:tcPr>
                <w:p w14:paraId="41AC48E5">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5</w:t>
                  </w:r>
                </w:p>
              </w:tc>
              <w:tc>
                <w:tcPr>
                  <w:tcW w:w="1229" w:type="pct"/>
                  <w:tcBorders>
                    <w:tl2br w:val="nil"/>
                    <w:tr2bl w:val="nil"/>
                  </w:tcBorders>
                  <w:vAlign w:val="center"/>
                </w:tcPr>
                <w:p w14:paraId="097562D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 xml:space="preserve"> 废焦油</w:t>
                  </w:r>
                </w:p>
              </w:tc>
              <w:tc>
                <w:tcPr>
                  <w:tcW w:w="1246" w:type="pct"/>
                  <w:tcBorders>
                    <w:tl2br w:val="nil"/>
                    <w:tr2bl w:val="nil"/>
                  </w:tcBorders>
                  <w:vAlign w:val="center"/>
                </w:tcPr>
                <w:p w14:paraId="775DB04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0.8</w:t>
                  </w:r>
                </w:p>
              </w:tc>
              <w:tc>
                <w:tcPr>
                  <w:tcW w:w="975" w:type="pct"/>
                  <w:tcBorders>
                    <w:tl2br w:val="nil"/>
                    <w:tr2bl w:val="nil"/>
                  </w:tcBorders>
                  <w:vAlign w:val="center"/>
                </w:tcPr>
                <w:p w14:paraId="6040ED1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50</w:t>
                  </w:r>
                </w:p>
              </w:tc>
              <w:tc>
                <w:tcPr>
                  <w:tcW w:w="1000" w:type="pct"/>
                  <w:tcBorders>
                    <w:tl2br w:val="nil"/>
                    <w:tr2bl w:val="nil"/>
                  </w:tcBorders>
                  <w:vAlign w:val="center"/>
                </w:tcPr>
                <w:p w14:paraId="35D4358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0.016</w:t>
                  </w:r>
                </w:p>
              </w:tc>
            </w:tr>
            <w:tr w14:paraId="6FAB0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48" w:type="pct"/>
                  <w:tcBorders>
                    <w:tl2br w:val="nil"/>
                    <w:tr2bl w:val="nil"/>
                  </w:tcBorders>
                  <w:vAlign w:val="center"/>
                </w:tcPr>
                <w:p w14:paraId="6BACD8AB">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6</w:t>
                  </w:r>
                </w:p>
              </w:tc>
              <w:tc>
                <w:tcPr>
                  <w:tcW w:w="1229" w:type="pct"/>
                  <w:tcBorders>
                    <w:tl2br w:val="nil"/>
                    <w:tr2bl w:val="nil"/>
                  </w:tcBorders>
                  <w:vAlign w:val="center"/>
                </w:tcPr>
                <w:p w14:paraId="6101049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洗涤塔循环废液及沉淀焦油渣</w:t>
                  </w:r>
                </w:p>
              </w:tc>
              <w:tc>
                <w:tcPr>
                  <w:tcW w:w="1246" w:type="pct"/>
                  <w:tcBorders>
                    <w:tl2br w:val="nil"/>
                    <w:tr2bl w:val="nil"/>
                  </w:tcBorders>
                  <w:vAlign w:val="center"/>
                </w:tcPr>
                <w:p w14:paraId="7F1AFBD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11</w:t>
                  </w:r>
                </w:p>
              </w:tc>
              <w:tc>
                <w:tcPr>
                  <w:tcW w:w="975" w:type="pct"/>
                  <w:tcBorders>
                    <w:tl2br w:val="nil"/>
                    <w:tr2bl w:val="nil"/>
                  </w:tcBorders>
                  <w:vAlign w:val="center"/>
                </w:tcPr>
                <w:p w14:paraId="493C23C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50</w:t>
                  </w:r>
                </w:p>
              </w:tc>
              <w:tc>
                <w:tcPr>
                  <w:tcW w:w="1000" w:type="pct"/>
                  <w:tcBorders>
                    <w:tl2br w:val="nil"/>
                    <w:tr2bl w:val="nil"/>
                  </w:tcBorders>
                  <w:vAlign w:val="center"/>
                </w:tcPr>
                <w:p w14:paraId="2336280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0.22</w:t>
                  </w:r>
                </w:p>
              </w:tc>
            </w:tr>
            <w:tr w14:paraId="4D74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48" w:type="pct"/>
                  <w:tcBorders>
                    <w:tl2br w:val="nil"/>
                    <w:tr2bl w:val="nil"/>
                  </w:tcBorders>
                  <w:vAlign w:val="center"/>
                </w:tcPr>
                <w:p w14:paraId="1024853C">
                  <w:pPr>
                    <w:adjustRightInd w:val="0"/>
                    <w:spacing w:line="240" w:lineRule="exact"/>
                    <w:jc w:val="center"/>
                    <w:textAlignment w:val="baseline"/>
                    <w:rPr>
                      <w:rFonts w:ascii="Times New Roman Bold" w:hAnsi="Times New Roman Bold" w:eastAsia="宋体" w:cs="Times New Roman Bold"/>
                      <w:b/>
                      <w:bCs/>
                      <w:szCs w:val="21"/>
                    </w:rPr>
                  </w:pPr>
                  <w:r>
                    <w:rPr>
                      <w:rFonts w:ascii="Times New Roman Bold" w:hAnsi="Times New Roman Bold" w:eastAsia="宋体" w:cs="Times New Roman Bold"/>
                      <w:b/>
                      <w:bCs/>
                      <w:szCs w:val="21"/>
                    </w:rPr>
                    <w:t>7</w:t>
                  </w:r>
                </w:p>
              </w:tc>
              <w:tc>
                <w:tcPr>
                  <w:tcW w:w="1229" w:type="pct"/>
                  <w:tcBorders>
                    <w:tl2br w:val="nil"/>
                    <w:tr2bl w:val="nil"/>
                  </w:tcBorders>
                  <w:vAlign w:val="center"/>
                </w:tcPr>
                <w:p w14:paraId="6418103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废矿物油</w:t>
                  </w:r>
                </w:p>
              </w:tc>
              <w:tc>
                <w:tcPr>
                  <w:tcW w:w="1246" w:type="pct"/>
                  <w:tcBorders>
                    <w:tl2br w:val="nil"/>
                    <w:tr2bl w:val="nil"/>
                  </w:tcBorders>
                  <w:vAlign w:val="center"/>
                </w:tcPr>
                <w:p w14:paraId="0A32B10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0.2</w:t>
                  </w:r>
                </w:p>
              </w:tc>
              <w:tc>
                <w:tcPr>
                  <w:tcW w:w="975" w:type="pct"/>
                  <w:tcBorders>
                    <w:tl2br w:val="nil"/>
                    <w:tr2bl w:val="nil"/>
                  </w:tcBorders>
                  <w:vAlign w:val="center"/>
                </w:tcPr>
                <w:p w14:paraId="55BEF37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2500</w:t>
                  </w:r>
                </w:p>
              </w:tc>
              <w:tc>
                <w:tcPr>
                  <w:tcW w:w="1000" w:type="pct"/>
                  <w:tcBorders>
                    <w:tl2br w:val="nil"/>
                    <w:tr2bl w:val="nil"/>
                  </w:tcBorders>
                  <w:vAlign w:val="center"/>
                </w:tcPr>
                <w:p w14:paraId="19903CA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0.00008</w:t>
                  </w:r>
                </w:p>
              </w:tc>
            </w:tr>
            <w:tr w14:paraId="5AFF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999" w:type="pct"/>
                  <w:gridSpan w:val="4"/>
                  <w:tcBorders>
                    <w:tl2br w:val="nil"/>
                    <w:tr2bl w:val="nil"/>
                  </w:tcBorders>
                  <w:vAlign w:val="center"/>
                </w:tcPr>
                <w:p w14:paraId="15221469">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合计</w:t>
                  </w:r>
                </w:p>
              </w:tc>
              <w:tc>
                <w:tcPr>
                  <w:tcW w:w="1000" w:type="pct"/>
                  <w:tcBorders>
                    <w:tl2br w:val="nil"/>
                    <w:tr2bl w:val="nil"/>
                  </w:tcBorders>
                  <w:vAlign w:val="center"/>
                </w:tcPr>
                <w:p w14:paraId="5775BDCF">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0.266669</w:t>
                  </w:r>
                </w:p>
              </w:tc>
            </w:tr>
            <w:tr w14:paraId="4065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000" w:type="pct"/>
                  <w:gridSpan w:val="5"/>
                  <w:tcBorders>
                    <w:tl2br w:val="nil"/>
                    <w:tr2bl w:val="nil"/>
                  </w:tcBorders>
                  <w:vAlign w:val="center"/>
                </w:tcPr>
                <w:p w14:paraId="1AE438D9">
                  <w:pPr>
                    <w:adjustRightInd w:val="0"/>
                    <w:spacing w:line="240" w:lineRule="exact"/>
                    <w:textAlignment w:val="baseline"/>
                    <w:rPr>
                      <w:rFonts w:ascii="Times New Roman" w:hAnsi="Times New Roman" w:eastAsia="宋体" w:cs="Times New Roman"/>
                      <w:b/>
                      <w:bCs/>
                      <w:szCs w:val="21"/>
                    </w:rPr>
                  </w:pPr>
                  <w:r>
                    <w:rPr>
                      <w:rFonts w:hint="eastAsia" w:ascii="Times New Roman" w:hAnsi="Times New Roman" w:eastAsia="宋体" w:cs="Times New Roman"/>
                      <w:szCs w:val="21"/>
                    </w:rPr>
                    <w:t>注：</w:t>
                  </w:r>
                  <w:r>
                    <w:rPr>
                      <w:rFonts w:ascii="Times New Roman" w:hAnsi="Times New Roman" w:eastAsia="宋体" w:cs="Times New Roman"/>
                      <w:szCs w:val="21"/>
                    </w:rPr>
                    <w:t>苯并[a]芘</w:t>
                  </w:r>
                  <w:r>
                    <w:rPr>
                      <w:rFonts w:hint="eastAsia" w:ascii="Times New Roman" w:hAnsi="Times New Roman" w:eastAsia="宋体" w:cs="Times New Roman"/>
                      <w:szCs w:val="21"/>
                    </w:rPr>
                    <w:t>、废焦油、洗涤塔循环废液及沉淀焦油渣临界量取值自《建设项目环境风险评价技术导则》（HJ169-2018）表</w:t>
                  </w:r>
                  <w:r>
                    <w:rPr>
                      <w:rFonts w:ascii="Times New Roman" w:hAnsi="Times New Roman" w:eastAsia="宋体" w:cs="Times New Roman"/>
                      <w:szCs w:val="21"/>
                    </w:rPr>
                    <w:t>B.2</w:t>
                  </w:r>
                  <w:r>
                    <w:rPr>
                      <w:rFonts w:hint="eastAsia" w:ascii="Times New Roman" w:hAnsi="Times New Roman" w:eastAsia="宋体" w:cs="Times New Roman"/>
                      <w:szCs w:val="21"/>
                    </w:rPr>
                    <w:t>其他危险物质临界量推荐值。</w:t>
                  </w:r>
                </w:p>
              </w:tc>
            </w:tr>
          </w:tbl>
          <w:p w14:paraId="138356B1">
            <w:pPr>
              <w:spacing w:line="360" w:lineRule="auto"/>
              <w:ind w:firstLine="480" w:firstLineChars="200"/>
              <w:outlineLvl w:val="2"/>
              <w:rPr>
                <w:rFonts w:ascii="Times New Roman" w:hAnsi="Times New Roman" w:eastAsia="宋体" w:cs="Times New Roman"/>
                <w:sz w:val="24"/>
              </w:rPr>
            </w:pPr>
            <w:r>
              <w:rPr>
                <w:rFonts w:hint="eastAsia" w:ascii="Times New Roman" w:hAnsi="Times New Roman" w:eastAsia="宋体" w:cs="Times New Roman"/>
                <w:sz w:val="24"/>
              </w:rPr>
              <w:t>由上表可知，本项目环境危险物质与其临界量比值Q=q/Q=0.266669＜1，因此，环境风险潜势判定为I，环境风险评价工作等级为简单分析。</w:t>
            </w:r>
          </w:p>
          <w:p w14:paraId="30A18E7B">
            <w:pPr>
              <w:spacing w:line="360" w:lineRule="auto"/>
              <w:ind w:firstLine="482" w:firstLineChars="200"/>
              <w:outlineLvl w:val="2"/>
              <w:rPr>
                <w:rFonts w:ascii="Times New Roman" w:hAnsi="Times New Roman" w:eastAsia="宋体" w:cs="Times New Roman"/>
                <w:b/>
                <w:bCs/>
                <w:sz w:val="24"/>
              </w:rPr>
            </w:pPr>
            <w:r>
              <w:rPr>
                <w:rFonts w:hint="eastAsia" w:ascii="Times New Roman" w:hAnsi="Times New Roman" w:eastAsia="宋体" w:cs="Times New Roman"/>
                <w:b/>
                <w:bCs/>
                <w:sz w:val="24"/>
              </w:rPr>
              <w:t>7.2环境风险识别</w:t>
            </w:r>
          </w:p>
          <w:p w14:paraId="40E3D7C8">
            <w:pPr>
              <w:spacing w:line="360" w:lineRule="auto"/>
              <w:ind w:firstLine="480" w:firstLineChars="200"/>
              <w:outlineLvl w:val="2"/>
              <w:rPr>
                <w:rFonts w:ascii="Times New Roman" w:hAnsi="Times New Roman" w:eastAsia="宋体" w:cs="Times New Roman"/>
                <w:color w:val="FF0000"/>
                <w:sz w:val="24"/>
              </w:rPr>
            </w:pPr>
            <w:r>
              <w:rPr>
                <w:rFonts w:hint="eastAsia" w:ascii="Times New Roman" w:hAnsi="Times New Roman" w:eastAsia="宋体" w:cs="Times New Roman"/>
                <w:sz w:val="24"/>
              </w:rPr>
              <w:t>本项目突发环境事件风险类型主要为：（1）废气污染防治设施因故障、失效或操作不当等导致废气污染物异常/超标排放的环境风险事件；（2）危险废物泄漏导致的环境风险事件及因泄漏引发火灾事故造成次生、衍生环境污染事件；（3）柴油、导热油泄漏及泄漏导致的次生、衍生环境污染事件；（4）火灾等事故引发的次生、衍生环境污染事件；（5）粉尘爆炸事故引发的次生、衍生环境风险事件；（6）活性炭自燃导致的次生、衍生环境风险事件。</w:t>
            </w:r>
          </w:p>
          <w:p w14:paraId="7FD9D7FD">
            <w:pPr>
              <w:spacing w:line="360" w:lineRule="auto"/>
              <w:ind w:firstLine="482" w:firstLineChars="200"/>
              <w:outlineLvl w:val="2"/>
              <w:rPr>
                <w:rFonts w:ascii="Times New Roman" w:hAnsi="Times New Roman" w:eastAsia="宋体" w:cs="Times New Roman"/>
                <w:b/>
                <w:bCs/>
                <w:sz w:val="24"/>
              </w:rPr>
            </w:pPr>
            <w:r>
              <w:rPr>
                <w:rFonts w:hint="eastAsia" w:ascii="Times New Roman" w:hAnsi="Times New Roman" w:eastAsia="宋体" w:cs="Times New Roman"/>
                <w:b/>
                <w:bCs/>
                <w:sz w:val="24"/>
              </w:rPr>
              <w:t>7.3环境风险防范措施及应急要求</w:t>
            </w:r>
          </w:p>
          <w:p w14:paraId="633FF7EC">
            <w:pPr>
              <w:spacing w:line="360" w:lineRule="auto"/>
              <w:ind w:firstLine="480" w:firstLineChars="200"/>
              <w:outlineLvl w:val="2"/>
              <w:rPr>
                <w:rFonts w:ascii="Times New Roman" w:hAnsi="Times New Roman" w:eastAsia="宋体" w:cs="Times New Roman"/>
                <w:b/>
                <w:bCs/>
                <w:sz w:val="24"/>
              </w:rPr>
            </w:pPr>
            <w:bookmarkStart w:id="20" w:name="_Toc9177"/>
            <w:bookmarkStart w:id="21" w:name="_Toc32727"/>
            <w:bookmarkStart w:id="22" w:name="_Toc27650"/>
            <w:r>
              <w:rPr>
                <w:rFonts w:hint="eastAsia" w:ascii="Times New Roman" w:hAnsi="Times New Roman" w:eastAsia="宋体" w:cs="Times New Roman"/>
                <w:sz w:val="24"/>
              </w:rPr>
              <w:t>（1）</w:t>
            </w:r>
            <w:bookmarkEnd w:id="20"/>
            <w:bookmarkEnd w:id="21"/>
            <w:bookmarkEnd w:id="22"/>
            <w:r>
              <w:rPr>
                <w:rFonts w:hint="eastAsia" w:ascii="Times New Roman" w:hAnsi="Times New Roman" w:eastAsia="宋体" w:cs="Times New Roman"/>
                <w:sz w:val="24"/>
              </w:rPr>
              <w:t>废气污染防治设施故障、失效等导致废气污染物异常/超标排放的环境风险事件防范措施</w:t>
            </w:r>
          </w:p>
          <w:p w14:paraId="2817120C">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① 核心废气处理设备（布袋除尘器、电捕焦油器、活性炭吸附装置等） 须选用优质设备，实行双回路供电并配备备用风机电机及核心易损件备品</w:t>
            </w:r>
            <w:r>
              <w:fldChar w:fldCharType="begin"/>
            </w:r>
            <w:r>
              <w:instrText xml:space="preserve"> HYPERLINK "https://www.huiyang.gov.cn/attachment/0/114/114361/4328057.pdf" \l "11#9" \t "/Users/zhangminen/Documents\x/_blank" </w:instrText>
            </w:r>
            <w:r>
              <w:fldChar w:fldCharType="separate"/>
            </w:r>
            <w:r>
              <w:fldChar w:fldCharType="end"/>
            </w:r>
            <w:r>
              <w:rPr>
                <w:rFonts w:hint="eastAsia" w:ascii="Times New Roman" w:hAnsi="Times New Roman" w:eastAsia="宋体" w:cs="Times New Roman"/>
                <w:sz w:val="24"/>
              </w:rPr>
              <w:t>，严防突发断电或机械故障引发废气直排或超标排放</w:t>
            </w:r>
            <w:r>
              <w:fldChar w:fldCharType="begin"/>
            </w:r>
            <w:r>
              <w:instrText xml:space="preserve"> HYPERLINK "https://www.dqdt.gov.cn/datong/zdlygk23/202406/344245/files/%e9%bb%91%e9%be%99%e6%b1%9f%e7%9c%81%e5%a4%a7%e5%ba%86%e5%b8%82%e5%a4%a7%e5%90%8c%e5%8c%ba%e6%b7%b1%e7%92%90%e6%b2%a5%e9%9d%92%e6%90%85%e6%8b%8c%e7%ab%99%e9%a1%b9%e7%9b%ae%e7%8e%af%e5%a2%83%e5%bd%b1%e5%93%8d%e8%af%84%e4%bb%b7%e6%8a%a5%e5%91%8a%e8%a1%a8.pdf" \l "12#11" \t "/Users/zhangminen/Documents\x/_blank" </w:instrText>
            </w:r>
            <w:r>
              <w:fldChar w:fldCharType="separate"/>
            </w:r>
            <w:r>
              <w:fldChar w:fldCharType="end"/>
            </w:r>
            <w:r>
              <w:rPr>
                <w:rFonts w:hint="eastAsia" w:ascii="Times New Roman" w:hAnsi="Times New Roman" w:eastAsia="宋体" w:cs="Times New Roman"/>
                <w:sz w:val="24"/>
              </w:rPr>
              <w:t>；</w:t>
            </w:r>
          </w:p>
          <w:p w14:paraId="181C0CC3">
            <w:pPr>
              <w:wordWrap w:val="0"/>
              <w:topLinePunct/>
              <w:spacing w:line="360" w:lineRule="auto"/>
              <w:ind w:firstLine="480" w:firstLineChars="200"/>
              <w:rPr>
                <w:rFonts w:ascii="Times New Roman" w:hAnsi="Times New Roman" w:eastAsia="宋体" w:cs="Times New Roman"/>
                <w:color w:val="FF0000"/>
                <w:sz w:val="24"/>
              </w:rPr>
            </w:pPr>
            <w:r>
              <w:rPr>
                <w:rFonts w:hint="eastAsia" w:ascii="Times New Roman" w:hAnsi="Times New Roman" w:eastAsia="宋体" w:cs="Times New Roman"/>
                <w:sz w:val="24"/>
              </w:rPr>
              <w:t>② 建立关键工艺参数（除尘器进出口压差、活性炭床层温度等）的实时监控与报警联动机制；</w:t>
            </w:r>
          </w:p>
          <w:p w14:paraId="07224360">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③定期对环保污染防治设施、生产装置和设备进行全面而细致的检查和维护，确保其始终处于最佳运行状态；</w:t>
            </w:r>
          </w:p>
          <w:p w14:paraId="487F65A2">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④建立详尽的设备维护档案，详细记录每次维护和检修的时间、人员、发现的问题及处理措施，以便追踪设备状态，及时发现潜在隐患；</w:t>
            </w:r>
          </w:p>
          <w:p w14:paraId="5A6AD4B0">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⑤加强对操作人员的系统培训，提高其设备操作和维护的专业技能，确保操作规范。培训内容应涵盖设备原理、操作技巧、常见故障排查及应急处理等方面</w:t>
            </w:r>
            <w:r>
              <w:fldChar w:fldCharType="begin"/>
            </w:r>
            <w:r>
              <w:instrText xml:space="preserve"> HYPERLINK "https://www.gddq.gov.cn/attachment/0/285/285372/2839034.pdf" \l "19#18" \t "/Users/zhangminen/Documents\x/_blank" </w:instrText>
            </w:r>
            <w:r>
              <w:fldChar w:fldCharType="separate"/>
            </w:r>
            <w:r>
              <w:fldChar w:fldCharType="end"/>
            </w:r>
            <w:r>
              <w:rPr>
                <w:rFonts w:hint="eastAsia" w:ascii="Times New Roman" w:hAnsi="Times New Roman" w:eastAsia="宋体" w:cs="Times New Roman"/>
                <w:sz w:val="24"/>
              </w:rPr>
              <w:t>；</w:t>
            </w:r>
          </w:p>
          <w:p w14:paraId="4F6E3FCD">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⑥建立健全环保管理机制和各项环保规章制度，落实岗位环保责任制，加强环境风险防范工作</w:t>
            </w:r>
            <w:r>
              <w:fldChar w:fldCharType="begin"/>
            </w:r>
            <w:r>
              <w:instrText xml:space="preserve"> HYPERLINK "https://www.gddq.gov.cn/attachment/0/285/285372/2839034.pdf" \l "19#18" \t "/Users/zhangminen/Documents\x/_blank" </w:instrText>
            </w:r>
            <w:r>
              <w:fldChar w:fldCharType="separate"/>
            </w:r>
            <w:r>
              <w:fldChar w:fldCharType="end"/>
            </w:r>
            <w:r>
              <w:rPr>
                <w:rFonts w:hint="eastAsia" w:ascii="Times New Roman" w:hAnsi="Times New Roman" w:eastAsia="宋体" w:cs="Times New Roman"/>
                <w:sz w:val="24"/>
              </w:rPr>
              <w:t>；加强日常巡检及对工作人员的培训、案例讲解、应急演练等，树立起高度的环保意识和安全责任意识；加强现场监管力度。</w:t>
            </w:r>
          </w:p>
          <w:p w14:paraId="53926979">
            <w:pPr>
              <w:spacing w:line="360" w:lineRule="auto"/>
              <w:ind w:firstLine="480" w:firstLineChars="200"/>
              <w:outlineLvl w:val="2"/>
              <w:rPr>
                <w:rFonts w:ascii="Times New Roman" w:hAnsi="Times New Roman" w:eastAsia="宋体" w:cs="Times New Roman"/>
                <w:sz w:val="24"/>
              </w:rPr>
            </w:pPr>
            <w:bookmarkStart w:id="23" w:name="_Toc11906"/>
            <w:r>
              <w:rPr>
                <w:rFonts w:hint="eastAsia" w:ascii="Times New Roman" w:hAnsi="Times New Roman" w:eastAsia="宋体" w:cs="Times New Roman"/>
                <w:sz w:val="24"/>
              </w:rPr>
              <w:t>（2）危险废物泄漏及因泄漏引发火灾事故造成次生、衍生环境污染事件防范措施</w:t>
            </w:r>
          </w:p>
          <w:p w14:paraId="32E5242B">
            <w:pPr>
              <w:widowControl/>
              <w:spacing w:line="360" w:lineRule="auto"/>
              <w:ind w:firstLine="482" w:firstLineChars="200"/>
              <w:rPr>
                <w:rFonts w:hint="eastAsia" w:ascii="宋体" w:hAnsi="宋体" w:eastAsia="宋体" w:cs="宋体"/>
                <w:b/>
                <w:bCs/>
                <w:kern w:val="0"/>
                <w:sz w:val="24"/>
              </w:rPr>
            </w:pPr>
            <w:r>
              <w:rPr>
                <w:rFonts w:hint="eastAsia" w:ascii="宋体" w:hAnsi="宋体" w:eastAsia="宋体" w:cs="宋体"/>
                <w:b/>
                <w:bCs/>
                <w:kern w:val="0"/>
                <w:sz w:val="24"/>
              </w:rPr>
              <w:t>危险废物贮存点：</w:t>
            </w:r>
          </w:p>
          <w:p w14:paraId="1BA95DF7">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①危险废物贮存点基础必须防渗，防渗层为至少1m厚粘土层（渗透系数≤10</w:t>
            </w:r>
            <w:r>
              <w:rPr>
                <w:rFonts w:hint="eastAsia" w:ascii="Times New Roman" w:hAnsi="Times New Roman" w:eastAsia="宋体" w:cs="Times New Roman"/>
                <w:sz w:val="24"/>
                <w:vertAlign w:val="superscript"/>
              </w:rPr>
              <w:t>-7</w:t>
            </w:r>
            <w:r>
              <w:rPr>
                <w:rFonts w:hint="eastAsia" w:ascii="Times New Roman" w:hAnsi="Times New Roman" w:eastAsia="宋体" w:cs="Times New Roman"/>
                <w:sz w:val="24"/>
              </w:rPr>
              <w:t>cm/s），或2mm厚高密度聚乙烯，或至少2mm厚其他人工材料，渗透系数≤10</w:t>
            </w:r>
            <w:r>
              <w:rPr>
                <w:rFonts w:hint="eastAsia" w:ascii="Times New Roman" w:hAnsi="Times New Roman" w:eastAsia="宋体" w:cs="Times New Roman"/>
                <w:sz w:val="24"/>
                <w:vertAlign w:val="superscript"/>
              </w:rPr>
              <w:t>-10</w:t>
            </w:r>
            <w:r>
              <w:rPr>
                <w:rFonts w:hint="eastAsia" w:ascii="Times New Roman" w:hAnsi="Times New Roman" w:eastAsia="宋体" w:cs="Times New Roman"/>
                <w:sz w:val="24"/>
              </w:rPr>
              <w:t>cm/s；</w:t>
            </w:r>
          </w:p>
          <w:p w14:paraId="4B868620">
            <w:pPr>
              <w:wordWrap w:val="0"/>
              <w:topLinePunct/>
              <w:spacing w:line="360" w:lineRule="auto"/>
              <w:ind w:firstLine="480" w:firstLineChars="200"/>
              <w:rPr>
                <w:rFonts w:ascii="Times New Roman" w:hAnsi="Times New Roman" w:eastAsia="宋体" w:cs="Times New Roman"/>
                <w:sz w:val="24"/>
              </w:rPr>
            </w:pPr>
            <w:bookmarkStart w:id="24" w:name="_Toc20239"/>
            <w:r>
              <w:rPr>
                <w:rFonts w:hint="eastAsia" w:ascii="Times New Roman" w:hAnsi="Times New Roman" w:eastAsia="宋体" w:cs="Times New Roman"/>
                <w:sz w:val="24"/>
              </w:rPr>
              <w:t>②危险废物贮存点应要防风、防雨、防晒、防漏、防渗、防腐；不应露天堆放危险废物；</w:t>
            </w:r>
            <w:bookmarkEnd w:id="24"/>
            <w:bookmarkStart w:id="25" w:name="_Toc29419"/>
            <w:bookmarkStart w:id="26" w:name="_Toc9910"/>
            <w:bookmarkStart w:id="27" w:name="_Toc1194"/>
            <w:r>
              <w:rPr>
                <w:rFonts w:hint="eastAsia" w:ascii="Times New Roman" w:hAnsi="Times New Roman" w:eastAsia="宋体" w:cs="Times New Roman"/>
                <w:sz w:val="24"/>
              </w:rPr>
              <w:t>危险废物贮存点应设置围堰，关注恶劣天气，如暴雨、大风天气等，防止危险废物贮存点受到雨水冲刷；</w:t>
            </w:r>
          </w:p>
          <w:p w14:paraId="02D458B7">
            <w:pPr>
              <w:wordWrap w:val="0"/>
              <w:topLinePunct/>
              <w:spacing w:line="360" w:lineRule="auto"/>
              <w:ind w:firstLine="480" w:firstLineChars="200"/>
              <w:rPr>
                <w:rFonts w:ascii="Times New Roman" w:hAnsi="Times New Roman" w:eastAsia="宋体" w:cs="Times New Roman"/>
                <w:sz w:val="24"/>
              </w:rPr>
            </w:pPr>
            <w:bookmarkStart w:id="28" w:name="_Toc30252"/>
            <w:r>
              <w:rPr>
                <w:rFonts w:hint="eastAsia" w:ascii="Times New Roman" w:hAnsi="Times New Roman" w:eastAsia="宋体" w:cs="Times New Roman"/>
                <w:sz w:val="24"/>
              </w:rPr>
              <w:t>③危险废物处置必须委托具有相应资质的危险废物处置单位处置，不可自行倾倒处置，危险废物入库、出库必须形成台账，危险废物转移必须有转移联单</w:t>
            </w:r>
            <w:bookmarkEnd w:id="25"/>
            <w:bookmarkEnd w:id="26"/>
            <w:bookmarkEnd w:id="27"/>
            <w:bookmarkEnd w:id="28"/>
            <w:r>
              <w:rPr>
                <w:rFonts w:hint="eastAsia" w:ascii="Times New Roman" w:hAnsi="Times New Roman" w:eastAsia="宋体" w:cs="Times New Roman"/>
                <w:sz w:val="24"/>
              </w:rPr>
              <w:t>；</w:t>
            </w:r>
          </w:p>
          <w:p w14:paraId="275C04DA">
            <w:pPr>
              <w:wordWrap w:val="0"/>
              <w:topLinePunct/>
              <w:spacing w:line="360" w:lineRule="auto"/>
              <w:ind w:firstLine="480" w:firstLineChars="200"/>
              <w:rPr>
                <w:rFonts w:ascii="Times New Roman" w:hAnsi="Times New Roman" w:eastAsia="宋体" w:cs="Times New Roman"/>
                <w:sz w:val="24"/>
              </w:rPr>
            </w:pPr>
            <w:bookmarkStart w:id="29" w:name="_Toc5436"/>
            <w:bookmarkStart w:id="30" w:name="_Toc28118"/>
            <w:bookmarkStart w:id="31" w:name="_Toc18460"/>
            <w:r>
              <w:rPr>
                <w:rFonts w:hint="eastAsia" w:ascii="Times New Roman" w:hAnsi="Times New Roman" w:eastAsia="宋体" w:cs="Times New Roman"/>
                <w:sz w:val="24"/>
              </w:rPr>
              <w:t>④在危险废物贮存点加装监控摄像头，安排专人每日对危险废物贮存点进行巡检，发现危险废物泄露及存装容器发生破裂时，及时进行泄露物收容处置并更换盛装容器</w:t>
            </w:r>
            <w:bookmarkEnd w:id="29"/>
            <w:bookmarkEnd w:id="30"/>
            <w:bookmarkEnd w:id="31"/>
            <w:r>
              <w:rPr>
                <w:rFonts w:hint="eastAsia" w:ascii="Times New Roman" w:hAnsi="Times New Roman" w:eastAsia="宋体" w:cs="Times New Roman"/>
                <w:sz w:val="24"/>
              </w:rPr>
              <w:t>；</w:t>
            </w:r>
          </w:p>
          <w:p w14:paraId="1032E4A9">
            <w:pPr>
              <w:wordWrap w:val="0"/>
              <w:topLinePunct/>
              <w:spacing w:line="360" w:lineRule="auto"/>
              <w:ind w:firstLine="480" w:firstLineChars="200"/>
              <w:rPr>
                <w:rFonts w:ascii="Times New Roman" w:hAnsi="Times New Roman" w:eastAsia="宋体" w:cs="Times New Roman"/>
                <w:sz w:val="24"/>
              </w:rPr>
            </w:pPr>
            <w:bookmarkStart w:id="32" w:name="_Toc14712"/>
            <w:bookmarkStart w:id="33" w:name="_Toc13204"/>
            <w:bookmarkStart w:id="34" w:name="_Toc18294"/>
            <w:bookmarkStart w:id="35" w:name="_Toc26990"/>
            <w:r>
              <w:rPr>
                <w:rFonts w:hint="eastAsia" w:ascii="Times New Roman" w:hAnsi="Times New Roman" w:eastAsia="宋体" w:cs="Times New Roman"/>
                <w:sz w:val="24"/>
              </w:rPr>
              <w:t>⑤危险废物放入密封的容器内，容器上粘贴明显标志；盛装容器应具有耐腐蚀、耐压、密封和不与所贮存的危险废物发生反应等特性</w:t>
            </w:r>
            <w:bookmarkEnd w:id="32"/>
            <w:bookmarkEnd w:id="33"/>
            <w:bookmarkEnd w:id="34"/>
            <w:bookmarkEnd w:id="35"/>
            <w:r>
              <w:rPr>
                <w:rFonts w:hint="eastAsia" w:ascii="Times New Roman" w:hAnsi="Times New Roman" w:eastAsia="宋体" w:cs="Times New Roman"/>
                <w:sz w:val="24"/>
              </w:rPr>
              <w:t>；禁止危险废物混入一般工业固体废物或其他废物中储存；</w:t>
            </w:r>
          </w:p>
          <w:p w14:paraId="0B7ADA20">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⑥严禁将危险废物交由无资质的厂家回收再生；</w:t>
            </w:r>
          </w:p>
          <w:p w14:paraId="030EAFFB">
            <w:pPr>
              <w:wordWrap w:val="0"/>
              <w:topLinePunct/>
              <w:spacing w:line="360" w:lineRule="auto"/>
              <w:ind w:firstLine="480" w:firstLineChars="200"/>
              <w:rPr>
                <w:rFonts w:ascii="Times New Roman" w:hAnsi="Times New Roman" w:eastAsia="宋体" w:cs="Times New Roman"/>
                <w:sz w:val="24"/>
              </w:rPr>
            </w:pPr>
            <w:bookmarkStart w:id="36" w:name="_Toc16950"/>
            <w:bookmarkStart w:id="37" w:name="_Toc5634"/>
            <w:bookmarkStart w:id="38" w:name="_Toc13970"/>
            <w:bookmarkStart w:id="39" w:name="_Toc7576"/>
            <w:r>
              <w:rPr>
                <w:rFonts w:hint="eastAsia" w:ascii="Times New Roman" w:hAnsi="Times New Roman" w:eastAsia="宋体" w:cs="Times New Roman"/>
                <w:sz w:val="24"/>
              </w:rPr>
              <w:t>⑦</w:t>
            </w:r>
            <w:bookmarkEnd w:id="36"/>
            <w:bookmarkEnd w:id="37"/>
            <w:bookmarkEnd w:id="38"/>
            <w:bookmarkEnd w:id="39"/>
            <w:bookmarkStart w:id="40" w:name="_Toc28629"/>
            <w:r>
              <w:rPr>
                <w:rFonts w:hint="eastAsia" w:ascii="Times New Roman" w:hAnsi="Times New Roman" w:eastAsia="宋体" w:cs="Times New Roman"/>
                <w:sz w:val="24"/>
              </w:rPr>
              <w:t>危险废物贮存点应保持阴凉，避免阳光直射；危险废物贮存点应禁止出现火源、高温设施等；危险废物贮存点应配备应急处置物资（如灭火器等），配备砂石、消防锹等围堵、吸附惰性材料及挖坑筑容工具</w:t>
            </w:r>
            <w:bookmarkEnd w:id="40"/>
            <w:r>
              <w:rPr>
                <w:rFonts w:hint="eastAsia" w:ascii="Times New Roman" w:hAnsi="Times New Roman" w:eastAsia="宋体" w:cs="Times New Roman"/>
                <w:sz w:val="24"/>
              </w:rPr>
              <w:t>。</w:t>
            </w:r>
          </w:p>
          <w:bookmarkEnd w:id="23"/>
          <w:p w14:paraId="6581E60E">
            <w:pPr>
              <w:wordWrap w:val="0"/>
              <w:topLinePunct/>
              <w:spacing w:line="360" w:lineRule="auto"/>
              <w:ind w:firstLine="480" w:firstLineChars="200"/>
              <w:rPr>
                <w:rFonts w:ascii="Times New Roman" w:hAnsi="Times New Roman" w:eastAsia="宋体" w:cs="Times New Roman"/>
                <w:sz w:val="24"/>
              </w:rPr>
            </w:pPr>
            <w:bookmarkStart w:id="41" w:name="_Toc8858"/>
            <w:bookmarkStart w:id="42" w:name="_Toc10544"/>
            <w:bookmarkStart w:id="43" w:name="_Toc29319"/>
            <w:bookmarkStart w:id="44" w:name="_Toc32343"/>
            <w:r>
              <w:rPr>
                <w:rFonts w:hint="eastAsia" w:ascii="Times New Roman" w:hAnsi="Times New Roman" w:eastAsia="宋体" w:cs="Times New Roman"/>
                <w:sz w:val="24"/>
              </w:rPr>
              <w:t>更换生产装置、生产设备、环保污染防治设施等设施设备所需油品或需维护、检修、润滑时，地面应设置接油盘、防油垫或其他防泄漏、撒漏措施，以确保油品不会直接渗漏到地面上，防止环境污染和安全隐患。同时，应设置明显的警示标志，提醒作业人员注意安全操作。</w:t>
            </w:r>
            <w:bookmarkEnd w:id="41"/>
            <w:bookmarkEnd w:id="42"/>
            <w:bookmarkEnd w:id="43"/>
            <w:bookmarkEnd w:id="44"/>
            <w:bookmarkStart w:id="45" w:name="_Toc18451"/>
          </w:p>
          <w:p w14:paraId="436397EE">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（3）柴油、导热油泄漏及泄漏导致的次生、衍生环境风险事件预防措施</w:t>
            </w:r>
            <w:bookmarkEnd w:id="45"/>
          </w:p>
          <w:p w14:paraId="5EC86511">
            <w:pPr>
              <w:wordWrap w:val="0"/>
              <w:topLinePunct/>
              <w:spacing w:line="360" w:lineRule="auto"/>
              <w:ind w:firstLine="480" w:firstLineChars="200"/>
              <w:rPr>
                <w:rFonts w:ascii="Times New Roman" w:hAnsi="Times New Roman" w:eastAsia="宋体" w:cs="Times New Roman"/>
                <w:color w:val="FF0000"/>
                <w:sz w:val="24"/>
              </w:rPr>
            </w:pPr>
            <w:bookmarkStart w:id="46" w:name="_Toc18674"/>
            <w:r>
              <w:rPr>
                <w:rFonts w:hint="eastAsia" w:ascii="Times New Roman" w:hAnsi="Times New Roman" w:eastAsia="宋体" w:cs="Times New Roman"/>
                <w:sz w:val="24"/>
              </w:rPr>
              <w:t>①柴油储罐区设置非燃烧材料的防火堤围堰，围堰高度1m，内置导流槽与防渗事故收集池（50m</w:t>
            </w:r>
            <w:r>
              <w:rPr>
                <w:rFonts w:hint="eastAsia" w:ascii="Times New Roman" w:hAnsi="Times New Roman" w:eastAsia="宋体" w:cs="Times New Roman"/>
                <w:sz w:val="24"/>
                <w:vertAlign w:val="superscript"/>
              </w:rPr>
              <w:t>3</w:t>
            </w:r>
            <w:r>
              <w:rPr>
                <w:rFonts w:hint="eastAsia" w:ascii="Times New Roman" w:hAnsi="Times New Roman" w:eastAsia="宋体" w:cs="Times New Roman"/>
                <w:sz w:val="24"/>
              </w:rPr>
              <w:t>）有效连接；</w:t>
            </w:r>
          </w:p>
          <w:p w14:paraId="48DA34B0">
            <w:pPr>
              <w:spacing w:line="360" w:lineRule="auto"/>
              <w:ind w:firstLine="480" w:firstLineChars="200"/>
              <w:outlineLvl w:val="2"/>
              <w:rPr>
                <w:rFonts w:ascii="Times New Roman" w:hAnsi="Times New Roman" w:eastAsia="宋体" w:cs="Times New Roman"/>
                <w:sz w:val="24"/>
              </w:rPr>
            </w:pPr>
            <w:r>
              <w:rPr>
                <w:rFonts w:hint="eastAsia" w:ascii="Times New Roman" w:hAnsi="Times New Roman" w:eastAsia="宋体" w:cs="Times New Roman"/>
                <w:sz w:val="24"/>
              </w:rPr>
              <w:t>②有机热载体炉房区域（导热油）、柴油储罐区域、事故收集池（柴油储罐区）、防火堤围堰执行重点防渗区要求，即重点防渗区防渗层的防渗性能应等效于6.0m厚渗透系数为1.0×10</w:t>
            </w:r>
            <w:r>
              <w:rPr>
                <w:rFonts w:hint="eastAsia" w:ascii="Times New Roman" w:hAnsi="Times New Roman" w:eastAsia="宋体" w:cs="Times New Roman"/>
                <w:sz w:val="24"/>
                <w:vertAlign w:val="superscript"/>
              </w:rPr>
              <w:t>-7</w:t>
            </w:r>
            <w:r>
              <w:rPr>
                <w:rFonts w:hint="eastAsia" w:ascii="Times New Roman" w:hAnsi="Times New Roman" w:eastAsia="宋体" w:cs="Times New Roman"/>
                <w:sz w:val="24"/>
              </w:rPr>
              <w:t>cm/s的黏土层的防渗性能；</w:t>
            </w:r>
          </w:p>
          <w:p w14:paraId="762412E9">
            <w:pPr>
              <w:spacing w:line="360" w:lineRule="auto"/>
              <w:ind w:firstLine="480" w:firstLineChars="200"/>
              <w:outlineLvl w:val="2"/>
              <w:rPr>
                <w:rFonts w:ascii="Times New Roman" w:hAnsi="Times New Roman" w:eastAsia="宋体" w:cs="Times New Roman"/>
                <w:sz w:val="24"/>
              </w:rPr>
            </w:pPr>
            <w:r>
              <w:rPr>
                <w:rFonts w:hint="eastAsia" w:ascii="Times New Roman" w:hAnsi="Times New Roman" w:eastAsia="宋体" w:cs="Times New Roman"/>
                <w:sz w:val="24"/>
              </w:rPr>
              <w:t>③</w:t>
            </w:r>
            <w:r>
              <w:rPr>
                <w:rFonts w:ascii="Times New Roman" w:hAnsi="Times New Roman" w:eastAsia="宋体" w:cs="Times New Roman"/>
                <w:sz w:val="24"/>
              </w:rPr>
              <w:t>柴油储罐安装液位监测及高液位报警装置，防止满溢；导热油系统管道、阀门定期巡检，防止跑冒滴漏；</w:t>
            </w:r>
          </w:p>
          <w:p w14:paraId="60F65FB7">
            <w:pPr>
              <w:spacing w:line="360" w:lineRule="auto"/>
              <w:ind w:firstLine="480" w:firstLineChars="200"/>
              <w:outlineLvl w:val="2"/>
              <w:rPr>
                <w:rFonts w:ascii="Times New Roman" w:hAnsi="Times New Roman" w:eastAsia="宋体" w:cs="Times New Roman"/>
                <w:sz w:val="24"/>
              </w:rPr>
            </w:pPr>
            <w:r>
              <w:rPr>
                <w:rFonts w:hint="eastAsia" w:ascii="Times New Roman" w:hAnsi="Times New Roman" w:eastAsia="宋体" w:cs="Times New Roman"/>
                <w:sz w:val="24"/>
              </w:rPr>
              <w:t>④</w:t>
            </w:r>
            <w:r>
              <w:rPr>
                <w:rFonts w:ascii="Times New Roman" w:hAnsi="Times New Roman" w:eastAsia="宋体" w:cs="Times New Roman"/>
                <w:sz w:val="24"/>
              </w:rPr>
              <w:t>储罐区及使用区域严禁明火</w:t>
            </w:r>
            <w:r>
              <w:rPr>
                <w:rFonts w:hint="eastAsia" w:ascii="Times New Roman" w:hAnsi="Times New Roman" w:eastAsia="宋体" w:cs="Times New Roman"/>
                <w:sz w:val="24"/>
              </w:rPr>
              <w:t>（点火源）</w:t>
            </w:r>
            <w:r>
              <w:rPr>
                <w:rFonts w:ascii="Times New Roman" w:hAnsi="Times New Roman" w:eastAsia="宋体" w:cs="Times New Roman"/>
                <w:sz w:val="24"/>
              </w:rPr>
              <w:t>，配备灭火器、消防沙、吸油毡等应急物资；</w:t>
            </w:r>
          </w:p>
          <w:p w14:paraId="66C2DF0C">
            <w:pPr>
              <w:spacing w:line="360" w:lineRule="auto"/>
              <w:ind w:firstLine="480" w:firstLineChars="200"/>
              <w:outlineLvl w:val="2"/>
              <w:rPr>
                <w:rFonts w:ascii="Times New Roman" w:hAnsi="Times New Roman" w:eastAsia="宋体" w:cs="Times New Roman"/>
                <w:sz w:val="24"/>
              </w:rPr>
            </w:pPr>
            <w:r>
              <w:rPr>
                <w:rFonts w:hint="eastAsia" w:ascii="Times New Roman" w:hAnsi="Times New Roman" w:eastAsia="宋体" w:cs="Times New Roman"/>
                <w:sz w:val="24"/>
              </w:rPr>
              <w:t>⑤</w:t>
            </w:r>
            <w:r>
              <w:rPr>
                <w:rFonts w:ascii="Times New Roman" w:hAnsi="Times New Roman" w:eastAsia="宋体" w:cs="Times New Roman"/>
                <w:sz w:val="24"/>
              </w:rPr>
              <w:t>发生泄漏时立即切断泄漏源，围堵控制泄漏物扩散，回收的泄漏物及沾染物按危险废物管理处置</w:t>
            </w:r>
            <w:r>
              <w:rPr>
                <w:rFonts w:hint="eastAsia" w:ascii="Times New Roman" w:hAnsi="Times New Roman" w:eastAsia="宋体" w:cs="Times New Roman"/>
                <w:sz w:val="24"/>
              </w:rPr>
              <w:t>；</w:t>
            </w:r>
          </w:p>
          <w:p w14:paraId="5CF3BAF4">
            <w:pPr>
              <w:spacing w:line="360" w:lineRule="auto"/>
              <w:ind w:firstLine="480" w:firstLineChars="200"/>
              <w:outlineLvl w:val="2"/>
              <w:rPr>
                <w:rFonts w:ascii="Times New Roman" w:hAnsi="Times New Roman" w:eastAsia="宋体" w:cs="Times New Roman"/>
                <w:sz w:val="24"/>
              </w:rPr>
            </w:pPr>
            <w:r>
              <w:rPr>
                <w:rFonts w:hint="eastAsia" w:ascii="Times New Roman" w:hAnsi="Times New Roman" w:eastAsia="宋体" w:cs="Times New Roman"/>
                <w:sz w:val="24"/>
              </w:rPr>
              <w:t>⑥</w:t>
            </w:r>
            <w:r>
              <w:rPr>
                <w:rFonts w:ascii="Times New Roman" w:hAnsi="Times New Roman" w:eastAsia="宋体" w:cs="Times New Roman"/>
                <w:sz w:val="24"/>
              </w:rPr>
              <w:t>制定泄漏专项应急预案，定期开展应急演练</w:t>
            </w:r>
            <w:r>
              <w:rPr>
                <w:rFonts w:hint="eastAsia" w:ascii="Times New Roman" w:hAnsi="Times New Roman" w:eastAsia="宋体" w:cs="Times New Roman"/>
                <w:sz w:val="24"/>
              </w:rPr>
              <w:t>。</w:t>
            </w:r>
          </w:p>
          <w:bookmarkEnd w:id="46"/>
          <w:p w14:paraId="0D581C8D">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Times New Roman" w:eastAsia="宋体" w:cs="Times New Roman"/>
                <w:sz w:val="24"/>
              </w:rPr>
              <w:t>火灾等事故引发的次生、衍生环境污染事件防范措施</w:t>
            </w:r>
          </w:p>
          <w:p w14:paraId="084C1502">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①</w:t>
            </w:r>
            <w:r>
              <w:rPr>
                <w:rFonts w:ascii="Times New Roman" w:hAnsi="Times New Roman" w:eastAsia="宋体" w:cs="Times New Roman"/>
                <w:sz w:val="24"/>
              </w:rPr>
              <w:t>控制火源与消除点火隐患。储罐区（柴油储罐、沥青储罐）、危废贮存点、导热油炉房等区域，严禁携带火种和吸烟</w:t>
            </w:r>
            <w:r>
              <w:rPr>
                <w:rFonts w:hint="eastAsia" w:ascii="Times New Roman" w:hAnsi="Times New Roman" w:eastAsia="宋体" w:cs="Times New Roman"/>
                <w:sz w:val="24"/>
              </w:rPr>
              <w:t>；</w:t>
            </w:r>
            <w:r>
              <w:rPr>
                <w:rFonts w:ascii="Times New Roman" w:hAnsi="Times New Roman" w:eastAsia="宋体" w:cs="Times New Roman"/>
                <w:sz w:val="24"/>
              </w:rPr>
              <w:t>严格执行动火作业审批制度，作业前清除现场可燃物并配备灭火器材，作业后专人监护确保无残留火种</w:t>
            </w:r>
            <w:r>
              <w:rPr>
                <w:rFonts w:hint="eastAsia" w:ascii="Times New Roman" w:hAnsi="Times New Roman" w:eastAsia="宋体" w:cs="Times New Roman"/>
                <w:sz w:val="24"/>
              </w:rPr>
              <w:t>；</w:t>
            </w:r>
            <w:r>
              <w:rPr>
                <w:rFonts w:ascii="Times New Roman" w:hAnsi="Times New Roman" w:eastAsia="宋体" w:cs="Times New Roman"/>
                <w:sz w:val="24"/>
              </w:rPr>
              <w:t>定期检查厂区防雷接地设施，确保完好有效</w:t>
            </w:r>
            <w:r>
              <w:rPr>
                <w:rFonts w:hint="eastAsia" w:ascii="Times New Roman" w:hAnsi="Times New Roman" w:eastAsia="宋体" w:cs="Times New Roman"/>
                <w:sz w:val="24"/>
              </w:rPr>
              <w:t>；</w:t>
            </w:r>
          </w:p>
          <w:p w14:paraId="69CEA1A6">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②</w:t>
            </w:r>
            <w:r>
              <w:rPr>
                <w:rFonts w:ascii="Times New Roman" w:hAnsi="Times New Roman" w:eastAsia="宋体" w:cs="Times New Roman"/>
                <w:sz w:val="24"/>
              </w:rPr>
              <w:t>加强易燃物质（柴油、导热油、沥青）的规范贮存与管理</w:t>
            </w:r>
            <w:r>
              <w:rPr>
                <w:rFonts w:hint="eastAsia" w:ascii="Times New Roman" w:hAnsi="Times New Roman" w:eastAsia="宋体" w:cs="Times New Roman"/>
                <w:sz w:val="24"/>
              </w:rPr>
              <w:t>；</w:t>
            </w:r>
          </w:p>
          <w:p w14:paraId="371C58CA">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③</w:t>
            </w:r>
            <w:r>
              <w:rPr>
                <w:rFonts w:ascii="Times New Roman" w:hAnsi="Times New Roman" w:eastAsia="宋体" w:cs="Times New Roman"/>
                <w:sz w:val="24"/>
              </w:rPr>
              <w:t>强化电气安全与日常巡检。各生产区域电气设备须选用符合国家标准的合格产品，电缆敷设须穿管保护，防止绝缘老化引发短路火灾。建立日常巡检制度，重点检查</w:t>
            </w:r>
            <w:r>
              <w:rPr>
                <w:rFonts w:hint="eastAsia" w:ascii="Times New Roman" w:hAnsi="Times New Roman" w:eastAsia="宋体" w:cs="Times New Roman"/>
                <w:sz w:val="24"/>
              </w:rPr>
              <w:t>柴油、沥青、</w:t>
            </w:r>
            <w:r>
              <w:rPr>
                <w:rFonts w:ascii="Times New Roman" w:hAnsi="Times New Roman" w:eastAsia="宋体" w:cs="Times New Roman"/>
                <w:sz w:val="24"/>
              </w:rPr>
              <w:t>导热油管路阀门密封性、高温管道保温层完好性、电气线路过热或裸露等隐患，发现故障立即停用维修并做好记录。配备灭火器、消防沙等应急物资</w:t>
            </w:r>
            <w:r>
              <w:rPr>
                <w:rFonts w:hint="eastAsia" w:ascii="Times New Roman" w:hAnsi="Times New Roman" w:eastAsia="宋体" w:cs="Times New Roman"/>
                <w:sz w:val="24"/>
              </w:rPr>
              <w:t>。</w:t>
            </w:r>
          </w:p>
          <w:p w14:paraId="5586FE0C">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（5）粉尘爆炸事故引发的次生、衍生环境风险事件防范措施</w:t>
            </w:r>
          </w:p>
          <w:p w14:paraId="36CCE2D5">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①</w:t>
            </w:r>
            <w:r>
              <w:rPr>
                <w:rFonts w:ascii="Times New Roman" w:hAnsi="Times New Roman" w:eastAsia="宋体" w:cs="Times New Roman"/>
                <w:sz w:val="24"/>
              </w:rPr>
              <w:t>除尘系统（蜗壳除尘+布袋除尘器）设置泄爆口，泄爆方向避开人员密集区域；布袋除尘器进出口安装压差监测装置，压差异常升高时报警联锁；</w:t>
            </w:r>
          </w:p>
          <w:p w14:paraId="6D26E25D">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②</w:t>
            </w:r>
            <w:r>
              <w:rPr>
                <w:rFonts w:ascii="Times New Roman" w:hAnsi="Times New Roman" w:eastAsia="宋体" w:cs="Times New Roman"/>
                <w:sz w:val="24"/>
              </w:rPr>
              <w:t>对粉尘积聚区域制定定期清理制度，防止粉尘大量积聚；</w:t>
            </w:r>
          </w:p>
          <w:p w14:paraId="07C6F396">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③</w:t>
            </w:r>
            <w:r>
              <w:rPr>
                <w:rFonts w:ascii="Times New Roman" w:hAnsi="Times New Roman" w:eastAsia="宋体" w:cs="Times New Roman"/>
                <w:sz w:val="24"/>
              </w:rPr>
              <w:t>除尘系统启动、停机时严格按操作规程进行，防止因误操作引发粉尘爆燃</w:t>
            </w:r>
            <w:r>
              <w:rPr>
                <w:rFonts w:hint="eastAsia" w:ascii="Times New Roman" w:hAnsi="Times New Roman" w:eastAsia="宋体" w:cs="Times New Roman"/>
                <w:sz w:val="24"/>
              </w:rPr>
              <w:t>；</w:t>
            </w:r>
          </w:p>
          <w:p w14:paraId="767B873F">
            <w:pPr>
              <w:spacing w:line="360" w:lineRule="auto"/>
              <w:ind w:firstLine="480" w:firstLineChars="200"/>
              <w:outlineLvl w:val="2"/>
              <w:rPr>
                <w:rFonts w:ascii="Times New Roman" w:hAnsi="Times New Roman" w:eastAsia="宋体" w:cs="Times New Roman"/>
                <w:sz w:val="24"/>
              </w:rPr>
            </w:pPr>
            <w:r>
              <w:rPr>
                <w:rFonts w:hint="eastAsia" w:ascii="Times New Roman" w:hAnsi="Times New Roman" w:eastAsia="宋体" w:cs="Times New Roman"/>
                <w:sz w:val="24"/>
              </w:rPr>
              <w:t>④</w:t>
            </w:r>
            <w:r>
              <w:rPr>
                <w:rFonts w:ascii="Times New Roman" w:hAnsi="Times New Roman" w:eastAsia="宋体" w:cs="Times New Roman"/>
                <w:sz w:val="24"/>
              </w:rPr>
              <w:t>粉尘产生区域的电气设备须选用符合国家标准的防爆型产品，设备及金属管道须进行可靠的静电跨接并接地，严防机械火花及静电火花引发初始爆炸。布袋除尘器脉冲阀应具备防爆泄压功能，确保一旦发生局部爆燃，能迅速泄放冲击波、防止多米诺效应。</w:t>
            </w:r>
          </w:p>
          <w:p w14:paraId="7C008035">
            <w:pPr>
              <w:wordWrap w:val="0"/>
              <w:topLinePunct/>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（6）活性炭自燃导致的次生、衍生环境风险事件防范措施</w:t>
            </w:r>
          </w:p>
          <w:p w14:paraId="3A436911">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①</w:t>
            </w:r>
            <w:r>
              <w:rPr>
                <w:rFonts w:ascii="Times New Roman" w:hAnsi="Times New Roman" w:eastAsia="宋体" w:cs="Times New Roman"/>
                <w:sz w:val="24"/>
              </w:rPr>
              <w:t>严格控制选型</w:t>
            </w:r>
            <w:r>
              <w:rPr>
                <w:rFonts w:hint="eastAsia" w:ascii="Times New Roman" w:hAnsi="Times New Roman" w:eastAsia="宋体" w:cs="Times New Roman"/>
                <w:sz w:val="24"/>
              </w:rPr>
              <w:t>，</w:t>
            </w:r>
            <w:r>
              <w:rPr>
                <w:rFonts w:ascii="Times New Roman" w:hAnsi="Times New Roman" w:eastAsia="宋体" w:cs="Times New Roman"/>
                <w:sz w:val="24"/>
              </w:rPr>
              <w:t>避免低质炭因含油分或杂质过多，在吸附过程中发生不当氧化生热</w:t>
            </w:r>
            <w:r>
              <w:rPr>
                <w:rFonts w:hint="eastAsia" w:ascii="Times New Roman" w:hAnsi="Times New Roman" w:eastAsia="宋体" w:cs="Times New Roman"/>
                <w:sz w:val="24"/>
              </w:rPr>
              <w:t>；</w:t>
            </w:r>
          </w:p>
          <w:p w14:paraId="472275BC">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②</w:t>
            </w:r>
            <w:r>
              <w:rPr>
                <w:rFonts w:ascii="Times New Roman" w:hAnsi="Times New Roman" w:eastAsia="宋体" w:cs="Times New Roman"/>
                <w:sz w:val="24"/>
              </w:rPr>
              <w:t>规范废炭装卸与静置降温</w:t>
            </w:r>
            <w:r>
              <w:rPr>
                <w:rFonts w:hint="eastAsia" w:ascii="Times New Roman" w:hAnsi="Times New Roman" w:eastAsia="宋体" w:cs="Times New Roman"/>
                <w:sz w:val="24"/>
              </w:rPr>
              <w:t>，</w:t>
            </w:r>
            <w:r>
              <w:rPr>
                <w:rFonts w:ascii="Times New Roman" w:hAnsi="Times New Roman" w:eastAsia="宋体" w:cs="Times New Roman"/>
                <w:sz w:val="24"/>
              </w:rPr>
              <w:t>更换出的废活性炭必须充分散热冷却后方可进行密闭打包，严禁在高温状态下直接堆积或打包，防止热蓄积引发内部自燃</w:t>
            </w:r>
            <w:r>
              <w:rPr>
                <w:rFonts w:hint="eastAsia" w:ascii="Times New Roman" w:hAnsi="Times New Roman" w:eastAsia="宋体" w:cs="Times New Roman"/>
                <w:sz w:val="24"/>
              </w:rPr>
              <w:t>；</w:t>
            </w:r>
          </w:p>
          <w:p w14:paraId="100B8EDB">
            <w:pPr>
              <w:wordWrap w:val="0"/>
              <w:topLinePunct/>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③</w:t>
            </w:r>
            <w:r>
              <w:rPr>
                <w:rFonts w:ascii="Times New Roman" w:hAnsi="Times New Roman" w:eastAsia="宋体" w:cs="Times New Roman"/>
                <w:sz w:val="24"/>
              </w:rPr>
              <w:t>实行安全隔离储存</w:t>
            </w:r>
            <w:r>
              <w:rPr>
                <w:rFonts w:hint="eastAsia" w:ascii="Times New Roman" w:hAnsi="Times New Roman" w:eastAsia="宋体" w:cs="Times New Roman"/>
                <w:sz w:val="24"/>
              </w:rPr>
              <w:t>，</w:t>
            </w:r>
            <w:r>
              <w:rPr>
                <w:rFonts w:ascii="Times New Roman" w:hAnsi="Times New Roman" w:eastAsia="宋体" w:cs="Times New Roman"/>
                <w:sz w:val="24"/>
              </w:rPr>
              <w:t>废活性炭暂存区应设置独立的防火隔离区域，远离高温管道、带电设备及易燃物料，配备干粉或二氧化碳灭火器材，严防火灾蔓延引发次生大气污染。</w:t>
            </w:r>
          </w:p>
          <w:p w14:paraId="26742E11">
            <w:pPr>
              <w:widowControl/>
              <w:wordWrap w:val="0"/>
              <w:topLinePunct/>
              <w:spacing w:line="360" w:lineRule="auto"/>
              <w:ind w:firstLine="480" w:firstLineChars="200"/>
              <w:rPr>
                <w:rFonts w:ascii="Times New Roman" w:hAnsi="Times New Roman" w:cs="Times New Roman"/>
                <w:bCs/>
                <w:sz w:val="24"/>
                <w:szCs w:val="20"/>
              </w:rPr>
            </w:pPr>
            <w:r>
              <w:rPr>
                <w:rFonts w:hint="eastAsia"/>
                <w:bCs/>
                <w:sz w:val="24"/>
                <w:szCs w:val="20"/>
              </w:rPr>
              <w:t>建设单位应编制专业严谨的突发环境事件应急预案，并报送张掖市生态环境局临泽分局进行备案，根据突发环境事件应急预案进行突发环境事件应急演练，以实行有效的管理。</w:t>
            </w:r>
          </w:p>
          <w:p w14:paraId="52181918">
            <w:pPr>
              <w:spacing w:line="360" w:lineRule="auto"/>
              <w:ind w:firstLine="482" w:firstLineChars="200"/>
              <w:outlineLvl w:val="2"/>
              <w:rPr>
                <w:rFonts w:ascii="Times New Roman" w:hAnsi="Times New Roman" w:eastAsia="宋体" w:cs="Times New Roman"/>
                <w:b/>
                <w:bCs/>
                <w:sz w:val="24"/>
              </w:rPr>
            </w:pPr>
            <w:r>
              <w:rPr>
                <w:rFonts w:hint="eastAsia" w:ascii="Times New Roman" w:hAnsi="Times New Roman" w:eastAsia="宋体" w:cs="Times New Roman"/>
                <w:b/>
                <w:bCs/>
                <w:sz w:val="24"/>
              </w:rPr>
              <w:t>7.4环境风险分析结论</w:t>
            </w:r>
          </w:p>
          <w:p w14:paraId="01877C2C">
            <w:pPr>
              <w:widowControl/>
              <w:spacing w:line="360" w:lineRule="auto"/>
              <w:ind w:firstLine="480" w:firstLineChars="200"/>
              <w:rPr>
                <w:bCs/>
                <w:sz w:val="24"/>
                <w:szCs w:val="20"/>
              </w:rPr>
            </w:pPr>
            <w:r>
              <w:rPr>
                <w:rFonts w:hint="eastAsia"/>
                <w:bCs/>
                <w:sz w:val="24"/>
                <w:szCs w:val="20"/>
              </w:rPr>
              <w:t>本项目环境风险简单分析内容见下表所示：</w:t>
            </w:r>
          </w:p>
          <w:p w14:paraId="45B35E47">
            <w:pPr>
              <w:wordWrap w:val="0"/>
              <w:topLinePunct/>
              <w:spacing w:line="360" w:lineRule="auto"/>
              <w:ind w:firstLine="482"/>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表4-39  建设项目环境风险简单分析内容表</w:t>
            </w:r>
          </w:p>
          <w:tbl>
            <w:tblPr>
              <w:tblStyle w:val="28"/>
              <w:tblW w:w="4994"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86"/>
              <w:gridCol w:w="1285"/>
              <w:gridCol w:w="2265"/>
              <w:gridCol w:w="816"/>
              <w:gridCol w:w="1062"/>
              <w:gridCol w:w="1329"/>
            </w:tblGrid>
            <w:tr w14:paraId="2CF10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4" w:hRule="atLeast"/>
                <w:jc w:val="center"/>
              </w:trPr>
              <w:tc>
                <w:tcPr>
                  <w:tcW w:w="799" w:type="pct"/>
                  <w:tcBorders>
                    <w:tl2br w:val="nil"/>
                    <w:tr2bl w:val="nil"/>
                  </w:tcBorders>
                  <w:vAlign w:val="center"/>
                </w:tcPr>
                <w:p w14:paraId="0D34AFC6">
                  <w:pPr>
                    <w:jc w:val="center"/>
                    <w:rPr>
                      <w:rFonts w:ascii="Times New Roman" w:hAnsi="Times New Roman" w:eastAsia="宋体" w:cs="Times New Roman"/>
                      <w:szCs w:val="21"/>
                    </w:rPr>
                  </w:pPr>
                  <w:r>
                    <w:rPr>
                      <w:rFonts w:hint="eastAsia" w:ascii="Times New Roman" w:hAnsi="Times New Roman" w:eastAsia="宋体" w:cs="Times New Roman"/>
                      <w:szCs w:val="21"/>
                    </w:rPr>
                    <w:t>建设项目</w:t>
                  </w:r>
                </w:p>
                <w:p w14:paraId="3948060A">
                  <w:pPr>
                    <w:jc w:val="center"/>
                    <w:rPr>
                      <w:rFonts w:ascii="Times New Roman" w:hAnsi="Times New Roman" w:eastAsia="宋体" w:cs="Times New Roman"/>
                      <w:szCs w:val="21"/>
                    </w:rPr>
                  </w:pPr>
                  <w:r>
                    <w:rPr>
                      <w:rFonts w:hint="eastAsia" w:ascii="Times New Roman" w:hAnsi="Times New Roman" w:eastAsia="宋体" w:cs="Times New Roman"/>
                      <w:szCs w:val="21"/>
                    </w:rPr>
                    <w:t>名称</w:t>
                  </w:r>
                </w:p>
              </w:tc>
              <w:tc>
                <w:tcPr>
                  <w:tcW w:w="4200" w:type="pct"/>
                  <w:gridSpan w:val="5"/>
                  <w:tcBorders>
                    <w:tl2br w:val="nil"/>
                    <w:tr2bl w:val="nil"/>
                  </w:tcBorders>
                  <w:vAlign w:val="center"/>
                </w:tcPr>
                <w:p w14:paraId="1B1C6F93">
                  <w:pPr>
                    <w:jc w:val="center"/>
                    <w:rPr>
                      <w:rFonts w:ascii="Times New Roman" w:hAnsi="Times New Roman" w:eastAsia="宋体" w:cs="Times New Roman"/>
                      <w:szCs w:val="21"/>
                    </w:rPr>
                  </w:pPr>
                  <w:r>
                    <w:rPr>
                      <w:rFonts w:hint="eastAsia" w:ascii="Times New Roman" w:hAnsi="Times New Roman" w:eastAsia="宋体" w:cs="Times New Roman"/>
                      <w:szCs w:val="21"/>
                    </w:rPr>
                    <w:t>甘肃聚联新型材料有限公司凹凸棒石基新型低碳功能性建筑材料综合开发项目</w:t>
                  </w:r>
                  <w:r>
                    <w:rPr>
                      <w:rFonts w:hint="eastAsia" w:ascii="Times New Roman" w:hAnsi="Times New Roman" w:eastAsia="宋体" w:cs="Times New Roman"/>
                      <w:kern w:val="0"/>
                      <w:sz w:val="24"/>
                      <w:lang w:eastAsia="zh-CN"/>
                    </w:rPr>
                    <w:t>（</w:t>
                  </w:r>
                  <w:r>
                    <w:rPr>
                      <w:rFonts w:hint="eastAsia" w:ascii="Times New Roman" w:hAnsi="Times New Roman" w:eastAsia="宋体" w:cs="Times New Roman"/>
                      <w:kern w:val="0"/>
                      <w:sz w:val="24"/>
                      <w:lang w:val="en-US" w:eastAsia="zh-CN"/>
                    </w:rPr>
                    <w:t>一期工程</w:t>
                  </w:r>
                  <w:r>
                    <w:rPr>
                      <w:rFonts w:hint="eastAsia" w:ascii="Times New Roman" w:hAnsi="Times New Roman" w:eastAsia="宋体" w:cs="Times New Roman"/>
                      <w:kern w:val="0"/>
                      <w:sz w:val="24"/>
                      <w:lang w:eastAsia="zh-CN"/>
                    </w:rPr>
                    <w:t>）</w:t>
                  </w:r>
                </w:p>
              </w:tc>
            </w:tr>
            <w:tr w14:paraId="5FDF2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99" w:type="pct"/>
                  <w:tcBorders>
                    <w:tl2br w:val="nil"/>
                    <w:tr2bl w:val="nil"/>
                  </w:tcBorders>
                  <w:vAlign w:val="center"/>
                </w:tcPr>
                <w:p w14:paraId="35C84CC2">
                  <w:pPr>
                    <w:jc w:val="center"/>
                    <w:rPr>
                      <w:rFonts w:ascii="Times New Roman" w:hAnsi="Times New Roman" w:eastAsia="宋体" w:cs="Times New Roman"/>
                      <w:szCs w:val="21"/>
                    </w:rPr>
                  </w:pPr>
                  <w:r>
                    <w:rPr>
                      <w:rFonts w:hint="eastAsia" w:ascii="Times New Roman" w:hAnsi="Times New Roman" w:eastAsia="宋体" w:cs="Times New Roman"/>
                      <w:szCs w:val="21"/>
                    </w:rPr>
                    <w:t>建设地点</w:t>
                  </w:r>
                </w:p>
              </w:tc>
              <w:tc>
                <w:tcPr>
                  <w:tcW w:w="799" w:type="pct"/>
                  <w:tcBorders>
                    <w:tl2br w:val="nil"/>
                    <w:tr2bl w:val="nil"/>
                  </w:tcBorders>
                  <w:vAlign w:val="center"/>
                </w:tcPr>
                <w:p w14:paraId="60357847">
                  <w:pPr>
                    <w:jc w:val="center"/>
                    <w:rPr>
                      <w:rFonts w:ascii="Times New Roman" w:hAnsi="Times New Roman" w:eastAsia="宋体" w:cs="Times New Roman"/>
                      <w:szCs w:val="21"/>
                    </w:rPr>
                  </w:pPr>
                  <w:r>
                    <w:rPr>
                      <w:rFonts w:hint="eastAsia" w:ascii="Times New Roman" w:hAnsi="Times New Roman" w:eastAsia="宋体" w:cs="Times New Roman"/>
                      <w:szCs w:val="21"/>
                    </w:rPr>
                    <w:t>（甘肃）省</w:t>
                  </w:r>
                </w:p>
              </w:tc>
              <w:tc>
                <w:tcPr>
                  <w:tcW w:w="1408" w:type="pct"/>
                  <w:tcBorders>
                    <w:tl2br w:val="nil"/>
                    <w:tr2bl w:val="nil"/>
                  </w:tcBorders>
                  <w:vAlign w:val="center"/>
                </w:tcPr>
                <w:p w14:paraId="7E5438C5">
                  <w:pPr>
                    <w:jc w:val="center"/>
                    <w:rPr>
                      <w:rFonts w:ascii="Times New Roman" w:hAnsi="Times New Roman" w:eastAsia="宋体" w:cs="Times New Roman"/>
                      <w:szCs w:val="21"/>
                    </w:rPr>
                  </w:pPr>
                  <w:r>
                    <w:rPr>
                      <w:rFonts w:hint="eastAsia" w:ascii="Times New Roman" w:hAnsi="Times New Roman" w:eastAsia="宋体" w:cs="Times New Roman"/>
                      <w:szCs w:val="21"/>
                    </w:rPr>
                    <w:t>（张掖）市</w:t>
                  </w:r>
                </w:p>
              </w:tc>
              <w:tc>
                <w:tcPr>
                  <w:tcW w:w="507" w:type="pct"/>
                  <w:tcBorders>
                    <w:tl2br w:val="nil"/>
                    <w:tr2bl w:val="nil"/>
                  </w:tcBorders>
                  <w:vAlign w:val="center"/>
                </w:tcPr>
                <w:p w14:paraId="0012DCE0">
                  <w:pPr>
                    <w:jc w:val="center"/>
                    <w:rPr>
                      <w:rFonts w:ascii="Times New Roman" w:hAnsi="Times New Roman" w:eastAsia="宋体" w:cs="Times New Roman"/>
                      <w:szCs w:val="21"/>
                    </w:rPr>
                  </w:pPr>
                  <w:r>
                    <w:rPr>
                      <w:rFonts w:hint="eastAsia" w:ascii="Times New Roman" w:hAnsi="Times New Roman" w:eastAsia="宋体" w:cs="Times New Roman"/>
                      <w:szCs w:val="21"/>
                    </w:rPr>
                    <w:t>（/）区</w:t>
                  </w:r>
                </w:p>
              </w:tc>
              <w:tc>
                <w:tcPr>
                  <w:tcW w:w="660" w:type="pct"/>
                  <w:tcBorders>
                    <w:tl2br w:val="nil"/>
                    <w:tr2bl w:val="nil"/>
                  </w:tcBorders>
                  <w:vAlign w:val="center"/>
                </w:tcPr>
                <w:p w14:paraId="6EB021DD">
                  <w:pPr>
                    <w:jc w:val="center"/>
                    <w:rPr>
                      <w:rFonts w:ascii="Times New Roman" w:hAnsi="Times New Roman" w:eastAsia="宋体" w:cs="Times New Roman"/>
                      <w:szCs w:val="21"/>
                    </w:rPr>
                  </w:pPr>
                  <w:r>
                    <w:rPr>
                      <w:rFonts w:hint="eastAsia" w:ascii="Times New Roman" w:hAnsi="Times New Roman" w:eastAsia="宋体" w:cs="Times New Roman"/>
                      <w:szCs w:val="21"/>
                    </w:rPr>
                    <w:t>（临泽）县</w:t>
                  </w:r>
                </w:p>
              </w:tc>
              <w:tc>
                <w:tcPr>
                  <w:tcW w:w="824" w:type="pct"/>
                  <w:tcBorders>
                    <w:tl2br w:val="nil"/>
                    <w:tr2bl w:val="nil"/>
                  </w:tcBorders>
                  <w:vAlign w:val="center"/>
                </w:tcPr>
                <w:p w14:paraId="761006BB">
                  <w:pPr>
                    <w:jc w:val="center"/>
                    <w:rPr>
                      <w:rFonts w:ascii="Times New Roman" w:hAnsi="Times New Roman" w:eastAsia="宋体" w:cs="Times New Roman"/>
                      <w:szCs w:val="21"/>
                    </w:rPr>
                  </w:pPr>
                  <w:r>
                    <w:rPr>
                      <w:rFonts w:hint="eastAsia" w:ascii="Times New Roman" w:hAnsi="Times New Roman" w:eastAsia="宋体" w:cs="Times New Roman"/>
                      <w:szCs w:val="21"/>
                    </w:rPr>
                    <w:t>（临泽县凹凸棒石产业园区初级加工区）园区</w:t>
                  </w:r>
                </w:p>
              </w:tc>
            </w:tr>
            <w:tr w14:paraId="3ADEA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99" w:type="pct"/>
                  <w:tcBorders>
                    <w:tl2br w:val="nil"/>
                    <w:tr2bl w:val="nil"/>
                  </w:tcBorders>
                  <w:vAlign w:val="center"/>
                </w:tcPr>
                <w:p w14:paraId="0FE8BF96">
                  <w:pPr>
                    <w:jc w:val="center"/>
                    <w:rPr>
                      <w:rFonts w:ascii="Times New Roman" w:hAnsi="Times New Roman" w:eastAsia="宋体" w:cs="Times New Roman"/>
                      <w:szCs w:val="21"/>
                    </w:rPr>
                  </w:pPr>
                  <w:r>
                    <w:rPr>
                      <w:rFonts w:hint="eastAsia" w:ascii="Times New Roman" w:hAnsi="Times New Roman" w:eastAsia="宋体" w:cs="Times New Roman"/>
                      <w:szCs w:val="21"/>
                    </w:rPr>
                    <w:t>地理坐标</w:t>
                  </w:r>
                </w:p>
              </w:tc>
              <w:tc>
                <w:tcPr>
                  <w:tcW w:w="799" w:type="pct"/>
                  <w:tcBorders>
                    <w:tl2br w:val="nil"/>
                    <w:tr2bl w:val="nil"/>
                  </w:tcBorders>
                  <w:vAlign w:val="center"/>
                </w:tcPr>
                <w:p w14:paraId="6F0AA0A0">
                  <w:pPr>
                    <w:jc w:val="center"/>
                    <w:rPr>
                      <w:rFonts w:ascii="Times New Roman" w:hAnsi="Times New Roman" w:eastAsia="宋体" w:cs="Times New Roman"/>
                      <w:szCs w:val="21"/>
                    </w:rPr>
                  </w:pPr>
                  <w:r>
                    <w:rPr>
                      <w:rFonts w:hint="eastAsia" w:ascii="Times New Roman" w:hAnsi="Times New Roman" w:eastAsia="宋体" w:cs="Times New Roman"/>
                      <w:szCs w:val="21"/>
                    </w:rPr>
                    <w:t>经度</w:t>
                  </w:r>
                </w:p>
              </w:tc>
              <w:tc>
                <w:tcPr>
                  <w:tcW w:w="1408" w:type="pct"/>
                  <w:tcBorders>
                    <w:tl2br w:val="nil"/>
                    <w:tr2bl w:val="nil"/>
                  </w:tcBorders>
                  <w:vAlign w:val="center"/>
                </w:tcPr>
                <w:p w14:paraId="05C110BE">
                  <w:pPr>
                    <w:jc w:val="center"/>
                    <w:rPr>
                      <w:rFonts w:ascii="Times New Roman" w:hAnsi="Times New Roman" w:eastAsia="宋体" w:cs="Times New Roman"/>
                      <w:szCs w:val="21"/>
                    </w:rPr>
                  </w:pPr>
                  <w:r>
                    <w:rPr>
                      <w:rFonts w:ascii="Times New Roman" w:hAnsi="Times New Roman" w:eastAsia="宋体" w:cs="Times New Roman"/>
                      <w:szCs w:val="21"/>
                    </w:rPr>
                    <w:t>东经：100°18′22″</w:t>
                  </w:r>
                </w:p>
              </w:tc>
              <w:tc>
                <w:tcPr>
                  <w:tcW w:w="507" w:type="pct"/>
                  <w:tcBorders>
                    <w:tl2br w:val="nil"/>
                    <w:tr2bl w:val="nil"/>
                  </w:tcBorders>
                  <w:vAlign w:val="center"/>
                </w:tcPr>
                <w:p w14:paraId="5AABEAD1">
                  <w:pPr>
                    <w:jc w:val="center"/>
                    <w:rPr>
                      <w:rFonts w:ascii="Times New Roman" w:hAnsi="Times New Roman" w:eastAsia="宋体" w:cs="Times New Roman"/>
                      <w:szCs w:val="21"/>
                    </w:rPr>
                  </w:pPr>
                  <w:r>
                    <w:rPr>
                      <w:rFonts w:hint="eastAsia" w:ascii="Times New Roman" w:hAnsi="Times New Roman" w:eastAsia="宋体" w:cs="Times New Roman"/>
                      <w:szCs w:val="21"/>
                    </w:rPr>
                    <w:t>纬度</w:t>
                  </w:r>
                </w:p>
              </w:tc>
              <w:tc>
                <w:tcPr>
                  <w:tcW w:w="1484" w:type="pct"/>
                  <w:gridSpan w:val="2"/>
                  <w:tcBorders>
                    <w:tl2br w:val="nil"/>
                    <w:tr2bl w:val="nil"/>
                  </w:tcBorders>
                  <w:vAlign w:val="center"/>
                </w:tcPr>
                <w:p w14:paraId="105C2AB2">
                  <w:pPr>
                    <w:jc w:val="center"/>
                    <w:rPr>
                      <w:rFonts w:ascii="Times New Roman" w:hAnsi="Times New Roman" w:eastAsia="宋体" w:cs="Times New Roman"/>
                      <w:szCs w:val="21"/>
                    </w:rPr>
                  </w:pPr>
                  <w:r>
                    <w:rPr>
                      <w:rFonts w:ascii="Times New Roman" w:hAnsi="Times New Roman" w:eastAsia="宋体" w:cs="Times New Roman"/>
                      <w:szCs w:val="21"/>
                    </w:rPr>
                    <w:t>北纬：39°16′0″</w:t>
                  </w:r>
                </w:p>
              </w:tc>
            </w:tr>
            <w:tr w14:paraId="7CBD0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99" w:type="pct"/>
                  <w:tcBorders>
                    <w:tl2br w:val="nil"/>
                    <w:tr2bl w:val="nil"/>
                  </w:tcBorders>
                  <w:vAlign w:val="center"/>
                </w:tcPr>
                <w:p w14:paraId="0BF33A40">
                  <w:pPr>
                    <w:jc w:val="center"/>
                    <w:rPr>
                      <w:rFonts w:ascii="Times New Roman" w:hAnsi="Times New Roman" w:eastAsia="宋体" w:cs="Times New Roman"/>
                      <w:szCs w:val="21"/>
                    </w:rPr>
                  </w:pPr>
                  <w:r>
                    <w:rPr>
                      <w:rFonts w:hint="eastAsia" w:ascii="Times New Roman" w:hAnsi="Times New Roman" w:eastAsia="宋体" w:cs="Times New Roman"/>
                      <w:szCs w:val="21"/>
                    </w:rPr>
                    <w:t>主要风险物质及分布</w:t>
                  </w:r>
                </w:p>
              </w:tc>
              <w:tc>
                <w:tcPr>
                  <w:tcW w:w="4200" w:type="pct"/>
                  <w:gridSpan w:val="5"/>
                  <w:tcBorders>
                    <w:tl2br w:val="nil"/>
                    <w:tr2bl w:val="nil"/>
                  </w:tcBorders>
                  <w:vAlign w:val="center"/>
                </w:tcPr>
                <w:p w14:paraId="0D0E681E">
                  <w:pPr>
                    <w:jc w:val="center"/>
                    <w:rPr>
                      <w:rFonts w:ascii="Times New Roman" w:hAnsi="Times New Roman" w:eastAsia="宋体" w:cs="Times New Roman"/>
                      <w:szCs w:val="21"/>
                    </w:rPr>
                  </w:pPr>
                  <w:r>
                    <w:rPr>
                      <w:rFonts w:hint="eastAsia" w:ascii="Times New Roman" w:hAnsi="Times New Roman" w:eastAsia="宋体" w:cs="Times New Roman"/>
                      <w:szCs w:val="21"/>
                    </w:rPr>
                    <w:t>柴油、导热油、二氧化硫（废气污染物）、</w:t>
                  </w:r>
                  <w:r>
                    <w:rPr>
                      <w:rFonts w:ascii="Times New Roman" w:hAnsi="Times New Roman" w:eastAsia="宋体" w:cs="Times New Roman"/>
                      <w:szCs w:val="21"/>
                    </w:rPr>
                    <w:t>苯并[a]芘</w:t>
                  </w:r>
                  <w:r>
                    <w:rPr>
                      <w:rFonts w:hint="eastAsia" w:ascii="Times New Roman" w:hAnsi="Times New Roman" w:eastAsia="宋体" w:cs="Times New Roman"/>
                      <w:szCs w:val="21"/>
                    </w:rPr>
                    <w:t>（废气污染物）、 废焦油、洗涤塔循环废液及沉淀焦油渣、废矿物油</w:t>
                  </w:r>
                </w:p>
              </w:tc>
            </w:tr>
            <w:tr w14:paraId="641F9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76" w:hRule="atLeast"/>
                <w:jc w:val="center"/>
              </w:trPr>
              <w:tc>
                <w:tcPr>
                  <w:tcW w:w="799" w:type="pct"/>
                  <w:tcBorders>
                    <w:tl2br w:val="nil"/>
                    <w:tr2bl w:val="nil"/>
                  </w:tcBorders>
                  <w:vAlign w:val="center"/>
                </w:tcPr>
                <w:p w14:paraId="7B258C4A">
                  <w:pPr>
                    <w:jc w:val="center"/>
                    <w:rPr>
                      <w:rFonts w:ascii="Times New Roman" w:hAnsi="Times New Roman" w:eastAsia="宋体" w:cs="Times New Roman"/>
                      <w:szCs w:val="21"/>
                    </w:rPr>
                  </w:pPr>
                  <w:r>
                    <w:rPr>
                      <w:rFonts w:hint="eastAsia" w:ascii="Times New Roman" w:hAnsi="Times New Roman" w:eastAsia="宋体" w:cs="Times New Roman"/>
                      <w:szCs w:val="21"/>
                    </w:rPr>
                    <w:t>环境影响途径及危害后果（大气、地表水、地下水等）</w:t>
                  </w:r>
                </w:p>
              </w:tc>
              <w:tc>
                <w:tcPr>
                  <w:tcW w:w="4200" w:type="pct"/>
                  <w:gridSpan w:val="5"/>
                  <w:tcBorders>
                    <w:tl2br w:val="nil"/>
                    <w:tr2bl w:val="nil"/>
                  </w:tcBorders>
                  <w:vAlign w:val="center"/>
                </w:tcPr>
                <w:p w14:paraId="6A83FA20">
                  <w:pPr>
                    <w:jc w:val="center"/>
                    <w:rPr>
                      <w:rFonts w:ascii="Times New Roman" w:hAnsi="Times New Roman" w:eastAsia="宋体" w:cs="Times New Roman"/>
                      <w:szCs w:val="21"/>
                    </w:rPr>
                  </w:pPr>
                  <w:r>
                    <w:rPr>
                      <w:rFonts w:ascii="Times New Roman" w:hAnsi="Times New Roman" w:eastAsia="宋体" w:cs="Times New Roman"/>
                      <w:szCs w:val="21"/>
                    </w:rPr>
                    <w:t>（1）废气污染防治设施因故障、失效或操作不当等导致废气污染物异常/超标排放的环境风险事件；（2）危险废物泄漏导致的环境风险事件及因泄漏引发火灾事故造成次生、衍生环境污染事件；（3）柴油、导热油泄漏及泄漏导致的次生、衍生环境污染事件；（4）火灾等事故引发的次生、衍生环境污染事件；（5）粉尘爆炸事故引发的次生、衍生环境风险事件；（6）活性炭自燃导致的次生、衍生环境风险事件。</w:t>
                  </w:r>
                </w:p>
              </w:tc>
            </w:tr>
            <w:tr w14:paraId="1CF70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99" w:type="pct"/>
                  <w:tcBorders>
                    <w:tl2br w:val="nil"/>
                    <w:tr2bl w:val="nil"/>
                  </w:tcBorders>
                  <w:vAlign w:val="center"/>
                </w:tcPr>
                <w:p w14:paraId="2B2D68BE">
                  <w:pPr>
                    <w:jc w:val="center"/>
                    <w:rPr>
                      <w:rFonts w:ascii="Times New Roman" w:hAnsi="Times New Roman" w:eastAsia="宋体" w:cs="Times New Roman"/>
                      <w:szCs w:val="21"/>
                    </w:rPr>
                  </w:pPr>
                  <w:r>
                    <w:rPr>
                      <w:rFonts w:hint="eastAsia" w:ascii="Times New Roman" w:hAnsi="Times New Roman" w:eastAsia="宋体" w:cs="Times New Roman"/>
                      <w:szCs w:val="21"/>
                    </w:rPr>
                    <w:t>风险防范措施要求</w:t>
                  </w:r>
                </w:p>
              </w:tc>
              <w:tc>
                <w:tcPr>
                  <w:tcW w:w="4200" w:type="pct"/>
                  <w:gridSpan w:val="5"/>
                  <w:tcBorders>
                    <w:tl2br w:val="nil"/>
                    <w:tr2bl w:val="nil"/>
                  </w:tcBorders>
                  <w:vAlign w:val="center"/>
                </w:tcPr>
                <w:p w14:paraId="081807FC">
                  <w:pPr>
                    <w:jc w:val="center"/>
                    <w:rPr>
                      <w:rFonts w:ascii="Times New Roman" w:hAnsi="Times New Roman" w:eastAsia="宋体" w:cs="Times New Roman"/>
                      <w:szCs w:val="21"/>
                    </w:rPr>
                  </w:pPr>
                  <w:r>
                    <w:rPr>
                      <w:rFonts w:ascii="Times New Roman" w:hAnsi="Times New Roman" w:eastAsia="宋体" w:cs="Times New Roman"/>
                      <w:szCs w:val="21"/>
                    </w:rPr>
                    <w:t>①定期对环保污染防治设施、生产装置和设备进行全面而细致的检查和维护，确保其始终处于最佳运行状态。环保污染防治设施、生产装置和设备主要零部件应有备件； ②更换生产装置、生产设备、环保污染防治设施等设施设备所需油品或需维护、检修、润滑时，地面应设置接油盘、防油垫或其他防泄漏、撒漏措施，以确保油品不会直接渗漏到地面上，防止环境污染和安全隐患</w:t>
                  </w:r>
                  <w:r>
                    <w:rPr>
                      <w:rFonts w:hint="eastAsia" w:ascii="Times New Roman" w:hAnsi="Times New Roman" w:eastAsia="宋体" w:cs="Times New Roman"/>
                      <w:szCs w:val="21"/>
                    </w:rPr>
                    <w:t>；</w:t>
                  </w:r>
                  <w:r>
                    <w:rPr>
                      <w:rFonts w:ascii="Times New Roman" w:hAnsi="Times New Roman" w:eastAsia="宋体" w:cs="Times New Roman"/>
                      <w:szCs w:val="21"/>
                    </w:rPr>
                    <w:t>同时，应设置明显的警示标志，提醒作业人员注意安全操作； ③危险废物贮存点应要防风、防雨、防晒、防漏、防渗、防腐；不应露天堆放危险废物；执行《危险废物贮存污染控制标准》（GB18597-2023）相关规定要求； ④柴油储罐区设置非燃烧材料的防火堤围堰，围堰高度1m，内置导流槽与防渗事故收集池（50m</w:t>
                  </w:r>
                  <w:r>
                    <w:rPr>
                      <w:rFonts w:ascii="Times New Roman" w:hAnsi="Times New Roman" w:eastAsia="宋体" w:cs="Times New Roman"/>
                      <w:szCs w:val="21"/>
                      <w:vertAlign w:val="superscript"/>
                    </w:rPr>
                    <w:t>3</w:t>
                  </w:r>
                  <w:r>
                    <w:rPr>
                      <w:rFonts w:ascii="Times New Roman" w:hAnsi="Times New Roman" w:eastAsia="宋体" w:cs="Times New Roman"/>
                      <w:szCs w:val="21"/>
                    </w:rPr>
                    <w:t>）有效连接；⑤危险废物贮存点（危险废物暂存间）区域</w:t>
                  </w:r>
                  <w:r>
                    <w:rPr>
                      <w:rFonts w:hint="eastAsia" w:ascii="Times New Roman" w:hAnsi="Times New Roman" w:eastAsia="宋体" w:cs="Times New Roman"/>
                      <w:szCs w:val="21"/>
                    </w:rPr>
                    <w:t>、</w:t>
                  </w:r>
                  <w:r>
                    <w:rPr>
                      <w:rFonts w:ascii="Times New Roman" w:hAnsi="Times New Roman" w:eastAsia="宋体" w:cs="Times New Roman"/>
                      <w:szCs w:val="21"/>
                    </w:rPr>
                    <w:t>有机热载体炉房区域（导热油）、柴油储罐区域、事故收集池（柴油储罐区）、防火堤围堰执行重点防渗区要求，即重点防渗区防渗层的防渗性能应等效于6.0m厚渗透系数为1.0×10</w:t>
                  </w:r>
                  <w:r>
                    <w:rPr>
                      <w:rFonts w:ascii="Times New Roman" w:hAnsi="Times New Roman" w:eastAsia="宋体" w:cs="Times New Roman"/>
                      <w:szCs w:val="21"/>
                      <w:vertAlign w:val="superscript"/>
                    </w:rPr>
                    <w:t>-7</w:t>
                  </w:r>
                  <w:r>
                    <w:rPr>
                      <w:rFonts w:ascii="Times New Roman" w:hAnsi="Times New Roman" w:eastAsia="宋体" w:cs="Times New Roman"/>
                      <w:szCs w:val="21"/>
                    </w:rPr>
                    <w:t>cm/s的黏土层的防渗性能；⑥本项目在正式投入运行前，应编制突发环境事件应急预案并报送张掖市生态环境局临泽分局备案。</w:t>
                  </w:r>
                </w:p>
              </w:tc>
            </w:tr>
            <w:tr w14:paraId="6A9D2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99" w:type="pct"/>
                  <w:tcBorders>
                    <w:tl2br w:val="nil"/>
                    <w:tr2bl w:val="nil"/>
                  </w:tcBorders>
                  <w:vAlign w:val="center"/>
                </w:tcPr>
                <w:p w14:paraId="4B2990F2">
                  <w:pPr>
                    <w:jc w:val="center"/>
                    <w:rPr>
                      <w:rFonts w:ascii="Times New Roman" w:hAnsi="Times New Roman" w:eastAsia="宋体" w:cs="Times New Roman"/>
                      <w:szCs w:val="21"/>
                    </w:rPr>
                  </w:pPr>
                  <w:r>
                    <w:rPr>
                      <w:rFonts w:hint="eastAsia" w:ascii="Times New Roman" w:hAnsi="Times New Roman" w:eastAsia="宋体" w:cs="Times New Roman"/>
                      <w:szCs w:val="21"/>
                    </w:rPr>
                    <w:t>列表说明（列出项目相关信息及评价说明）</w:t>
                  </w:r>
                </w:p>
              </w:tc>
              <w:tc>
                <w:tcPr>
                  <w:tcW w:w="4200" w:type="pct"/>
                  <w:gridSpan w:val="5"/>
                  <w:tcBorders>
                    <w:tl2br w:val="nil"/>
                    <w:tr2bl w:val="nil"/>
                  </w:tcBorders>
                  <w:vAlign w:val="center"/>
                </w:tcPr>
                <w:p w14:paraId="14AA76D3">
                  <w:pPr>
                    <w:jc w:val="center"/>
                    <w:rPr>
                      <w:rFonts w:ascii="Times New Roman" w:hAnsi="Times New Roman" w:eastAsia="宋体" w:cs="Times New Roman"/>
                      <w:szCs w:val="21"/>
                    </w:rPr>
                  </w:pPr>
                  <w:r>
                    <w:rPr>
                      <w:rFonts w:hint="eastAsia" w:ascii="Times New Roman" w:hAnsi="Times New Roman" w:eastAsia="宋体" w:cs="Times New Roman"/>
                      <w:szCs w:val="21"/>
                    </w:rPr>
                    <w:t>根据环境风险潜势划分，该项目环境风险潜势分析为Ⅰ级，评价工作等级为简单分析。在采取相应的防范措施及应急要求后，本项目环境风险可以控制在可接受风险水平之内。</w:t>
                  </w:r>
                </w:p>
              </w:tc>
            </w:tr>
          </w:tbl>
          <w:p w14:paraId="29F3432E">
            <w:pPr>
              <w:spacing w:line="360" w:lineRule="auto"/>
              <w:outlineLvl w:val="2"/>
              <w:rPr>
                <w:rFonts w:ascii="Times New Roman" w:hAnsi="Times New Roman" w:eastAsia="宋体" w:cs="Times New Roman"/>
                <w:b/>
                <w:bCs/>
                <w:sz w:val="24"/>
              </w:rPr>
            </w:pPr>
            <w:r>
              <w:rPr>
                <w:rFonts w:hint="eastAsia" w:ascii="Times New Roman" w:hAnsi="Times New Roman" w:eastAsia="宋体" w:cs="Times New Roman"/>
                <w:b/>
                <w:bCs/>
                <w:sz w:val="24"/>
              </w:rPr>
              <w:t>8</w:t>
            </w:r>
            <w:r>
              <w:rPr>
                <w:rFonts w:ascii="Times New Roman" w:hAnsi="Times New Roman" w:eastAsia="宋体" w:cs="Times New Roman"/>
                <w:b/>
                <w:bCs/>
                <w:sz w:val="24"/>
              </w:rPr>
              <w:t>环保投资</w:t>
            </w:r>
            <w:r>
              <w:rPr>
                <w:rFonts w:hint="eastAsia" w:ascii="Times New Roman" w:hAnsi="Times New Roman" w:eastAsia="宋体" w:cs="Times New Roman"/>
                <w:b/>
                <w:bCs/>
                <w:sz w:val="24"/>
              </w:rPr>
              <w:t>概算</w:t>
            </w:r>
          </w:p>
          <w:p w14:paraId="746510E7">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项目总投资</w:t>
            </w:r>
            <w:r>
              <w:rPr>
                <w:rFonts w:hint="eastAsia" w:ascii="Times New Roman" w:hAnsi="Times New Roman" w:eastAsia="宋体" w:cs="Times New Roman"/>
                <w:color w:val="000000" w:themeColor="text1"/>
                <w:sz w:val="24"/>
                <w14:textFill>
                  <w14:solidFill>
                    <w14:schemeClr w14:val="tx1"/>
                  </w14:solidFill>
                </w14:textFill>
              </w:rPr>
              <w:t>200</w:t>
            </w:r>
            <w:r>
              <w:rPr>
                <w:rFonts w:hint="eastAsia" w:ascii="Times New Roman" w:hAnsi="Times New Roman" w:eastAsia="宋体" w:cs="Times New Roman"/>
                <w:sz w:val="24"/>
              </w:rPr>
              <w:t>0</w:t>
            </w:r>
            <w:r>
              <w:rPr>
                <w:rFonts w:ascii="Times New Roman" w:hAnsi="Times New Roman" w:eastAsia="宋体" w:cs="Times New Roman"/>
                <w:sz w:val="24"/>
              </w:rPr>
              <w:t>万元，</w:t>
            </w:r>
            <w:r>
              <w:rPr>
                <w:rFonts w:ascii="Times New Roman" w:hAnsi="Times New Roman" w:eastAsia="宋体" w:cs="Times New Roman"/>
                <w:color w:val="1331F5"/>
                <w:sz w:val="24"/>
              </w:rPr>
              <w:t>其中环保投资</w:t>
            </w:r>
            <w:r>
              <w:rPr>
                <w:rFonts w:hint="eastAsia" w:ascii="Times New Roman" w:hAnsi="Times New Roman" w:eastAsia="宋体" w:cs="Times New Roman"/>
                <w:color w:val="1331F5"/>
                <w:sz w:val="24"/>
                <w:lang w:val="en-US" w:eastAsia="zh-CN"/>
              </w:rPr>
              <w:t>100</w:t>
            </w:r>
            <w:r>
              <w:rPr>
                <w:rFonts w:ascii="Times New Roman" w:hAnsi="Times New Roman" w:eastAsia="宋体" w:cs="Times New Roman"/>
                <w:color w:val="1331F5"/>
                <w:sz w:val="24"/>
              </w:rPr>
              <w:t>万元，占总投资的</w:t>
            </w:r>
            <w:r>
              <w:rPr>
                <w:rFonts w:hint="eastAsia" w:ascii="Times New Roman" w:hAnsi="Times New Roman" w:eastAsia="宋体" w:cs="Times New Roman"/>
                <w:color w:val="1331F5"/>
                <w:sz w:val="24"/>
                <w:lang w:val="en-US" w:eastAsia="zh-CN"/>
              </w:rPr>
              <w:t>5</w:t>
            </w:r>
            <w:r>
              <w:rPr>
                <w:rFonts w:ascii="Times New Roman" w:hAnsi="Times New Roman" w:eastAsia="宋体" w:cs="Times New Roman"/>
                <w:color w:val="1331F5"/>
                <w:sz w:val="24"/>
              </w:rPr>
              <w:t>%，</w:t>
            </w:r>
            <w:r>
              <w:rPr>
                <w:rFonts w:ascii="Times New Roman" w:hAnsi="Times New Roman" w:eastAsia="宋体" w:cs="Times New Roman"/>
                <w:sz w:val="24"/>
              </w:rPr>
              <w:t>本项目环保投资概算见表</w:t>
            </w:r>
            <w:r>
              <w:rPr>
                <w:rFonts w:hint="eastAsia" w:ascii="Times New Roman" w:hAnsi="Times New Roman" w:eastAsia="宋体" w:cs="Times New Roman"/>
                <w:sz w:val="24"/>
              </w:rPr>
              <w:t>4-40</w:t>
            </w:r>
            <w:r>
              <w:rPr>
                <w:rFonts w:ascii="Times New Roman" w:hAnsi="Times New Roman" w:eastAsia="宋体" w:cs="Times New Roman"/>
                <w:sz w:val="24"/>
              </w:rPr>
              <w:t>。</w:t>
            </w:r>
          </w:p>
          <w:p w14:paraId="64465BE9">
            <w:pPr>
              <w:wordWrap w:val="0"/>
              <w:topLinePunct/>
              <w:spacing w:line="360" w:lineRule="auto"/>
              <w:jc w:val="center"/>
              <w:rPr>
                <w:rFonts w:ascii="Times New Roman" w:hAnsi="Times New Roman" w:eastAsia="宋体" w:cs="宋体-PUA"/>
                <w:b/>
                <w:sz w:val="24"/>
                <w:shd w:val="clear" w:color="auto" w:fill="FFFFFF"/>
              </w:rPr>
            </w:pPr>
            <w:r>
              <w:rPr>
                <w:rFonts w:hint="eastAsia" w:ascii="Times New Roman" w:hAnsi="Times New Roman" w:eastAsia="宋体" w:cs="宋体-PUA"/>
                <w:b/>
                <w:sz w:val="24"/>
                <w:shd w:val="clear" w:color="auto" w:fill="FFFFFF"/>
              </w:rPr>
              <w:t xml:space="preserve">    表4-40  环保投资情况一览表</w:t>
            </w:r>
          </w:p>
          <w:tbl>
            <w:tblPr>
              <w:tblStyle w:val="28"/>
              <w:tblW w:w="49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6"/>
              <w:gridCol w:w="766"/>
              <w:gridCol w:w="1150"/>
              <w:gridCol w:w="997"/>
              <w:gridCol w:w="1678"/>
              <w:gridCol w:w="938"/>
              <w:gridCol w:w="1446"/>
            </w:tblGrid>
            <w:tr w14:paraId="2393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00" w:type="pct"/>
                  <w:gridSpan w:val="2"/>
                  <w:tcBorders>
                    <w:tl2br w:val="nil"/>
                    <w:tr2bl w:val="nil"/>
                  </w:tcBorders>
                  <w:vAlign w:val="center"/>
                </w:tcPr>
                <w:p w14:paraId="7A40EC5B">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项目</w:t>
                  </w:r>
                </w:p>
              </w:tc>
              <w:tc>
                <w:tcPr>
                  <w:tcW w:w="1348" w:type="pct"/>
                  <w:gridSpan w:val="2"/>
                  <w:tcBorders>
                    <w:tl2br w:val="nil"/>
                    <w:tr2bl w:val="nil"/>
                  </w:tcBorders>
                  <w:vAlign w:val="center"/>
                </w:tcPr>
                <w:p w14:paraId="27B862C9">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治理内容</w:t>
                  </w:r>
                </w:p>
              </w:tc>
              <w:tc>
                <w:tcPr>
                  <w:tcW w:w="1053" w:type="pct"/>
                  <w:tcBorders>
                    <w:tl2br w:val="nil"/>
                    <w:tr2bl w:val="nil"/>
                  </w:tcBorders>
                  <w:vAlign w:val="center"/>
                </w:tcPr>
                <w:p w14:paraId="67B27915">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环保措施</w:t>
                  </w:r>
                </w:p>
              </w:tc>
              <w:tc>
                <w:tcPr>
                  <w:tcW w:w="589" w:type="pct"/>
                  <w:tcBorders>
                    <w:tl2br w:val="nil"/>
                    <w:tr2bl w:val="nil"/>
                  </w:tcBorders>
                  <w:vAlign w:val="center"/>
                </w:tcPr>
                <w:p w14:paraId="44DC0015">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数量</w:t>
                  </w:r>
                </w:p>
              </w:tc>
              <w:tc>
                <w:tcPr>
                  <w:tcW w:w="908" w:type="pct"/>
                  <w:tcBorders>
                    <w:tl2br w:val="nil"/>
                    <w:tr2bl w:val="nil"/>
                  </w:tcBorders>
                  <w:vAlign w:val="center"/>
                </w:tcPr>
                <w:p w14:paraId="46FBFD38">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投资</w:t>
                  </w:r>
                </w:p>
                <w:p w14:paraId="4C2E3425">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（万元）</w:t>
                  </w:r>
                </w:p>
              </w:tc>
            </w:tr>
            <w:tr w14:paraId="2FE8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restart"/>
                  <w:tcBorders>
                    <w:tl2br w:val="nil"/>
                    <w:tr2bl w:val="nil"/>
                  </w:tcBorders>
                  <w:vAlign w:val="center"/>
                </w:tcPr>
                <w:p w14:paraId="65A592D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施工期</w:t>
                  </w:r>
                </w:p>
              </w:tc>
              <w:tc>
                <w:tcPr>
                  <w:tcW w:w="481" w:type="pct"/>
                  <w:tcBorders>
                    <w:tl2br w:val="nil"/>
                    <w:tr2bl w:val="nil"/>
                  </w:tcBorders>
                  <w:vAlign w:val="center"/>
                </w:tcPr>
                <w:p w14:paraId="1BFFEA9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废气治理</w:t>
                  </w:r>
                </w:p>
              </w:tc>
              <w:tc>
                <w:tcPr>
                  <w:tcW w:w="2402" w:type="pct"/>
                  <w:gridSpan w:val="3"/>
                  <w:tcBorders>
                    <w:tl2br w:val="nil"/>
                    <w:tr2bl w:val="nil"/>
                  </w:tcBorders>
                  <w:vAlign w:val="center"/>
                </w:tcPr>
                <w:p w14:paraId="43D7BFE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露天堆放的物料采用防尘布或防尘网遮盖；洒水抑尘；严格落实 “六个百分百”</w:t>
                  </w:r>
                </w:p>
              </w:tc>
              <w:tc>
                <w:tcPr>
                  <w:tcW w:w="589" w:type="pct"/>
                  <w:tcBorders>
                    <w:tl2br w:val="nil"/>
                    <w:tr2bl w:val="nil"/>
                  </w:tcBorders>
                  <w:vAlign w:val="center"/>
                </w:tcPr>
                <w:p w14:paraId="46E9F65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908" w:type="pct"/>
                  <w:tcBorders>
                    <w:tl2br w:val="nil"/>
                    <w:tr2bl w:val="nil"/>
                  </w:tcBorders>
                  <w:vAlign w:val="center"/>
                </w:tcPr>
                <w:p w14:paraId="189BE68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1.5</w:t>
                  </w:r>
                </w:p>
              </w:tc>
            </w:tr>
            <w:tr w14:paraId="68AD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0F3F5C03">
                  <w:pPr>
                    <w:adjustRightInd w:val="0"/>
                    <w:spacing w:line="240" w:lineRule="exact"/>
                    <w:jc w:val="center"/>
                    <w:textAlignment w:val="baseline"/>
                    <w:rPr>
                      <w:rFonts w:ascii="Times New Roman" w:hAnsi="Times New Roman" w:eastAsia="宋体" w:cs="Times New Roman"/>
                      <w:szCs w:val="21"/>
                    </w:rPr>
                  </w:pPr>
                </w:p>
              </w:tc>
              <w:tc>
                <w:tcPr>
                  <w:tcW w:w="481" w:type="pct"/>
                  <w:tcBorders>
                    <w:tl2br w:val="nil"/>
                    <w:tr2bl w:val="nil"/>
                  </w:tcBorders>
                  <w:vAlign w:val="center"/>
                </w:tcPr>
                <w:p w14:paraId="0CB98CE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废水治理</w:t>
                  </w:r>
                </w:p>
              </w:tc>
              <w:tc>
                <w:tcPr>
                  <w:tcW w:w="2402" w:type="pct"/>
                  <w:gridSpan w:val="3"/>
                  <w:tcBorders>
                    <w:tl2br w:val="nil"/>
                    <w:tr2bl w:val="nil"/>
                  </w:tcBorders>
                  <w:vAlign w:val="center"/>
                </w:tcPr>
                <w:p w14:paraId="455E202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设置临时沉淀池、车辆冲洗平台</w:t>
                  </w:r>
                </w:p>
              </w:tc>
              <w:tc>
                <w:tcPr>
                  <w:tcW w:w="589" w:type="pct"/>
                  <w:tcBorders>
                    <w:tl2br w:val="nil"/>
                    <w:tr2bl w:val="nil"/>
                  </w:tcBorders>
                  <w:vAlign w:val="center"/>
                </w:tcPr>
                <w:p w14:paraId="47053E0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908" w:type="pct"/>
                  <w:tcBorders>
                    <w:tl2br w:val="nil"/>
                    <w:tr2bl w:val="nil"/>
                  </w:tcBorders>
                  <w:vAlign w:val="center"/>
                </w:tcPr>
                <w:p w14:paraId="2F29910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1.5</w:t>
                  </w:r>
                </w:p>
              </w:tc>
            </w:tr>
            <w:tr w14:paraId="44B9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5DFD445A">
                  <w:pPr>
                    <w:adjustRightInd w:val="0"/>
                    <w:spacing w:line="240" w:lineRule="exact"/>
                    <w:jc w:val="center"/>
                    <w:textAlignment w:val="baseline"/>
                    <w:rPr>
                      <w:rFonts w:ascii="Times New Roman" w:hAnsi="Times New Roman" w:eastAsia="宋体" w:cs="Times New Roman"/>
                      <w:szCs w:val="21"/>
                    </w:rPr>
                  </w:pPr>
                </w:p>
              </w:tc>
              <w:tc>
                <w:tcPr>
                  <w:tcW w:w="481" w:type="pct"/>
                  <w:tcBorders>
                    <w:tl2br w:val="nil"/>
                    <w:tr2bl w:val="nil"/>
                  </w:tcBorders>
                  <w:vAlign w:val="center"/>
                </w:tcPr>
                <w:p w14:paraId="58341CA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固废治理</w:t>
                  </w:r>
                </w:p>
              </w:tc>
              <w:tc>
                <w:tcPr>
                  <w:tcW w:w="2402" w:type="pct"/>
                  <w:gridSpan w:val="3"/>
                  <w:tcBorders>
                    <w:tl2br w:val="nil"/>
                    <w:tr2bl w:val="nil"/>
                  </w:tcBorders>
                  <w:vAlign w:val="center"/>
                </w:tcPr>
                <w:p w14:paraId="623C9C2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生活垃圾使用垃圾桶集中收集，定期清运；建筑垃圾及时清运</w:t>
                  </w:r>
                </w:p>
              </w:tc>
              <w:tc>
                <w:tcPr>
                  <w:tcW w:w="589" w:type="pct"/>
                  <w:tcBorders>
                    <w:tl2br w:val="nil"/>
                    <w:tr2bl w:val="nil"/>
                  </w:tcBorders>
                  <w:vAlign w:val="center"/>
                </w:tcPr>
                <w:p w14:paraId="4A3F10F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908" w:type="pct"/>
                  <w:tcBorders>
                    <w:tl2br w:val="nil"/>
                    <w:tr2bl w:val="nil"/>
                  </w:tcBorders>
                  <w:vAlign w:val="center"/>
                </w:tcPr>
                <w:p w14:paraId="707B495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1.5</w:t>
                  </w:r>
                </w:p>
              </w:tc>
            </w:tr>
            <w:tr w14:paraId="4A43F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restart"/>
                  <w:tcBorders>
                    <w:tl2br w:val="nil"/>
                    <w:tr2bl w:val="nil"/>
                  </w:tcBorders>
                  <w:vAlign w:val="center"/>
                </w:tcPr>
                <w:p w14:paraId="200F914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运</w:t>
                  </w:r>
                </w:p>
                <w:p w14:paraId="1044E4E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营</w:t>
                  </w:r>
                </w:p>
                <w:p w14:paraId="3E0D32E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期</w:t>
                  </w:r>
                </w:p>
              </w:tc>
              <w:tc>
                <w:tcPr>
                  <w:tcW w:w="481" w:type="pct"/>
                  <w:vMerge w:val="restart"/>
                  <w:tcBorders>
                    <w:tl2br w:val="nil"/>
                    <w:tr2bl w:val="nil"/>
                  </w:tcBorders>
                  <w:vAlign w:val="center"/>
                </w:tcPr>
                <w:p w14:paraId="1B6787D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废气治理</w:t>
                  </w:r>
                </w:p>
              </w:tc>
              <w:tc>
                <w:tcPr>
                  <w:tcW w:w="722" w:type="pct"/>
                  <w:tcBorders>
                    <w:tl2br w:val="nil"/>
                    <w:tr2bl w:val="nil"/>
                  </w:tcBorders>
                  <w:vAlign w:val="center"/>
                </w:tcPr>
                <w:p w14:paraId="6DD3F3F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运输道路扬尘</w:t>
                  </w:r>
                </w:p>
              </w:tc>
              <w:tc>
                <w:tcPr>
                  <w:tcW w:w="626" w:type="pct"/>
                  <w:tcBorders>
                    <w:tl2br w:val="nil"/>
                    <w:tr2bl w:val="nil"/>
                  </w:tcBorders>
                  <w:vAlign w:val="center"/>
                </w:tcPr>
                <w:p w14:paraId="77440E6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053" w:type="pct"/>
                  <w:tcBorders>
                    <w:tl2br w:val="nil"/>
                    <w:tr2bl w:val="nil"/>
                  </w:tcBorders>
                  <w:vAlign w:val="center"/>
                </w:tcPr>
                <w:p w14:paraId="08EA131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cs="Times New Roman"/>
                      <w:szCs w:val="21"/>
                    </w:rPr>
                    <w:t>苫盖；洒水降尘；车辆轮胎冲洗平台</w:t>
                  </w:r>
                </w:p>
              </w:tc>
              <w:tc>
                <w:tcPr>
                  <w:tcW w:w="589" w:type="pct"/>
                  <w:tcBorders>
                    <w:tl2br w:val="nil"/>
                    <w:tr2bl w:val="nil"/>
                  </w:tcBorders>
                  <w:vAlign w:val="center"/>
                </w:tcPr>
                <w:p w14:paraId="16EB025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1套</w:t>
                  </w:r>
                </w:p>
              </w:tc>
              <w:tc>
                <w:tcPr>
                  <w:tcW w:w="908" w:type="pct"/>
                  <w:tcBorders>
                    <w:tl2br w:val="nil"/>
                    <w:tr2bl w:val="nil"/>
                  </w:tcBorders>
                  <w:vAlign w:val="center"/>
                </w:tcPr>
                <w:p w14:paraId="50C5AB2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w:t>
                  </w:r>
                </w:p>
              </w:tc>
            </w:tr>
            <w:tr w14:paraId="519D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2C9E0760">
                  <w:pPr>
                    <w:adjustRightInd w:val="0"/>
                    <w:spacing w:line="240" w:lineRule="exact"/>
                    <w:jc w:val="center"/>
                    <w:textAlignment w:val="baseline"/>
                    <w:rPr>
                      <w:rFonts w:ascii="Times New Roman" w:hAnsi="Times New Roman" w:eastAsia="宋体" w:cs="Times New Roman"/>
                      <w:szCs w:val="21"/>
                    </w:rPr>
                  </w:pPr>
                </w:p>
              </w:tc>
              <w:tc>
                <w:tcPr>
                  <w:tcW w:w="481" w:type="pct"/>
                  <w:vMerge w:val="continue"/>
                  <w:tcBorders>
                    <w:tl2br w:val="nil"/>
                    <w:tr2bl w:val="nil"/>
                  </w:tcBorders>
                  <w:vAlign w:val="center"/>
                </w:tcPr>
                <w:p w14:paraId="458DB3EF">
                  <w:pPr>
                    <w:adjustRightInd w:val="0"/>
                    <w:spacing w:line="240" w:lineRule="exact"/>
                    <w:jc w:val="center"/>
                    <w:textAlignment w:val="baseline"/>
                    <w:rPr>
                      <w:rFonts w:ascii="Times New Roman" w:hAnsi="Times New Roman" w:eastAsia="宋体" w:cs="Times New Roman"/>
                      <w:szCs w:val="21"/>
                    </w:rPr>
                  </w:pPr>
                </w:p>
              </w:tc>
              <w:tc>
                <w:tcPr>
                  <w:tcW w:w="722" w:type="pct"/>
                  <w:tcBorders>
                    <w:tl2br w:val="nil"/>
                    <w:tr2bl w:val="nil"/>
                  </w:tcBorders>
                  <w:vAlign w:val="center"/>
                </w:tcPr>
                <w:p w14:paraId="683CAB4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000000"/>
                      <w:szCs w:val="21"/>
                    </w:rPr>
                    <w:t>原料堆棚物料堆存、石料卸料</w:t>
                  </w:r>
                </w:p>
              </w:tc>
              <w:tc>
                <w:tcPr>
                  <w:tcW w:w="626" w:type="pct"/>
                  <w:tcBorders>
                    <w:tl2br w:val="nil"/>
                    <w:tr2bl w:val="nil"/>
                  </w:tcBorders>
                  <w:vAlign w:val="center"/>
                </w:tcPr>
                <w:p w14:paraId="7A84436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053" w:type="pct"/>
                  <w:tcBorders>
                    <w:tl2br w:val="nil"/>
                    <w:tr2bl w:val="nil"/>
                  </w:tcBorders>
                  <w:vAlign w:val="center"/>
                </w:tcPr>
                <w:p w14:paraId="3F1B64A5">
                  <w:pPr>
                    <w:adjustRightInd w:val="0"/>
                    <w:spacing w:line="240" w:lineRule="exact"/>
                    <w:jc w:val="center"/>
                    <w:textAlignment w:val="baseline"/>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rPr>
                    <w:t>移动式喷淋雾炮</w:t>
                  </w:r>
                  <w:r>
                    <w:rPr>
                      <w:rFonts w:hint="eastAsia" w:ascii="Times New Roman" w:hAnsi="Times New Roman" w:eastAsia="宋体" w:cs="Times New Roman"/>
                      <w:szCs w:val="21"/>
                      <w:lang w:eastAsia="zh-CN"/>
                    </w:rPr>
                    <w:t>；</w:t>
                  </w:r>
                  <w:r>
                    <w:rPr>
                      <w:rFonts w:hint="eastAsia" w:ascii="Times New Roman" w:hAnsi="Times New Roman" w:eastAsia="宋体" w:cs="Times New Roman"/>
                      <w:color w:val="1331F5"/>
                      <w:szCs w:val="21"/>
                      <w:lang w:val="en-US" w:eastAsia="zh-CN"/>
                    </w:rPr>
                    <w:t>篷布/编织</w:t>
                  </w:r>
                  <w:r>
                    <w:rPr>
                      <w:rFonts w:hint="eastAsia" w:ascii="Times New Roman" w:hAnsi="Times New Roman" w:eastAsia="宋体" w:cs="Times New Roman"/>
                      <w:bCs/>
                      <w:color w:val="1331F5"/>
                      <w:szCs w:val="21"/>
                    </w:rPr>
                    <w:t>苫盖</w:t>
                  </w:r>
                </w:p>
              </w:tc>
              <w:tc>
                <w:tcPr>
                  <w:tcW w:w="589" w:type="pct"/>
                  <w:tcBorders>
                    <w:tl2br w:val="nil"/>
                    <w:tr2bl w:val="nil"/>
                  </w:tcBorders>
                  <w:vAlign w:val="center"/>
                </w:tcPr>
                <w:p w14:paraId="18F0E2B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1台</w:t>
                  </w:r>
                </w:p>
              </w:tc>
              <w:tc>
                <w:tcPr>
                  <w:tcW w:w="908" w:type="pct"/>
                  <w:tcBorders>
                    <w:tl2br w:val="nil"/>
                    <w:tr2bl w:val="nil"/>
                  </w:tcBorders>
                  <w:vAlign w:val="center"/>
                </w:tcPr>
                <w:p w14:paraId="6C353E1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0.8</w:t>
                  </w:r>
                </w:p>
              </w:tc>
            </w:tr>
            <w:tr w14:paraId="29E7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1188B4CC">
                  <w:pPr>
                    <w:adjustRightInd w:val="0"/>
                    <w:spacing w:line="240" w:lineRule="exact"/>
                    <w:jc w:val="center"/>
                    <w:textAlignment w:val="baseline"/>
                    <w:rPr>
                      <w:rFonts w:ascii="Times New Roman" w:hAnsi="Times New Roman" w:eastAsia="宋体" w:cs="Times New Roman"/>
                      <w:szCs w:val="21"/>
                    </w:rPr>
                  </w:pPr>
                </w:p>
              </w:tc>
              <w:tc>
                <w:tcPr>
                  <w:tcW w:w="481" w:type="pct"/>
                  <w:vMerge w:val="continue"/>
                  <w:tcBorders>
                    <w:tl2br w:val="nil"/>
                    <w:tr2bl w:val="nil"/>
                  </w:tcBorders>
                  <w:vAlign w:val="center"/>
                </w:tcPr>
                <w:p w14:paraId="448CABC2">
                  <w:pPr>
                    <w:adjustRightInd w:val="0"/>
                    <w:spacing w:line="240" w:lineRule="exact"/>
                    <w:jc w:val="center"/>
                    <w:textAlignment w:val="baseline"/>
                    <w:rPr>
                      <w:rFonts w:ascii="Times New Roman" w:hAnsi="Times New Roman" w:eastAsia="宋体" w:cs="Times New Roman"/>
                      <w:szCs w:val="21"/>
                    </w:rPr>
                  </w:pPr>
                </w:p>
              </w:tc>
              <w:tc>
                <w:tcPr>
                  <w:tcW w:w="722" w:type="pct"/>
                  <w:tcBorders>
                    <w:tl2br w:val="nil"/>
                    <w:tr2bl w:val="nil"/>
                  </w:tcBorders>
                  <w:vAlign w:val="center"/>
                </w:tcPr>
                <w:p w14:paraId="63A60D6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冷料上料</w:t>
                  </w:r>
                </w:p>
              </w:tc>
              <w:tc>
                <w:tcPr>
                  <w:tcW w:w="626" w:type="pct"/>
                  <w:tcBorders>
                    <w:tl2br w:val="nil"/>
                    <w:tr2bl w:val="nil"/>
                  </w:tcBorders>
                  <w:vAlign w:val="center"/>
                </w:tcPr>
                <w:p w14:paraId="745D707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053" w:type="pct"/>
                  <w:tcBorders>
                    <w:tl2br w:val="nil"/>
                    <w:tr2bl w:val="nil"/>
                  </w:tcBorders>
                  <w:vAlign w:val="center"/>
                </w:tcPr>
                <w:p w14:paraId="3FB0D16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000000"/>
                      <w:szCs w:val="21"/>
                    </w:rPr>
                    <w:t>喷淋装置喷淋降尘</w:t>
                  </w:r>
                </w:p>
              </w:tc>
              <w:tc>
                <w:tcPr>
                  <w:tcW w:w="589" w:type="pct"/>
                  <w:tcBorders>
                    <w:tl2br w:val="nil"/>
                    <w:tr2bl w:val="nil"/>
                  </w:tcBorders>
                  <w:vAlign w:val="center"/>
                </w:tcPr>
                <w:p w14:paraId="7D5E81E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1套</w:t>
                  </w:r>
                </w:p>
              </w:tc>
              <w:tc>
                <w:tcPr>
                  <w:tcW w:w="908" w:type="pct"/>
                  <w:tcBorders>
                    <w:tl2br w:val="nil"/>
                    <w:tr2bl w:val="nil"/>
                  </w:tcBorders>
                  <w:vAlign w:val="center"/>
                </w:tcPr>
                <w:p w14:paraId="2DAB910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1.5</w:t>
                  </w:r>
                </w:p>
              </w:tc>
            </w:tr>
            <w:tr w14:paraId="438D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36E247AF">
                  <w:pPr>
                    <w:adjustRightInd w:val="0"/>
                    <w:spacing w:line="240" w:lineRule="exact"/>
                    <w:jc w:val="center"/>
                    <w:textAlignment w:val="baseline"/>
                    <w:rPr>
                      <w:rFonts w:ascii="Times New Roman" w:hAnsi="Times New Roman" w:eastAsia="宋体" w:cs="Times New Roman"/>
                      <w:szCs w:val="21"/>
                    </w:rPr>
                  </w:pPr>
                </w:p>
              </w:tc>
              <w:tc>
                <w:tcPr>
                  <w:tcW w:w="481" w:type="pct"/>
                  <w:vMerge w:val="continue"/>
                  <w:tcBorders>
                    <w:tl2br w:val="nil"/>
                    <w:tr2bl w:val="nil"/>
                  </w:tcBorders>
                  <w:vAlign w:val="center"/>
                </w:tcPr>
                <w:p w14:paraId="21E4DB45">
                  <w:pPr>
                    <w:adjustRightInd w:val="0"/>
                    <w:spacing w:line="240" w:lineRule="exact"/>
                    <w:jc w:val="center"/>
                    <w:textAlignment w:val="baseline"/>
                    <w:rPr>
                      <w:rFonts w:ascii="Times New Roman" w:hAnsi="Times New Roman" w:eastAsia="宋体" w:cs="Times New Roman"/>
                      <w:szCs w:val="21"/>
                    </w:rPr>
                  </w:pPr>
                </w:p>
              </w:tc>
              <w:tc>
                <w:tcPr>
                  <w:tcW w:w="722" w:type="pct"/>
                  <w:tcBorders>
                    <w:bottom w:val="single" w:color="000000" w:sz="4" w:space="0"/>
                    <w:tl2br w:val="nil"/>
                    <w:tr2bl w:val="nil"/>
                  </w:tcBorders>
                  <w:vAlign w:val="center"/>
                </w:tcPr>
                <w:p w14:paraId="63BC9F9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皮带运输</w:t>
                  </w:r>
                </w:p>
              </w:tc>
              <w:tc>
                <w:tcPr>
                  <w:tcW w:w="626" w:type="pct"/>
                  <w:tcBorders>
                    <w:bottom w:val="single" w:color="000000" w:sz="4" w:space="0"/>
                    <w:tl2br w:val="nil"/>
                    <w:tr2bl w:val="nil"/>
                  </w:tcBorders>
                  <w:vAlign w:val="center"/>
                </w:tcPr>
                <w:p w14:paraId="564410B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053" w:type="pct"/>
                  <w:tcBorders>
                    <w:bottom w:val="single" w:color="000000" w:sz="4" w:space="0"/>
                    <w:tl2br w:val="nil"/>
                    <w:tr2bl w:val="nil"/>
                  </w:tcBorders>
                  <w:vAlign w:val="center"/>
                </w:tcPr>
                <w:p w14:paraId="0C413B28">
                  <w:pPr>
                    <w:adjustRightInd w:val="0"/>
                    <w:spacing w:line="240" w:lineRule="exact"/>
                    <w:jc w:val="center"/>
                    <w:textAlignment w:val="baseline"/>
                    <w:rPr>
                      <w:rFonts w:ascii="Times New Roman" w:hAnsi="Times New Roman" w:eastAsia="宋体" w:cs="Times New Roman"/>
                      <w:szCs w:val="21"/>
                    </w:rPr>
                  </w:pPr>
                  <w:r>
                    <w:rPr>
                      <w:rFonts w:hint="eastAsia" w:ascii="Times New Roman Bold" w:hAnsi="Times New Roman Bold" w:eastAsia="宋体" w:cs="Times New Roman Bold"/>
                      <w:color w:val="000000"/>
                      <w:szCs w:val="21"/>
                    </w:rPr>
                    <w:t>封闭皮带廊道</w:t>
                  </w:r>
                </w:p>
              </w:tc>
              <w:tc>
                <w:tcPr>
                  <w:tcW w:w="589" w:type="pct"/>
                  <w:tcBorders>
                    <w:bottom w:val="single" w:color="000000" w:sz="4" w:space="0"/>
                    <w:tl2br w:val="nil"/>
                    <w:tr2bl w:val="nil"/>
                  </w:tcBorders>
                  <w:vAlign w:val="center"/>
                </w:tcPr>
                <w:p w14:paraId="3D8733B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908" w:type="pct"/>
                  <w:tcBorders>
                    <w:bottom w:val="single" w:color="000000" w:sz="4" w:space="0"/>
                    <w:tl2br w:val="nil"/>
                    <w:tr2bl w:val="nil"/>
                  </w:tcBorders>
                  <w:vAlign w:val="center"/>
                </w:tcPr>
                <w:p w14:paraId="06D8BB1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计入工程费用</w:t>
                  </w:r>
                </w:p>
              </w:tc>
            </w:tr>
            <w:tr w14:paraId="2CB9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20C6C355">
                  <w:pPr>
                    <w:adjustRightInd w:val="0"/>
                    <w:spacing w:line="240" w:lineRule="exact"/>
                    <w:jc w:val="center"/>
                    <w:textAlignment w:val="baseline"/>
                    <w:rPr>
                      <w:rFonts w:ascii="Times New Roman" w:hAnsi="Times New Roman" w:eastAsia="宋体" w:cs="Times New Roman"/>
                      <w:szCs w:val="21"/>
                    </w:rPr>
                  </w:pPr>
                </w:p>
              </w:tc>
              <w:tc>
                <w:tcPr>
                  <w:tcW w:w="481" w:type="pct"/>
                  <w:vMerge w:val="continue"/>
                  <w:tcBorders>
                    <w:tl2br w:val="nil"/>
                    <w:tr2bl w:val="nil"/>
                  </w:tcBorders>
                  <w:vAlign w:val="center"/>
                </w:tcPr>
                <w:p w14:paraId="04406195">
                  <w:pPr>
                    <w:adjustRightInd w:val="0"/>
                    <w:spacing w:line="240" w:lineRule="exact"/>
                    <w:jc w:val="center"/>
                    <w:textAlignment w:val="baseline"/>
                    <w:rPr>
                      <w:rFonts w:ascii="Times New Roman" w:hAnsi="Times New Roman" w:eastAsia="宋体" w:cs="Times New Roman"/>
                      <w:szCs w:val="21"/>
                    </w:rPr>
                  </w:pPr>
                </w:p>
              </w:tc>
              <w:tc>
                <w:tcPr>
                  <w:tcW w:w="722" w:type="pct"/>
                  <w:tcBorders>
                    <w:top w:val="single" w:color="000000" w:sz="4" w:space="0"/>
                    <w:bottom w:val="single" w:color="000000" w:sz="4" w:space="0"/>
                    <w:tl2br w:val="nil"/>
                    <w:tr2bl w:val="nil"/>
                  </w:tcBorders>
                  <w:vAlign w:val="center"/>
                </w:tcPr>
                <w:p w14:paraId="34EC5278">
                  <w:pPr>
                    <w:adjustRightInd w:val="0"/>
                    <w:spacing w:line="240" w:lineRule="exact"/>
                    <w:jc w:val="center"/>
                    <w:textAlignment w:val="baseline"/>
                    <w:rPr>
                      <w:rFonts w:ascii="Times New Roman" w:hAnsi="Times New Roman" w:eastAsia="宋体" w:cs="Times New Roman"/>
                      <w:szCs w:val="21"/>
                    </w:rPr>
                  </w:pPr>
                  <w:r>
                    <w:rPr>
                      <w:rFonts w:hint="eastAsia" w:ascii="Times New Roman Bold" w:hAnsi="Times New Roman Bold" w:eastAsia="宋体" w:cs="Times New Roman Bold"/>
                      <w:szCs w:val="21"/>
                    </w:rPr>
                    <w:t>矿粉立仓</w:t>
                  </w:r>
                </w:p>
              </w:tc>
              <w:tc>
                <w:tcPr>
                  <w:tcW w:w="626" w:type="pct"/>
                  <w:tcBorders>
                    <w:top w:val="single" w:color="000000" w:sz="4" w:space="0"/>
                    <w:bottom w:val="single" w:color="000000" w:sz="4" w:space="0"/>
                    <w:tl2br w:val="nil"/>
                    <w:tr2bl w:val="nil"/>
                  </w:tcBorders>
                  <w:vAlign w:val="center"/>
                </w:tcPr>
                <w:p w14:paraId="6924880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053" w:type="pct"/>
                  <w:tcBorders>
                    <w:top w:val="single" w:color="000000" w:sz="4" w:space="0"/>
                    <w:bottom w:val="single" w:color="000000" w:sz="4" w:space="0"/>
                    <w:tl2br w:val="nil"/>
                    <w:tr2bl w:val="nil"/>
                  </w:tcBorders>
                  <w:vAlign w:val="center"/>
                </w:tcPr>
                <w:p w14:paraId="39845F5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000000"/>
                      <w:szCs w:val="21"/>
                    </w:rPr>
                    <w:t>振动式仓顶收尘机</w:t>
                  </w:r>
                </w:p>
              </w:tc>
              <w:tc>
                <w:tcPr>
                  <w:tcW w:w="589" w:type="pct"/>
                  <w:tcBorders>
                    <w:top w:val="single" w:color="000000" w:sz="4" w:space="0"/>
                    <w:bottom w:val="single" w:color="000000" w:sz="4" w:space="0"/>
                    <w:tl2br w:val="nil"/>
                    <w:tr2bl w:val="nil"/>
                  </w:tcBorders>
                  <w:vAlign w:val="center"/>
                </w:tcPr>
                <w:p w14:paraId="264AA02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2套</w:t>
                  </w:r>
                </w:p>
              </w:tc>
              <w:tc>
                <w:tcPr>
                  <w:tcW w:w="908" w:type="pct"/>
                  <w:tcBorders>
                    <w:top w:val="single" w:color="000000" w:sz="4" w:space="0"/>
                    <w:bottom w:val="single" w:color="000000" w:sz="4" w:space="0"/>
                    <w:tl2br w:val="nil"/>
                    <w:tr2bl w:val="nil"/>
                  </w:tcBorders>
                  <w:vAlign w:val="center"/>
                </w:tcPr>
                <w:p w14:paraId="17EE518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计入设备费用</w:t>
                  </w:r>
                </w:p>
              </w:tc>
            </w:tr>
            <w:tr w14:paraId="6A873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692987F4">
                  <w:pPr>
                    <w:adjustRightInd w:val="0"/>
                    <w:spacing w:line="240" w:lineRule="exact"/>
                    <w:jc w:val="center"/>
                    <w:textAlignment w:val="baseline"/>
                    <w:rPr>
                      <w:rFonts w:ascii="Times New Roman" w:hAnsi="Times New Roman" w:eastAsia="宋体" w:cs="Times New Roman"/>
                      <w:szCs w:val="21"/>
                    </w:rPr>
                  </w:pPr>
                </w:p>
              </w:tc>
              <w:tc>
                <w:tcPr>
                  <w:tcW w:w="481" w:type="pct"/>
                  <w:vMerge w:val="continue"/>
                  <w:tcBorders>
                    <w:tl2br w:val="nil"/>
                    <w:tr2bl w:val="nil"/>
                  </w:tcBorders>
                  <w:vAlign w:val="center"/>
                </w:tcPr>
                <w:p w14:paraId="795199E4">
                  <w:pPr>
                    <w:adjustRightInd w:val="0"/>
                    <w:spacing w:line="240" w:lineRule="exact"/>
                    <w:jc w:val="center"/>
                    <w:textAlignment w:val="baseline"/>
                    <w:rPr>
                      <w:rFonts w:ascii="Times New Roman" w:hAnsi="Times New Roman" w:eastAsia="宋体" w:cs="Times New Roman"/>
                      <w:szCs w:val="21"/>
                    </w:rPr>
                  </w:pPr>
                </w:p>
              </w:tc>
              <w:tc>
                <w:tcPr>
                  <w:tcW w:w="722" w:type="pct"/>
                  <w:tcBorders>
                    <w:top w:val="single" w:color="000000" w:sz="4" w:space="0"/>
                    <w:bottom w:val="single" w:color="000000" w:sz="4" w:space="0"/>
                    <w:tl2br w:val="nil"/>
                    <w:tr2bl w:val="nil"/>
                  </w:tcBorders>
                  <w:vAlign w:val="center"/>
                </w:tcPr>
                <w:p w14:paraId="4A89C281">
                  <w:pPr>
                    <w:adjustRightInd w:val="0"/>
                    <w:spacing w:line="240" w:lineRule="exact"/>
                    <w:jc w:val="center"/>
                    <w:textAlignment w:val="baseline"/>
                    <w:rPr>
                      <w:rFonts w:ascii="Times New Roman Bold" w:hAnsi="Times New Roman Bold" w:eastAsia="宋体" w:cs="Times New Roman Bold"/>
                      <w:szCs w:val="21"/>
                    </w:rPr>
                  </w:pPr>
                  <w:r>
                    <w:rPr>
                      <w:rFonts w:hint="eastAsia" w:ascii="Times New Roman Bold" w:hAnsi="Times New Roman Bold" w:eastAsia="宋体" w:cs="Times New Roman Bold"/>
                      <w:szCs w:val="21"/>
                    </w:rPr>
                    <w:t>柴油储罐呼吸废气、动静密封点废气</w:t>
                  </w:r>
                </w:p>
              </w:tc>
              <w:tc>
                <w:tcPr>
                  <w:tcW w:w="626" w:type="pct"/>
                  <w:tcBorders>
                    <w:top w:val="single" w:color="000000" w:sz="4" w:space="0"/>
                    <w:bottom w:val="single" w:color="000000" w:sz="4" w:space="0"/>
                    <w:tl2br w:val="nil"/>
                    <w:tr2bl w:val="nil"/>
                  </w:tcBorders>
                  <w:vAlign w:val="center"/>
                </w:tcPr>
                <w:p w14:paraId="21F7A05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非甲烷总烃</w:t>
                  </w:r>
                </w:p>
              </w:tc>
              <w:tc>
                <w:tcPr>
                  <w:tcW w:w="1053" w:type="pct"/>
                  <w:tcBorders>
                    <w:top w:val="single" w:color="000000" w:sz="4" w:space="0"/>
                    <w:bottom w:val="single" w:color="000000" w:sz="4" w:space="0"/>
                    <w:tl2br w:val="nil"/>
                    <w:tr2bl w:val="nil"/>
                  </w:tcBorders>
                  <w:vAlign w:val="center"/>
                </w:tcPr>
                <w:p w14:paraId="33CDE18C">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槽车卸料口与储罐进料口之间设气相平衡管；加强柴油储罐密封点的维护与保养</w:t>
                  </w:r>
                </w:p>
              </w:tc>
              <w:tc>
                <w:tcPr>
                  <w:tcW w:w="589" w:type="pct"/>
                  <w:tcBorders>
                    <w:top w:val="single" w:color="000000" w:sz="4" w:space="0"/>
                    <w:bottom w:val="single" w:color="000000" w:sz="4" w:space="0"/>
                    <w:tl2br w:val="nil"/>
                    <w:tr2bl w:val="nil"/>
                  </w:tcBorders>
                  <w:vAlign w:val="center"/>
                </w:tcPr>
                <w:p w14:paraId="7C52927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908" w:type="pct"/>
                  <w:tcBorders>
                    <w:top w:val="single" w:color="000000" w:sz="4" w:space="0"/>
                    <w:bottom w:val="single" w:color="000000" w:sz="4" w:space="0"/>
                    <w:tl2br w:val="nil"/>
                    <w:tr2bl w:val="nil"/>
                  </w:tcBorders>
                  <w:vAlign w:val="center"/>
                </w:tcPr>
                <w:p w14:paraId="06C91069">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3.5</w:t>
                  </w:r>
                </w:p>
              </w:tc>
            </w:tr>
            <w:tr w14:paraId="3A1A5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61220E1F">
                  <w:pPr>
                    <w:adjustRightInd w:val="0"/>
                    <w:spacing w:line="240" w:lineRule="exact"/>
                    <w:jc w:val="center"/>
                    <w:textAlignment w:val="baseline"/>
                    <w:rPr>
                      <w:rFonts w:ascii="Times New Roman" w:hAnsi="Times New Roman" w:eastAsia="宋体" w:cs="Times New Roman"/>
                      <w:szCs w:val="21"/>
                    </w:rPr>
                  </w:pPr>
                </w:p>
              </w:tc>
              <w:tc>
                <w:tcPr>
                  <w:tcW w:w="481" w:type="pct"/>
                  <w:vMerge w:val="continue"/>
                  <w:tcBorders>
                    <w:tl2br w:val="nil"/>
                    <w:tr2bl w:val="nil"/>
                  </w:tcBorders>
                  <w:vAlign w:val="center"/>
                </w:tcPr>
                <w:p w14:paraId="7284B086">
                  <w:pPr>
                    <w:adjustRightInd w:val="0"/>
                    <w:spacing w:line="240" w:lineRule="exact"/>
                    <w:jc w:val="center"/>
                    <w:textAlignment w:val="baseline"/>
                    <w:rPr>
                      <w:rFonts w:ascii="Times New Roman" w:hAnsi="Times New Roman" w:eastAsia="宋体" w:cs="Times New Roman"/>
                      <w:szCs w:val="21"/>
                    </w:rPr>
                  </w:pPr>
                </w:p>
              </w:tc>
              <w:tc>
                <w:tcPr>
                  <w:tcW w:w="722" w:type="pct"/>
                  <w:tcBorders>
                    <w:top w:val="single" w:color="000000" w:sz="4" w:space="0"/>
                    <w:bottom w:val="single" w:color="000000" w:sz="4" w:space="0"/>
                    <w:tl2br w:val="nil"/>
                    <w:tr2bl w:val="nil"/>
                  </w:tcBorders>
                  <w:vAlign w:val="center"/>
                </w:tcPr>
                <w:p w14:paraId="6774E8C8">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DA001</w:t>
                  </w:r>
                  <w:r>
                    <w:rPr>
                      <w:rFonts w:hint="eastAsia" w:ascii="Times New Roman" w:hAnsi="Times New Roman" w:eastAsia="宋体" w:cs="Times New Roman"/>
                      <w:szCs w:val="21"/>
                    </w:rPr>
                    <w:t>烘干、筛分、热骨料仓混合废气</w:t>
                  </w:r>
                </w:p>
              </w:tc>
              <w:tc>
                <w:tcPr>
                  <w:tcW w:w="626" w:type="pct"/>
                  <w:tcBorders>
                    <w:top w:val="single" w:color="000000" w:sz="4" w:space="0"/>
                    <w:bottom w:val="single" w:color="000000" w:sz="4" w:space="0"/>
                    <w:tl2br w:val="nil"/>
                    <w:tr2bl w:val="nil"/>
                  </w:tcBorders>
                  <w:vAlign w:val="center"/>
                </w:tcPr>
                <w:p w14:paraId="0B13344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颗粒物、氮氧化物、二氧化硫</w:t>
                  </w:r>
                </w:p>
              </w:tc>
              <w:tc>
                <w:tcPr>
                  <w:tcW w:w="1053" w:type="pct"/>
                  <w:tcBorders>
                    <w:top w:val="single" w:color="000000" w:sz="4" w:space="0"/>
                    <w:bottom w:val="single" w:color="000000" w:sz="4" w:space="0"/>
                    <w:tl2br w:val="nil"/>
                    <w:tr2bl w:val="nil"/>
                  </w:tcBorders>
                  <w:vAlign w:val="center"/>
                </w:tcPr>
                <w:p w14:paraId="7AC91F51">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蜗壳除尘+布袋除尘+22m高排气筒</w:t>
                  </w:r>
                </w:p>
              </w:tc>
              <w:tc>
                <w:tcPr>
                  <w:tcW w:w="589" w:type="pct"/>
                  <w:tcBorders>
                    <w:top w:val="single" w:color="000000" w:sz="4" w:space="0"/>
                    <w:bottom w:val="single" w:color="000000" w:sz="4" w:space="0"/>
                    <w:tl2br w:val="nil"/>
                    <w:tr2bl w:val="nil"/>
                  </w:tcBorders>
                  <w:vAlign w:val="center"/>
                </w:tcPr>
                <w:p w14:paraId="10C367F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1套</w:t>
                  </w:r>
                </w:p>
              </w:tc>
              <w:tc>
                <w:tcPr>
                  <w:tcW w:w="908" w:type="pct"/>
                  <w:tcBorders>
                    <w:top w:val="single" w:color="000000" w:sz="4" w:space="0"/>
                    <w:bottom w:val="single" w:color="000000" w:sz="4" w:space="0"/>
                    <w:tl2br w:val="nil"/>
                    <w:tr2bl w:val="nil"/>
                  </w:tcBorders>
                  <w:vAlign w:val="center"/>
                </w:tcPr>
                <w:p w14:paraId="3378BDE9">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20</w:t>
                  </w:r>
                </w:p>
              </w:tc>
            </w:tr>
            <w:tr w14:paraId="23434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1E83124A">
                  <w:pPr>
                    <w:adjustRightInd w:val="0"/>
                    <w:spacing w:line="240" w:lineRule="exact"/>
                    <w:jc w:val="center"/>
                    <w:textAlignment w:val="baseline"/>
                    <w:rPr>
                      <w:rFonts w:ascii="Times New Roman" w:hAnsi="Times New Roman" w:eastAsia="宋体" w:cs="Times New Roman"/>
                      <w:szCs w:val="21"/>
                    </w:rPr>
                  </w:pPr>
                </w:p>
              </w:tc>
              <w:tc>
                <w:tcPr>
                  <w:tcW w:w="481" w:type="pct"/>
                  <w:vMerge w:val="continue"/>
                  <w:tcBorders>
                    <w:tl2br w:val="nil"/>
                    <w:tr2bl w:val="nil"/>
                  </w:tcBorders>
                  <w:vAlign w:val="center"/>
                </w:tcPr>
                <w:p w14:paraId="256153FC">
                  <w:pPr>
                    <w:adjustRightInd w:val="0"/>
                    <w:spacing w:line="240" w:lineRule="exact"/>
                    <w:jc w:val="center"/>
                    <w:textAlignment w:val="baseline"/>
                    <w:rPr>
                      <w:rFonts w:ascii="Times New Roman" w:hAnsi="Times New Roman" w:eastAsia="宋体" w:cs="Times New Roman"/>
                      <w:szCs w:val="21"/>
                    </w:rPr>
                  </w:pPr>
                </w:p>
              </w:tc>
              <w:tc>
                <w:tcPr>
                  <w:tcW w:w="722" w:type="pct"/>
                  <w:tcBorders>
                    <w:top w:val="single" w:color="000000" w:sz="4" w:space="0"/>
                    <w:bottom w:val="single" w:color="000000" w:sz="4" w:space="0"/>
                    <w:tl2br w:val="nil"/>
                    <w:tr2bl w:val="nil"/>
                  </w:tcBorders>
                  <w:vAlign w:val="center"/>
                </w:tcPr>
                <w:p w14:paraId="21DFBFB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D</w:t>
                  </w:r>
                  <w:r>
                    <w:rPr>
                      <w:rFonts w:ascii="Times New Roman" w:hAnsi="Times New Roman" w:eastAsia="宋体" w:cs="Times New Roman"/>
                      <w:szCs w:val="21"/>
                    </w:rPr>
                    <w:t>A002</w:t>
                  </w:r>
                  <w:r>
                    <w:rPr>
                      <w:rFonts w:hint="eastAsia" w:ascii="Times New Roman" w:hAnsi="Times New Roman" w:eastAsia="宋体" w:cs="Times New Roman"/>
                      <w:szCs w:val="21"/>
                    </w:rPr>
                    <w:t>沥青烟气</w:t>
                  </w:r>
                </w:p>
              </w:tc>
              <w:tc>
                <w:tcPr>
                  <w:tcW w:w="626" w:type="pct"/>
                  <w:tcBorders>
                    <w:top w:val="single" w:color="000000" w:sz="4" w:space="0"/>
                    <w:bottom w:val="single" w:color="000000" w:sz="4" w:space="0"/>
                    <w:tl2br w:val="nil"/>
                    <w:tr2bl w:val="nil"/>
                  </w:tcBorders>
                  <w:vAlign w:val="center"/>
                </w:tcPr>
                <w:p w14:paraId="1FCBA3A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颗粒物、沥青烟、非甲烷总烃、苯并[a]芘</w:t>
                  </w:r>
                </w:p>
              </w:tc>
              <w:tc>
                <w:tcPr>
                  <w:tcW w:w="1053" w:type="pct"/>
                  <w:tcBorders>
                    <w:top w:val="single" w:color="000000" w:sz="4" w:space="0"/>
                    <w:bottom w:val="single" w:color="000000" w:sz="4" w:space="0"/>
                    <w:tl2br w:val="nil"/>
                    <w:tr2bl w:val="nil"/>
                  </w:tcBorders>
                  <w:vAlign w:val="center"/>
                </w:tcPr>
                <w:p w14:paraId="62523062">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洗涤塔+电捕焦油器+等离子光解净化除尘器+活性炭吸附装置+25m高排气筒</w:t>
                  </w:r>
                </w:p>
              </w:tc>
              <w:tc>
                <w:tcPr>
                  <w:tcW w:w="589" w:type="pct"/>
                  <w:tcBorders>
                    <w:top w:val="single" w:color="000000" w:sz="4" w:space="0"/>
                    <w:bottom w:val="single" w:color="000000" w:sz="4" w:space="0"/>
                    <w:tl2br w:val="nil"/>
                    <w:tr2bl w:val="nil"/>
                  </w:tcBorders>
                  <w:vAlign w:val="center"/>
                </w:tcPr>
                <w:p w14:paraId="0616FCF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1套</w:t>
                  </w:r>
                </w:p>
              </w:tc>
              <w:tc>
                <w:tcPr>
                  <w:tcW w:w="908" w:type="pct"/>
                  <w:tcBorders>
                    <w:top w:val="single" w:color="000000" w:sz="4" w:space="0"/>
                    <w:bottom w:val="single" w:color="000000" w:sz="4" w:space="0"/>
                    <w:tl2br w:val="nil"/>
                    <w:tr2bl w:val="nil"/>
                  </w:tcBorders>
                  <w:vAlign w:val="center"/>
                </w:tcPr>
                <w:p w14:paraId="3AF34FA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45</w:t>
                  </w:r>
                </w:p>
              </w:tc>
            </w:tr>
            <w:tr w14:paraId="3F5B3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66A61C56">
                  <w:pPr>
                    <w:adjustRightInd w:val="0"/>
                    <w:spacing w:line="240" w:lineRule="exact"/>
                    <w:jc w:val="center"/>
                    <w:textAlignment w:val="baseline"/>
                    <w:rPr>
                      <w:rFonts w:ascii="Times New Roman" w:hAnsi="Times New Roman" w:eastAsia="宋体" w:cs="Times New Roman"/>
                      <w:szCs w:val="21"/>
                    </w:rPr>
                  </w:pPr>
                </w:p>
              </w:tc>
              <w:tc>
                <w:tcPr>
                  <w:tcW w:w="481" w:type="pct"/>
                  <w:vMerge w:val="continue"/>
                  <w:tcBorders>
                    <w:tl2br w:val="nil"/>
                    <w:tr2bl w:val="nil"/>
                  </w:tcBorders>
                  <w:vAlign w:val="center"/>
                </w:tcPr>
                <w:p w14:paraId="0D99F54C">
                  <w:pPr>
                    <w:adjustRightInd w:val="0"/>
                    <w:spacing w:line="240" w:lineRule="exact"/>
                    <w:jc w:val="center"/>
                    <w:textAlignment w:val="baseline"/>
                    <w:rPr>
                      <w:rFonts w:ascii="Times New Roman" w:hAnsi="Times New Roman" w:eastAsia="宋体" w:cs="Times New Roman"/>
                      <w:szCs w:val="21"/>
                    </w:rPr>
                  </w:pPr>
                </w:p>
              </w:tc>
              <w:tc>
                <w:tcPr>
                  <w:tcW w:w="722" w:type="pct"/>
                  <w:tcBorders>
                    <w:top w:val="single" w:color="000000" w:sz="4" w:space="0"/>
                    <w:bottom w:val="single" w:color="000000" w:sz="4" w:space="0"/>
                    <w:tl2br w:val="nil"/>
                    <w:tr2bl w:val="nil"/>
                  </w:tcBorders>
                  <w:vAlign w:val="center"/>
                </w:tcPr>
                <w:p w14:paraId="66642738">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DA003</w:t>
                  </w:r>
                  <w:r>
                    <w:rPr>
                      <w:rFonts w:hint="eastAsia" w:ascii="Times New Roman" w:hAnsi="Times New Roman" w:eastAsia="宋体" w:cs="Times New Roman"/>
                      <w:szCs w:val="21"/>
                    </w:rPr>
                    <w:t>沥青烟气</w:t>
                  </w:r>
                </w:p>
              </w:tc>
              <w:tc>
                <w:tcPr>
                  <w:tcW w:w="626" w:type="pct"/>
                  <w:tcBorders>
                    <w:top w:val="single" w:color="000000" w:sz="4" w:space="0"/>
                    <w:bottom w:val="single" w:color="000000" w:sz="4" w:space="0"/>
                    <w:tl2br w:val="nil"/>
                    <w:tr2bl w:val="nil"/>
                  </w:tcBorders>
                  <w:vAlign w:val="center"/>
                </w:tcPr>
                <w:p w14:paraId="2B417B8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沥青烟、非甲烷总烃、苯并[a]芘</w:t>
                  </w:r>
                </w:p>
              </w:tc>
              <w:tc>
                <w:tcPr>
                  <w:tcW w:w="1053" w:type="pct"/>
                  <w:tcBorders>
                    <w:top w:val="single" w:color="000000" w:sz="4" w:space="0"/>
                    <w:bottom w:val="single" w:color="000000" w:sz="4" w:space="0"/>
                    <w:tl2br w:val="nil"/>
                    <w:tr2bl w:val="nil"/>
                  </w:tcBorders>
                  <w:vAlign w:val="center"/>
                </w:tcPr>
                <w:p w14:paraId="0A2D4211">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高效二级活性炭吸附装置+15m高排气筒</w:t>
                  </w:r>
                </w:p>
              </w:tc>
              <w:tc>
                <w:tcPr>
                  <w:tcW w:w="589" w:type="pct"/>
                  <w:tcBorders>
                    <w:top w:val="single" w:color="000000" w:sz="4" w:space="0"/>
                    <w:bottom w:val="single" w:color="000000" w:sz="4" w:space="0"/>
                    <w:tl2br w:val="nil"/>
                    <w:tr2bl w:val="nil"/>
                  </w:tcBorders>
                  <w:vAlign w:val="center"/>
                </w:tcPr>
                <w:p w14:paraId="054C2CF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1套</w:t>
                  </w:r>
                </w:p>
              </w:tc>
              <w:tc>
                <w:tcPr>
                  <w:tcW w:w="908" w:type="pct"/>
                  <w:tcBorders>
                    <w:top w:val="single" w:color="000000" w:sz="4" w:space="0"/>
                    <w:bottom w:val="single" w:color="000000" w:sz="4" w:space="0"/>
                    <w:tl2br w:val="nil"/>
                    <w:tr2bl w:val="nil"/>
                  </w:tcBorders>
                  <w:vAlign w:val="center"/>
                </w:tcPr>
                <w:p w14:paraId="5666C332">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5.0</w:t>
                  </w:r>
                </w:p>
              </w:tc>
            </w:tr>
            <w:tr w14:paraId="2583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28F8E199">
                  <w:pPr>
                    <w:adjustRightInd w:val="0"/>
                    <w:spacing w:line="240" w:lineRule="exact"/>
                    <w:jc w:val="center"/>
                    <w:textAlignment w:val="baseline"/>
                    <w:rPr>
                      <w:rFonts w:ascii="Times New Roman" w:hAnsi="Times New Roman" w:eastAsia="宋体" w:cs="Times New Roman"/>
                      <w:szCs w:val="21"/>
                    </w:rPr>
                  </w:pPr>
                </w:p>
              </w:tc>
              <w:tc>
                <w:tcPr>
                  <w:tcW w:w="481" w:type="pct"/>
                  <w:vMerge w:val="continue"/>
                  <w:tcBorders>
                    <w:tl2br w:val="nil"/>
                    <w:tr2bl w:val="nil"/>
                  </w:tcBorders>
                  <w:vAlign w:val="center"/>
                </w:tcPr>
                <w:p w14:paraId="6EF363AD">
                  <w:pPr>
                    <w:adjustRightInd w:val="0"/>
                    <w:spacing w:line="240" w:lineRule="exact"/>
                    <w:jc w:val="center"/>
                    <w:textAlignment w:val="baseline"/>
                    <w:rPr>
                      <w:rFonts w:ascii="Times New Roman" w:hAnsi="Times New Roman" w:eastAsia="宋体" w:cs="Times New Roman"/>
                      <w:szCs w:val="21"/>
                    </w:rPr>
                  </w:pPr>
                </w:p>
              </w:tc>
              <w:tc>
                <w:tcPr>
                  <w:tcW w:w="722" w:type="pct"/>
                  <w:tcBorders>
                    <w:top w:val="single" w:color="000000" w:sz="4" w:space="0"/>
                    <w:bottom w:val="single" w:color="000000" w:sz="4" w:space="0"/>
                    <w:tl2br w:val="nil"/>
                    <w:tr2bl w:val="nil"/>
                  </w:tcBorders>
                  <w:vAlign w:val="center"/>
                </w:tcPr>
                <w:p w14:paraId="0A43CD6D">
                  <w:pPr>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DA004</w:t>
                  </w:r>
                  <w:r>
                    <w:rPr>
                      <w:rFonts w:hint="eastAsia" w:ascii="Times New Roman" w:hAnsi="Times New Roman" w:eastAsia="宋体" w:cs="Times New Roman"/>
                      <w:szCs w:val="21"/>
                    </w:rPr>
                    <w:t>导热油炉废气</w:t>
                  </w:r>
                </w:p>
              </w:tc>
              <w:tc>
                <w:tcPr>
                  <w:tcW w:w="626" w:type="pct"/>
                  <w:tcBorders>
                    <w:top w:val="single" w:color="000000" w:sz="4" w:space="0"/>
                    <w:bottom w:val="single" w:color="000000" w:sz="4" w:space="0"/>
                    <w:tl2br w:val="nil"/>
                    <w:tr2bl w:val="nil"/>
                  </w:tcBorders>
                  <w:vAlign w:val="center"/>
                </w:tcPr>
                <w:p w14:paraId="662C7F8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颗粒物、氮氧化物、二氧化硫</w:t>
                  </w:r>
                </w:p>
              </w:tc>
              <w:tc>
                <w:tcPr>
                  <w:tcW w:w="1053" w:type="pct"/>
                  <w:tcBorders>
                    <w:top w:val="single" w:color="000000" w:sz="4" w:space="0"/>
                    <w:bottom w:val="single" w:color="000000" w:sz="4" w:space="0"/>
                    <w:tl2br w:val="nil"/>
                    <w:tr2bl w:val="nil"/>
                  </w:tcBorders>
                  <w:vAlign w:val="center"/>
                </w:tcPr>
                <w:p w14:paraId="542528F8">
                  <w:pPr>
                    <w:adjustRightInd w:val="0"/>
                    <w:spacing w:line="240" w:lineRule="exact"/>
                    <w:jc w:val="center"/>
                    <w:textAlignment w:val="baseline"/>
                    <w:rPr>
                      <w:rFonts w:ascii="Times New Roman" w:hAnsi="Times New Roman" w:eastAsia="宋体" w:cs="Times New Roman"/>
                      <w:color w:val="000000"/>
                      <w:szCs w:val="21"/>
                    </w:rPr>
                  </w:pPr>
                  <w:r>
                    <w:rPr>
                      <w:rFonts w:hint="eastAsia" w:ascii="Times New Roman" w:hAnsi="Times New Roman" w:eastAsia="宋体" w:cs="Times New Roman"/>
                      <w:color w:val="FF0000"/>
                      <w:szCs w:val="21"/>
                    </w:rPr>
                    <w:t>低氮燃烧器，</w:t>
                  </w:r>
                  <w:r>
                    <w:rPr>
                      <w:rFonts w:hint="eastAsia" w:ascii="Times New Roman" w:hAnsi="Times New Roman" w:eastAsia="宋体" w:cs="Times New Roman"/>
                      <w:szCs w:val="21"/>
                    </w:rPr>
                    <w:t>一根15m高排气筒</w:t>
                  </w:r>
                </w:p>
              </w:tc>
              <w:tc>
                <w:tcPr>
                  <w:tcW w:w="589" w:type="pct"/>
                  <w:tcBorders>
                    <w:top w:val="single" w:color="000000" w:sz="4" w:space="0"/>
                    <w:bottom w:val="single" w:color="000000" w:sz="4" w:space="0"/>
                    <w:tl2br w:val="nil"/>
                    <w:tr2bl w:val="nil"/>
                  </w:tcBorders>
                  <w:vAlign w:val="center"/>
                </w:tcPr>
                <w:p w14:paraId="30A1A48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1套</w:t>
                  </w:r>
                </w:p>
              </w:tc>
              <w:tc>
                <w:tcPr>
                  <w:tcW w:w="908" w:type="pct"/>
                  <w:tcBorders>
                    <w:top w:val="single" w:color="000000" w:sz="4" w:space="0"/>
                    <w:bottom w:val="single" w:color="000000" w:sz="4" w:space="0"/>
                    <w:tl2br w:val="nil"/>
                    <w:tr2bl w:val="nil"/>
                  </w:tcBorders>
                  <w:vAlign w:val="center"/>
                </w:tcPr>
                <w:p w14:paraId="4430F714">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3.5</w:t>
                  </w:r>
                </w:p>
              </w:tc>
            </w:tr>
            <w:tr w14:paraId="4F6B9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426B71C7">
                  <w:pPr>
                    <w:adjustRightInd w:val="0"/>
                    <w:spacing w:line="240" w:lineRule="exact"/>
                    <w:jc w:val="center"/>
                    <w:textAlignment w:val="baseline"/>
                    <w:rPr>
                      <w:rFonts w:ascii="Times New Roman" w:hAnsi="Times New Roman" w:eastAsia="宋体" w:cs="Times New Roman"/>
                      <w:szCs w:val="21"/>
                    </w:rPr>
                  </w:pPr>
                </w:p>
              </w:tc>
              <w:tc>
                <w:tcPr>
                  <w:tcW w:w="481" w:type="pct"/>
                  <w:vMerge w:val="continue"/>
                  <w:tcBorders>
                    <w:tl2br w:val="nil"/>
                    <w:tr2bl w:val="nil"/>
                  </w:tcBorders>
                  <w:vAlign w:val="center"/>
                </w:tcPr>
                <w:p w14:paraId="2EF8A6DA">
                  <w:pPr>
                    <w:adjustRightInd w:val="0"/>
                    <w:spacing w:line="240" w:lineRule="exact"/>
                    <w:jc w:val="center"/>
                    <w:textAlignment w:val="baseline"/>
                    <w:rPr>
                      <w:rFonts w:ascii="Times New Roman" w:hAnsi="Times New Roman" w:eastAsia="宋体" w:cs="Times New Roman"/>
                      <w:szCs w:val="21"/>
                    </w:rPr>
                  </w:pPr>
                </w:p>
              </w:tc>
              <w:tc>
                <w:tcPr>
                  <w:tcW w:w="722" w:type="pct"/>
                  <w:tcBorders>
                    <w:top w:val="single" w:color="000000" w:sz="4" w:space="0"/>
                    <w:tl2br w:val="nil"/>
                    <w:tr2bl w:val="nil"/>
                  </w:tcBorders>
                  <w:vAlign w:val="center"/>
                </w:tcPr>
                <w:p w14:paraId="1425BE9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食堂油烟</w:t>
                  </w:r>
                </w:p>
              </w:tc>
              <w:tc>
                <w:tcPr>
                  <w:tcW w:w="626" w:type="pct"/>
                  <w:tcBorders>
                    <w:top w:val="single" w:color="000000" w:sz="4" w:space="0"/>
                    <w:tl2br w:val="nil"/>
                    <w:tr2bl w:val="nil"/>
                  </w:tcBorders>
                  <w:vAlign w:val="center"/>
                </w:tcPr>
                <w:p w14:paraId="070D154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油烟</w:t>
                  </w:r>
                </w:p>
              </w:tc>
              <w:tc>
                <w:tcPr>
                  <w:tcW w:w="1053" w:type="pct"/>
                  <w:tcBorders>
                    <w:top w:val="single" w:color="000000" w:sz="4" w:space="0"/>
                    <w:tl2br w:val="nil"/>
                    <w:tr2bl w:val="nil"/>
                  </w:tcBorders>
                  <w:vAlign w:val="center"/>
                </w:tcPr>
                <w:p w14:paraId="1BF4F7CB">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油烟净化器</w:t>
                  </w:r>
                </w:p>
              </w:tc>
              <w:tc>
                <w:tcPr>
                  <w:tcW w:w="589" w:type="pct"/>
                  <w:tcBorders>
                    <w:top w:val="single" w:color="000000" w:sz="4" w:space="0"/>
                    <w:tl2br w:val="nil"/>
                    <w:tr2bl w:val="nil"/>
                  </w:tcBorders>
                  <w:vAlign w:val="center"/>
                </w:tcPr>
                <w:p w14:paraId="1FD2DB6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1套</w:t>
                  </w:r>
                </w:p>
              </w:tc>
              <w:tc>
                <w:tcPr>
                  <w:tcW w:w="908" w:type="pct"/>
                  <w:tcBorders>
                    <w:top w:val="single" w:color="000000" w:sz="4" w:space="0"/>
                    <w:tl2br w:val="nil"/>
                    <w:tr2bl w:val="nil"/>
                  </w:tcBorders>
                  <w:vAlign w:val="center"/>
                </w:tcPr>
                <w:p w14:paraId="77388C4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0.8</w:t>
                  </w:r>
                </w:p>
              </w:tc>
            </w:tr>
            <w:tr w14:paraId="3B361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6D880A08">
                  <w:pPr>
                    <w:adjustRightInd w:val="0"/>
                    <w:spacing w:line="240" w:lineRule="exact"/>
                    <w:jc w:val="center"/>
                    <w:textAlignment w:val="baseline"/>
                    <w:rPr>
                      <w:rFonts w:ascii="Times New Roman" w:hAnsi="Times New Roman" w:eastAsia="宋体" w:cs="Times New Roman"/>
                      <w:szCs w:val="21"/>
                    </w:rPr>
                  </w:pPr>
                </w:p>
              </w:tc>
              <w:tc>
                <w:tcPr>
                  <w:tcW w:w="481" w:type="pct"/>
                  <w:vMerge w:val="restart"/>
                  <w:tcBorders>
                    <w:tl2br w:val="nil"/>
                    <w:tr2bl w:val="nil"/>
                  </w:tcBorders>
                  <w:vAlign w:val="center"/>
                </w:tcPr>
                <w:p w14:paraId="16F5BC0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废水治理</w:t>
                  </w:r>
                </w:p>
              </w:tc>
              <w:tc>
                <w:tcPr>
                  <w:tcW w:w="1348" w:type="pct"/>
                  <w:gridSpan w:val="2"/>
                  <w:vMerge w:val="restart"/>
                  <w:tcBorders>
                    <w:tl2br w:val="nil"/>
                    <w:tr2bl w:val="nil"/>
                  </w:tcBorders>
                  <w:vAlign w:val="center"/>
                </w:tcPr>
                <w:p w14:paraId="6C3A702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废水</w:t>
                  </w:r>
                </w:p>
              </w:tc>
              <w:tc>
                <w:tcPr>
                  <w:tcW w:w="1053" w:type="pct"/>
                  <w:tcBorders>
                    <w:bottom w:val="single" w:color="000000" w:sz="4" w:space="0"/>
                    <w:tl2br w:val="nil"/>
                    <w:tr2bl w:val="nil"/>
                  </w:tcBorders>
                  <w:vAlign w:val="center"/>
                </w:tcPr>
                <w:p w14:paraId="18EDFA7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化粪池（5m</w:t>
                  </w:r>
                  <w:r>
                    <w:rPr>
                      <w:rFonts w:hint="eastAsia" w:ascii="Times New Roman" w:hAnsi="Times New Roman" w:eastAsia="宋体" w:cs="Times New Roman"/>
                      <w:szCs w:val="21"/>
                      <w:vertAlign w:val="superscript"/>
                    </w:rPr>
                    <w:t>3</w:t>
                  </w:r>
                  <w:r>
                    <w:rPr>
                      <w:rFonts w:hint="eastAsia" w:ascii="Times New Roman" w:hAnsi="Times New Roman" w:eastAsia="宋体" w:cs="Times New Roman"/>
                      <w:szCs w:val="21"/>
                    </w:rPr>
                    <w:t>）、隔油池（1m</w:t>
                  </w:r>
                  <w:r>
                    <w:rPr>
                      <w:rFonts w:hint="eastAsia" w:ascii="Times New Roman" w:hAnsi="Times New Roman" w:eastAsia="宋体" w:cs="Times New Roman"/>
                      <w:szCs w:val="21"/>
                      <w:vertAlign w:val="superscript"/>
                    </w:rPr>
                    <w:t>3</w:t>
                  </w:r>
                  <w:r>
                    <w:rPr>
                      <w:rFonts w:hint="eastAsia" w:ascii="Times New Roman" w:hAnsi="Times New Roman" w:eastAsia="宋体" w:cs="Times New Roman"/>
                      <w:szCs w:val="21"/>
                    </w:rPr>
                    <w:t>）</w:t>
                  </w:r>
                </w:p>
              </w:tc>
              <w:tc>
                <w:tcPr>
                  <w:tcW w:w="589" w:type="pct"/>
                  <w:tcBorders>
                    <w:bottom w:val="single" w:color="000000" w:sz="4" w:space="0"/>
                    <w:tl2br w:val="nil"/>
                    <w:tr2bl w:val="nil"/>
                  </w:tcBorders>
                  <w:vAlign w:val="center"/>
                </w:tcPr>
                <w:p w14:paraId="7CAF515E">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各1座</w:t>
                  </w:r>
                </w:p>
              </w:tc>
              <w:tc>
                <w:tcPr>
                  <w:tcW w:w="908" w:type="pct"/>
                  <w:tcBorders>
                    <w:bottom w:val="single" w:color="000000" w:sz="4" w:space="0"/>
                    <w:tl2br w:val="nil"/>
                    <w:tr2bl w:val="nil"/>
                  </w:tcBorders>
                  <w:vAlign w:val="center"/>
                </w:tcPr>
                <w:p w14:paraId="6CD179A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1.5</w:t>
                  </w:r>
                </w:p>
              </w:tc>
            </w:tr>
            <w:tr w14:paraId="7F50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24FE8476">
                  <w:pPr>
                    <w:adjustRightInd w:val="0"/>
                    <w:spacing w:line="240" w:lineRule="exact"/>
                    <w:jc w:val="center"/>
                    <w:textAlignment w:val="baseline"/>
                    <w:rPr>
                      <w:rFonts w:ascii="Times New Roman" w:hAnsi="Times New Roman" w:eastAsia="宋体" w:cs="Times New Roman"/>
                      <w:szCs w:val="21"/>
                    </w:rPr>
                  </w:pPr>
                </w:p>
              </w:tc>
              <w:tc>
                <w:tcPr>
                  <w:tcW w:w="481" w:type="pct"/>
                  <w:vMerge w:val="continue"/>
                  <w:tcBorders>
                    <w:tl2br w:val="nil"/>
                    <w:tr2bl w:val="nil"/>
                  </w:tcBorders>
                  <w:vAlign w:val="center"/>
                </w:tcPr>
                <w:p w14:paraId="532C65DA">
                  <w:pPr>
                    <w:adjustRightInd w:val="0"/>
                    <w:spacing w:line="240" w:lineRule="exact"/>
                    <w:jc w:val="center"/>
                    <w:textAlignment w:val="baseline"/>
                    <w:rPr>
                      <w:rFonts w:ascii="Times New Roman" w:hAnsi="Times New Roman" w:eastAsia="宋体" w:cs="Times New Roman"/>
                      <w:szCs w:val="21"/>
                    </w:rPr>
                  </w:pPr>
                </w:p>
              </w:tc>
              <w:tc>
                <w:tcPr>
                  <w:tcW w:w="1348" w:type="pct"/>
                  <w:gridSpan w:val="2"/>
                  <w:vMerge w:val="continue"/>
                  <w:tcBorders>
                    <w:tl2br w:val="nil"/>
                    <w:tr2bl w:val="nil"/>
                  </w:tcBorders>
                  <w:vAlign w:val="center"/>
                </w:tcPr>
                <w:p w14:paraId="694C44DE">
                  <w:pPr>
                    <w:adjustRightInd w:val="0"/>
                    <w:spacing w:line="240" w:lineRule="exact"/>
                    <w:jc w:val="center"/>
                    <w:textAlignment w:val="baseline"/>
                    <w:rPr>
                      <w:rFonts w:ascii="Times New Roman" w:hAnsi="Times New Roman" w:eastAsia="宋体" w:cs="Times New Roman"/>
                      <w:szCs w:val="21"/>
                    </w:rPr>
                  </w:pPr>
                </w:p>
              </w:tc>
              <w:tc>
                <w:tcPr>
                  <w:tcW w:w="1053" w:type="pct"/>
                  <w:tcBorders>
                    <w:top w:val="single" w:color="000000" w:sz="4" w:space="0"/>
                    <w:tl2br w:val="nil"/>
                    <w:tr2bl w:val="nil"/>
                  </w:tcBorders>
                  <w:vAlign w:val="center"/>
                </w:tcPr>
                <w:p w14:paraId="2DFAEF5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沉淀池（2m</w:t>
                  </w:r>
                  <w:r>
                    <w:rPr>
                      <w:rFonts w:hint="eastAsia" w:ascii="Times New Roman" w:hAnsi="Times New Roman" w:eastAsia="宋体" w:cs="Times New Roman"/>
                      <w:szCs w:val="21"/>
                      <w:vertAlign w:val="superscript"/>
                    </w:rPr>
                    <w:t>3</w:t>
                  </w:r>
                  <w:r>
                    <w:rPr>
                      <w:rFonts w:hint="eastAsia" w:ascii="Times New Roman" w:hAnsi="Times New Roman" w:eastAsia="宋体" w:cs="Times New Roman"/>
                      <w:szCs w:val="21"/>
                    </w:rPr>
                    <w:t>）</w:t>
                  </w:r>
                </w:p>
              </w:tc>
              <w:tc>
                <w:tcPr>
                  <w:tcW w:w="589" w:type="pct"/>
                  <w:tcBorders>
                    <w:top w:val="single" w:color="000000" w:sz="4" w:space="0"/>
                    <w:tl2br w:val="nil"/>
                    <w:tr2bl w:val="nil"/>
                  </w:tcBorders>
                  <w:vAlign w:val="center"/>
                </w:tcPr>
                <w:p w14:paraId="0EBC854B">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1座</w:t>
                  </w:r>
                </w:p>
              </w:tc>
              <w:tc>
                <w:tcPr>
                  <w:tcW w:w="908" w:type="pct"/>
                  <w:tcBorders>
                    <w:top w:val="single" w:color="000000" w:sz="4" w:space="0"/>
                    <w:tl2br w:val="nil"/>
                    <w:tr2bl w:val="nil"/>
                  </w:tcBorders>
                  <w:vAlign w:val="center"/>
                </w:tcPr>
                <w:p w14:paraId="715259E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w:t>
                  </w:r>
                </w:p>
              </w:tc>
            </w:tr>
            <w:tr w14:paraId="49828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19" w:type="pct"/>
                  <w:vMerge w:val="continue"/>
                  <w:tcBorders>
                    <w:tl2br w:val="nil"/>
                    <w:tr2bl w:val="nil"/>
                  </w:tcBorders>
                  <w:vAlign w:val="center"/>
                </w:tcPr>
                <w:p w14:paraId="52CE56E3">
                  <w:pPr>
                    <w:adjustRightInd w:val="0"/>
                    <w:spacing w:line="240" w:lineRule="exact"/>
                    <w:jc w:val="center"/>
                    <w:textAlignment w:val="baseline"/>
                    <w:rPr>
                      <w:rFonts w:ascii="Times New Roman" w:hAnsi="Times New Roman" w:eastAsia="宋体" w:cs="Times New Roman"/>
                      <w:szCs w:val="21"/>
                    </w:rPr>
                  </w:pPr>
                </w:p>
              </w:tc>
              <w:tc>
                <w:tcPr>
                  <w:tcW w:w="481" w:type="pct"/>
                  <w:tcBorders>
                    <w:tl2br w:val="nil"/>
                    <w:tr2bl w:val="nil"/>
                  </w:tcBorders>
                  <w:vAlign w:val="center"/>
                </w:tcPr>
                <w:p w14:paraId="50E81DA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噪声治理</w:t>
                  </w:r>
                </w:p>
              </w:tc>
              <w:tc>
                <w:tcPr>
                  <w:tcW w:w="1348" w:type="pct"/>
                  <w:gridSpan w:val="2"/>
                  <w:tcBorders>
                    <w:tl2br w:val="nil"/>
                    <w:tr2bl w:val="nil"/>
                  </w:tcBorders>
                  <w:vAlign w:val="center"/>
                </w:tcPr>
                <w:p w14:paraId="73C66BA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设备噪声</w:t>
                  </w:r>
                </w:p>
              </w:tc>
              <w:tc>
                <w:tcPr>
                  <w:tcW w:w="1053" w:type="pct"/>
                  <w:tcBorders>
                    <w:tl2br w:val="nil"/>
                    <w:tr2bl w:val="nil"/>
                  </w:tcBorders>
                  <w:vAlign w:val="center"/>
                </w:tcPr>
                <w:p w14:paraId="1E1DCE2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选购低噪声设备；加强设备日常维护；消声器；基础减振</w:t>
                  </w:r>
                </w:p>
              </w:tc>
              <w:tc>
                <w:tcPr>
                  <w:tcW w:w="589" w:type="pct"/>
                  <w:tcBorders>
                    <w:tl2br w:val="nil"/>
                    <w:tr2bl w:val="nil"/>
                  </w:tcBorders>
                  <w:vAlign w:val="center"/>
                </w:tcPr>
                <w:p w14:paraId="787A5CD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908" w:type="pct"/>
                  <w:tcBorders>
                    <w:tl2br w:val="nil"/>
                    <w:tr2bl w:val="nil"/>
                  </w:tcBorders>
                  <w:vAlign w:val="center"/>
                </w:tcPr>
                <w:p w14:paraId="0948D0E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2.0</w:t>
                  </w:r>
                </w:p>
              </w:tc>
            </w:tr>
            <w:tr w14:paraId="6423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30CABE97">
                  <w:pPr>
                    <w:adjustRightInd w:val="0"/>
                    <w:spacing w:line="240" w:lineRule="exact"/>
                    <w:jc w:val="center"/>
                    <w:textAlignment w:val="baseline"/>
                    <w:rPr>
                      <w:rFonts w:ascii="Times New Roman" w:hAnsi="Times New Roman" w:eastAsia="宋体" w:cs="Times New Roman"/>
                      <w:szCs w:val="21"/>
                    </w:rPr>
                  </w:pPr>
                </w:p>
              </w:tc>
              <w:tc>
                <w:tcPr>
                  <w:tcW w:w="481" w:type="pct"/>
                  <w:vMerge w:val="restart"/>
                  <w:tcBorders>
                    <w:tl2br w:val="nil"/>
                    <w:tr2bl w:val="nil"/>
                  </w:tcBorders>
                  <w:vAlign w:val="center"/>
                </w:tcPr>
                <w:p w14:paraId="6CFE659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固体废物</w:t>
                  </w:r>
                </w:p>
              </w:tc>
              <w:tc>
                <w:tcPr>
                  <w:tcW w:w="1348" w:type="pct"/>
                  <w:gridSpan w:val="2"/>
                  <w:tcBorders>
                    <w:bottom w:val="single" w:color="000000" w:sz="4" w:space="0"/>
                    <w:tl2br w:val="nil"/>
                    <w:tr2bl w:val="nil"/>
                  </w:tcBorders>
                  <w:vAlign w:val="center"/>
                </w:tcPr>
                <w:p w14:paraId="768B6D2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危险废物</w:t>
                  </w:r>
                </w:p>
              </w:tc>
              <w:tc>
                <w:tcPr>
                  <w:tcW w:w="1053" w:type="pct"/>
                  <w:tcBorders>
                    <w:bottom w:val="single" w:color="000000" w:sz="4" w:space="0"/>
                    <w:tl2br w:val="nil"/>
                    <w:tr2bl w:val="nil"/>
                  </w:tcBorders>
                  <w:vAlign w:val="center"/>
                </w:tcPr>
                <w:p w14:paraId="5DE7463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危险废物贮存点</w:t>
                  </w:r>
                </w:p>
              </w:tc>
              <w:tc>
                <w:tcPr>
                  <w:tcW w:w="589" w:type="pct"/>
                  <w:tcBorders>
                    <w:bottom w:val="single" w:color="000000" w:sz="4" w:space="0"/>
                    <w:tl2br w:val="nil"/>
                    <w:tr2bl w:val="nil"/>
                  </w:tcBorders>
                  <w:vAlign w:val="center"/>
                </w:tcPr>
                <w:p w14:paraId="0C7D65C1">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35m</w:t>
                  </w:r>
                  <w:r>
                    <w:rPr>
                      <w:rFonts w:hint="eastAsia" w:ascii="Times New Roman" w:hAnsi="Times New Roman" w:eastAsia="宋体" w:cs="Times New Roman"/>
                      <w:szCs w:val="21"/>
                      <w:vertAlign w:val="superscript"/>
                    </w:rPr>
                    <w:t>2</w:t>
                  </w:r>
                </w:p>
              </w:tc>
              <w:tc>
                <w:tcPr>
                  <w:tcW w:w="908" w:type="pct"/>
                  <w:tcBorders>
                    <w:bottom w:val="single" w:color="000000" w:sz="4" w:space="0"/>
                    <w:tl2br w:val="nil"/>
                    <w:tr2bl w:val="nil"/>
                  </w:tcBorders>
                  <w:vAlign w:val="center"/>
                </w:tcPr>
                <w:p w14:paraId="41B55250">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1.5</w:t>
                  </w:r>
                </w:p>
              </w:tc>
            </w:tr>
            <w:tr w14:paraId="3AE9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45ACD1EB">
                  <w:pPr>
                    <w:adjustRightInd w:val="0"/>
                    <w:spacing w:line="240" w:lineRule="exact"/>
                    <w:jc w:val="center"/>
                    <w:textAlignment w:val="baseline"/>
                    <w:rPr>
                      <w:rFonts w:ascii="Times New Roman" w:hAnsi="Times New Roman" w:eastAsia="宋体" w:cs="Times New Roman"/>
                      <w:szCs w:val="21"/>
                    </w:rPr>
                  </w:pPr>
                </w:p>
              </w:tc>
              <w:tc>
                <w:tcPr>
                  <w:tcW w:w="481" w:type="pct"/>
                  <w:vMerge w:val="continue"/>
                  <w:tcBorders>
                    <w:tl2br w:val="nil"/>
                    <w:tr2bl w:val="nil"/>
                  </w:tcBorders>
                  <w:vAlign w:val="center"/>
                </w:tcPr>
                <w:p w14:paraId="11FDFB37">
                  <w:pPr>
                    <w:adjustRightInd w:val="0"/>
                    <w:spacing w:line="240" w:lineRule="exact"/>
                    <w:jc w:val="center"/>
                    <w:textAlignment w:val="baseline"/>
                    <w:rPr>
                      <w:rFonts w:ascii="Times New Roman" w:hAnsi="Times New Roman" w:eastAsia="宋体" w:cs="Times New Roman"/>
                      <w:szCs w:val="21"/>
                    </w:rPr>
                  </w:pPr>
                </w:p>
              </w:tc>
              <w:tc>
                <w:tcPr>
                  <w:tcW w:w="1348" w:type="pct"/>
                  <w:gridSpan w:val="2"/>
                  <w:tcBorders>
                    <w:top w:val="single" w:color="000000" w:sz="4" w:space="0"/>
                    <w:tl2br w:val="nil"/>
                    <w:tr2bl w:val="nil"/>
                  </w:tcBorders>
                  <w:vAlign w:val="center"/>
                </w:tcPr>
                <w:p w14:paraId="579B347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一般工业固体废物</w:t>
                  </w:r>
                </w:p>
              </w:tc>
              <w:tc>
                <w:tcPr>
                  <w:tcW w:w="1053" w:type="pct"/>
                  <w:tcBorders>
                    <w:top w:val="single" w:color="000000" w:sz="4" w:space="0"/>
                    <w:tl2br w:val="nil"/>
                    <w:tr2bl w:val="nil"/>
                  </w:tcBorders>
                  <w:vAlign w:val="center"/>
                </w:tcPr>
                <w:p w14:paraId="783877A5">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一般工业固体废物暂存间</w:t>
                  </w:r>
                </w:p>
              </w:tc>
              <w:tc>
                <w:tcPr>
                  <w:tcW w:w="589" w:type="pct"/>
                  <w:tcBorders>
                    <w:top w:val="single" w:color="000000" w:sz="4" w:space="0"/>
                    <w:tl2br w:val="nil"/>
                    <w:tr2bl w:val="nil"/>
                  </w:tcBorders>
                  <w:vAlign w:val="center"/>
                </w:tcPr>
                <w:p w14:paraId="2952DA8C">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20m</w:t>
                  </w:r>
                  <w:r>
                    <w:rPr>
                      <w:rFonts w:hint="eastAsia" w:ascii="Times New Roman" w:hAnsi="Times New Roman" w:eastAsia="宋体" w:cs="Times New Roman"/>
                      <w:szCs w:val="21"/>
                      <w:vertAlign w:val="superscript"/>
                    </w:rPr>
                    <w:t>2</w:t>
                  </w:r>
                </w:p>
              </w:tc>
              <w:tc>
                <w:tcPr>
                  <w:tcW w:w="908" w:type="pct"/>
                  <w:tcBorders>
                    <w:top w:val="single" w:color="000000" w:sz="4" w:space="0"/>
                    <w:tl2br w:val="nil"/>
                    <w:tr2bl w:val="nil"/>
                  </w:tcBorders>
                  <w:vAlign w:val="center"/>
                </w:tcPr>
                <w:p w14:paraId="6A96EC06">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w:t>
                  </w:r>
                </w:p>
              </w:tc>
            </w:tr>
            <w:tr w14:paraId="04B87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2AFCB558">
                  <w:pPr>
                    <w:adjustRightInd w:val="0"/>
                    <w:spacing w:line="240" w:lineRule="exact"/>
                    <w:jc w:val="center"/>
                    <w:textAlignment w:val="baseline"/>
                    <w:rPr>
                      <w:rFonts w:ascii="Times New Roman" w:hAnsi="Times New Roman" w:eastAsia="宋体" w:cs="Times New Roman"/>
                      <w:szCs w:val="21"/>
                    </w:rPr>
                  </w:pPr>
                </w:p>
              </w:tc>
              <w:tc>
                <w:tcPr>
                  <w:tcW w:w="481" w:type="pct"/>
                  <w:vMerge w:val="continue"/>
                  <w:tcBorders>
                    <w:tl2br w:val="nil"/>
                    <w:tr2bl w:val="nil"/>
                  </w:tcBorders>
                  <w:vAlign w:val="center"/>
                </w:tcPr>
                <w:p w14:paraId="3BC5ACE9">
                  <w:pPr>
                    <w:adjustRightInd w:val="0"/>
                    <w:spacing w:line="240" w:lineRule="exact"/>
                    <w:jc w:val="center"/>
                    <w:textAlignment w:val="baseline"/>
                    <w:rPr>
                      <w:rFonts w:ascii="Times New Roman" w:hAnsi="Times New Roman" w:eastAsia="宋体" w:cs="Times New Roman"/>
                      <w:szCs w:val="21"/>
                    </w:rPr>
                  </w:pPr>
                </w:p>
              </w:tc>
              <w:tc>
                <w:tcPr>
                  <w:tcW w:w="1348" w:type="pct"/>
                  <w:gridSpan w:val="2"/>
                  <w:tcBorders>
                    <w:tl2br w:val="nil"/>
                    <w:tr2bl w:val="nil"/>
                  </w:tcBorders>
                  <w:vAlign w:val="center"/>
                </w:tcPr>
                <w:p w14:paraId="29874C79">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生活垃圾</w:t>
                  </w:r>
                </w:p>
              </w:tc>
              <w:tc>
                <w:tcPr>
                  <w:tcW w:w="1053" w:type="pct"/>
                  <w:tcBorders>
                    <w:tl2br w:val="nil"/>
                    <w:tr2bl w:val="nil"/>
                  </w:tcBorders>
                  <w:vAlign w:val="center"/>
                </w:tcPr>
                <w:p w14:paraId="468D920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垃圾桶</w:t>
                  </w:r>
                </w:p>
              </w:tc>
              <w:tc>
                <w:tcPr>
                  <w:tcW w:w="589" w:type="pct"/>
                  <w:tcBorders>
                    <w:tl2br w:val="nil"/>
                    <w:tr2bl w:val="nil"/>
                  </w:tcBorders>
                  <w:vAlign w:val="center"/>
                </w:tcPr>
                <w:p w14:paraId="4027E8BD">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5个</w:t>
                  </w:r>
                </w:p>
              </w:tc>
              <w:tc>
                <w:tcPr>
                  <w:tcW w:w="908" w:type="pct"/>
                  <w:tcBorders>
                    <w:tl2br w:val="nil"/>
                    <w:tr2bl w:val="nil"/>
                  </w:tcBorders>
                  <w:vAlign w:val="center"/>
                </w:tcPr>
                <w:p w14:paraId="56187E7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0.1</w:t>
                  </w:r>
                </w:p>
              </w:tc>
            </w:tr>
            <w:tr w14:paraId="61EDE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331F88D5">
                  <w:pPr>
                    <w:adjustRightInd w:val="0"/>
                    <w:spacing w:line="240" w:lineRule="exact"/>
                    <w:jc w:val="center"/>
                    <w:textAlignment w:val="baseline"/>
                    <w:rPr>
                      <w:rFonts w:ascii="Times New Roman" w:hAnsi="Times New Roman" w:eastAsia="宋体" w:cs="Times New Roman"/>
                      <w:szCs w:val="21"/>
                    </w:rPr>
                  </w:pPr>
                </w:p>
              </w:tc>
              <w:tc>
                <w:tcPr>
                  <w:tcW w:w="481" w:type="pct"/>
                  <w:vMerge w:val="continue"/>
                  <w:tcBorders>
                    <w:tl2br w:val="nil"/>
                    <w:tr2bl w:val="nil"/>
                  </w:tcBorders>
                  <w:vAlign w:val="center"/>
                </w:tcPr>
                <w:p w14:paraId="5BD12D11">
                  <w:pPr>
                    <w:adjustRightInd w:val="0"/>
                    <w:spacing w:line="240" w:lineRule="exact"/>
                    <w:jc w:val="center"/>
                    <w:textAlignment w:val="baseline"/>
                    <w:rPr>
                      <w:rFonts w:ascii="Times New Roman" w:hAnsi="Times New Roman" w:eastAsia="宋体" w:cs="Times New Roman"/>
                      <w:szCs w:val="21"/>
                    </w:rPr>
                  </w:pPr>
                </w:p>
              </w:tc>
              <w:tc>
                <w:tcPr>
                  <w:tcW w:w="1348" w:type="pct"/>
                  <w:gridSpan w:val="2"/>
                  <w:tcBorders>
                    <w:tl2br w:val="nil"/>
                    <w:tr2bl w:val="nil"/>
                  </w:tcBorders>
                  <w:vAlign w:val="center"/>
                </w:tcPr>
                <w:p w14:paraId="02BACF4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固废处置、清运</w:t>
                  </w:r>
                </w:p>
              </w:tc>
              <w:tc>
                <w:tcPr>
                  <w:tcW w:w="1053" w:type="pct"/>
                  <w:tcBorders>
                    <w:tl2br w:val="nil"/>
                    <w:tr2bl w:val="nil"/>
                  </w:tcBorders>
                  <w:vAlign w:val="center"/>
                </w:tcPr>
                <w:p w14:paraId="53AE920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589" w:type="pct"/>
                  <w:tcBorders>
                    <w:tl2br w:val="nil"/>
                    <w:tr2bl w:val="nil"/>
                  </w:tcBorders>
                  <w:vAlign w:val="center"/>
                </w:tcPr>
                <w:p w14:paraId="6B263D4A">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908" w:type="pct"/>
                  <w:tcBorders>
                    <w:tl2br w:val="nil"/>
                    <w:tr2bl w:val="nil"/>
                  </w:tcBorders>
                  <w:vAlign w:val="center"/>
                </w:tcPr>
                <w:p w14:paraId="350A29A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1.0</w:t>
                  </w:r>
                </w:p>
              </w:tc>
            </w:tr>
            <w:tr w14:paraId="468B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19" w:type="pct"/>
                  <w:vMerge w:val="continue"/>
                  <w:tcBorders>
                    <w:tl2br w:val="nil"/>
                    <w:tr2bl w:val="nil"/>
                  </w:tcBorders>
                  <w:vAlign w:val="center"/>
                </w:tcPr>
                <w:p w14:paraId="7E5D6ED6">
                  <w:pPr>
                    <w:adjustRightInd w:val="0"/>
                    <w:spacing w:line="240" w:lineRule="exact"/>
                    <w:jc w:val="center"/>
                    <w:textAlignment w:val="baseline"/>
                    <w:rPr>
                      <w:rFonts w:ascii="Times New Roman" w:hAnsi="Times New Roman" w:eastAsia="宋体" w:cs="Times New Roman"/>
                      <w:szCs w:val="21"/>
                    </w:rPr>
                  </w:pPr>
                </w:p>
              </w:tc>
              <w:tc>
                <w:tcPr>
                  <w:tcW w:w="481" w:type="pct"/>
                  <w:tcBorders>
                    <w:tl2br w:val="nil"/>
                    <w:tr2bl w:val="nil"/>
                  </w:tcBorders>
                  <w:vAlign w:val="center"/>
                </w:tcPr>
                <w:p w14:paraId="6171FF6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其他</w:t>
                  </w:r>
                </w:p>
              </w:tc>
              <w:tc>
                <w:tcPr>
                  <w:tcW w:w="2402" w:type="pct"/>
                  <w:gridSpan w:val="3"/>
                  <w:tcBorders>
                    <w:tl2br w:val="nil"/>
                    <w:tr2bl w:val="nil"/>
                  </w:tcBorders>
                  <w:vAlign w:val="center"/>
                </w:tcPr>
                <w:p w14:paraId="6D5FEF67">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源头控制、分区防渗；应急物资、突发环境事件应急预案；防渗事故收集池（50m</w:t>
                  </w:r>
                  <w:r>
                    <w:rPr>
                      <w:rFonts w:hint="eastAsia" w:ascii="Times New Roman" w:hAnsi="Times New Roman" w:eastAsia="宋体" w:cs="Times New Roman"/>
                      <w:szCs w:val="21"/>
                      <w:vertAlign w:val="superscript"/>
                    </w:rPr>
                    <w:t>3</w:t>
                  </w:r>
                  <w:r>
                    <w:rPr>
                      <w:rFonts w:hint="eastAsia" w:ascii="Times New Roman" w:hAnsi="Times New Roman" w:eastAsia="宋体" w:cs="Times New Roman"/>
                      <w:szCs w:val="21"/>
                    </w:rPr>
                    <w:t>）</w:t>
                  </w:r>
                  <w:r>
                    <w:rPr>
                      <w:rFonts w:hint="eastAsia" w:ascii="Times New Roman" w:hAnsi="Times New Roman" w:eastAsia="宋体" w:cs="Times New Roman"/>
                      <w:szCs w:val="21"/>
                      <w:lang w:eastAsia="zh-CN"/>
                    </w:rPr>
                    <w:t>、</w:t>
                  </w:r>
                  <w:r>
                    <w:rPr>
                      <w:rFonts w:hint="eastAsia" w:ascii="Times New Roman" w:hAnsi="Times New Roman" w:eastAsia="宋体" w:cs="Times New Roman"/>
                      <w:color w:val="1331F5"/>
                      <w:szCs w:val="21"/>
                      <w:lang w:eastAsia="zh-CN"/>
                    </w:rPr>
                    <w:t>非燃烧材料的防火堤围堰，围堰高度1m</w:t>
                  </w:r>
                  <w:r>
                    <w:rPr>
                      <w:rFonts w:hint="eastAsia" w:ascii="Times New Roman" w:hAnsi="Times New Roman" w:eastAsia="宋体" w:cs="Times New Roman"/>
                      <w:color w:val="1331F5"/>
                      <w:szCs w:val="21"/>
                    </w:rPr>
                    <w:t>；</w:t>
                  </w:r>
                  <w:r>
                    <w:rPr>
                      <w:rFonts w:hint="eastAsia" w:ascii="Times New Roman" w:hAnsi="Times New Roman" w:eastAsia="宋体" w:cs="Times New Roman"/>
                      <w:szCs w:val="21"/>
                    </w:rPr>
                    <w:t>排污口规范化；环境管理台账；</w:t>
                  </w:r>
                </w:p>
              </w:tc>
              <w:tc>
                <w:tcPr>
                  <w:tcW w:w="589" w:type="pct"/>
                  <w:tcBorders>
                    <w:tl2br w:val="nil"/>
                    <w:tr2bl w:val="nil"/>
                  </w:tcBorders>
                  <w:vAlign w:val="center"/>
                </w:tcPr>
                <w:p w14:paraId="14702C38">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c>
                <w:tcPr>
                  <w:tcW w:w="908" w:type="pct"/>
                  <w:tcBorders>
                    <w:tl2br w:val="nil"/>
                    <w:tr2bl w:val="nil"/>
                  </w:tcBorders>
                  <w:vAlign w:val="center"/>
                </w:tcPr>
                <w:p w14:paraId="2E5D261A">
                  <w:pPr>
                    <w:adjustRightInd w:val="0"/>
                    <w:spacing w:line="240" w:lineRule="exact"/>
                    <w:jc w:val="center"/>
                    <w:textAlignment w:val="baseline"/>
                    <w:rPr>
                      <w:rFonts w:hint="default" w:ascii="Times New Roman" w:hAnsi="Times New Roman" w:eastAsia="宋体" w:cs="Times New Roman"/>
                      <w:szCs w:val="21"/>
                      <w:lang w:val="en-US" w:eastAsia="zh-CN"/>
                    </w:rPr>
                  </w:pPr>
                  <w:r>
                    <w:rPr>
                      <w:rFonts w:hint="eastAsia" w:ascii="Times New Roman" w:hAnsi="Times New Roman" w:eastAsia="宋体" w:cs="Times New Roman"/>
                      <w:color w:val="1331F5"/>
                      <w:szCs w:val="21"/>
                      <w:lang w:val="en-US" w:eastAsia="zh-CN"/>
                    </w:rPr>
                    <w:t>6.3</w:t>
                  </w:r>
                </w:p>
              </w:tc>
            </w:tr>
            <w:tr w14:paraId="7049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502" w:type="pct"/>
                  <w:gridSpan w:val="5"/>
                  <w:tcBorders>
                    <w:tl2br w:val="nil"/>
                    <w:tr2bl w:val="nil"/>
                  </w:tcBorders>
                  <w:vAlign w:val="center"/>
                </w:tcPr>
                <w:p w14:paraId="73561413">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总计</w:t>
                  </w:r>
                </w:p>
              </w:tc>
              <w:tc>
                <w:tcPr>
                  <w:tcW w:w="589" w:type="pct"/>
                  <w:tcBorders>
                    <w:tl2br w:val="nil"/>
                    <w:tr2bl w:val="nil"/>
                  </w:tcBorders>
                  <w:vAlign w:val="center"/>
                </w:tcPr>
                <w:p w14:paraId="484D202D">
                  <w:pPr>
                    <w:adjustRightInd w:val="0"/>
                    <w:spacing w:line="240" w:lineRule="exact"/>
                    <w:jc w:val="center"/>
                    <w:textAlignment w:val="baseline"/>
                    <w:rPr>
                      <w:rFonts w:ascii="Times New Roman" w:hAnsi="Times New Roman" w:eastAsia="宋体" w:cs="Times New Roman"/>
                      <w:b/>
                      <w:bCs/>
                      <w:szCs w:val="21"/>
                    </w:rPr>
                  </w:pPr>
                  <w:r>
                    <w:rPr>
                      <w:rFonts w:hint="eastAsia" w:ascii="Times New Roman" w:hAnsi="Times New Roman" w:eastAsia="宋体" w:cs="Times New Roman"/>
                      <w:b/>
                      <w:bCs/>
                      <w:szCs w:val="21"/>
                    </w:rPr>
                    <w:t>/</w:t>
                  </w:r>
                </w:p>
              </w:tc>
              <w:tc>
                <w:tcPr>
                  <w:tcW w:w="908" w:type="pct"/>
                  <w:tcBorders>
                    <w:tl2br w:val="nil"/>
                    <w:tr2bl w:val="nil"/>
                  </w:tcBorders>
                  <w:vAlign w:val="center"/>
                </w:tcPr>
                <w:p w14:paraId="51D8412D">
                  <w:pPr>
                    <w:adjustRightInd w:val="0"/>
                    <w:spacing w:line="240" w:lineRule="exact"/>
                    <w:jc w:val="center"/>
                    <w:textAlignment w:val="baseline"/>
                    <w:rPr>
                      <w:rFonts w:hint="default" w:ascii="Times New Roman" w:hAnsi="Times New Roman" w:eastAsia="宋体" w:cs="Times New Roman"/>
                      <w:b/>
                      <w:bCs/>
                      <w:szCs w:val="21"/>
                      <w:lang w:val="en-US" w:eastAsia="zh-CN"/>
                    </w:rPr>
                  </w:pPr>
                  <w:r>
                    <w:rPr>
                      <w:rFonts w:hint="eastAsia" w:ascii="Times New Roman" w:hAnsi="Times New Roman" w:eastAsia="宋体" w:cs="Times New Roman"/>
                      <w:b/>
                      <w:bCs/>
                      <w:color w:val="1331F5"/>
                      <w:szCs w:val="21"/>
                      <w:lang w:val="en-US" w:eastAsia="zh-CN"/>
                    </w:rPr>
                    <w:t>100</w:t>
                  </w:r>
                </w:p>
              </w:tc>
            </w:tr>
          </w:tbl>
          <w:p w14:paraId="46E5BD71">
            <w:pPr>
              <w:pStyle w:val="113"/>
              <w:spacing w:line="500" w:lineRule="exact"/>
              <w:ind w:firstLine="0"/>
              <w:rPr>
                <w:rFonts w:ascii="Times New Roman" w:hAnsi="Times New Roman" w:eastAsia="仿宋" w:cs="Times New Roman"/>
                <w:sz w:val="24"/>
              </w:rPr>
            </w:pPr>
          </w:p>
        </w:tc>
      </w:tr>
    </w:tbl>
    <w:p w14:paraId="29DD520A">
      <w:pPr>
        <w:sectPr>
          <w:footerReference r:id="rId6" w:type="default"/>
          <w:pgSz w:w="11915" w:h="16840"/>
          <w:pgMar w:top="1440" w:right="1797" w:bottom="1440" w:left="1797" w:header="851" w:footer="1701" w:gutter="0"/>
          <w:pgNumType w:fmt="decimal"/>
          <w:cols w:space="425" w:num="1"/>
          <w:docGrid w:type="lines" w:linePitch="312" w:charSpace="0"/>
        </w:sectPr>
      </w:pPr>
    </w:p>
    <w:p w14:paraId="2AA1001B">
      <w:pPr>
        <w:pStyle w:val="25"/>
        <w:spacing w:beforeAutospacing="0" w:afterAutospacing="0"/>
        <w:ind w:firstLine="600"/>
        <w:jc w:val="center"/>
        <w:outlineLvl w:val="0"/>
        <w:rPr>
          <w:rFonts w:hint="default" w:ascii="黑体" w:eastAsia="黑体" w:cs="黑体"/>
          <w:sz w:val="30"/>
          <w:szCs w:val="30"/>
        </w:rPr>
      </w:pPr>
      <w:r>
        <w:rPr>
          <w:rFonts w:ascii="黑体" w:eastAsia="黑体" w:cs="黑体"/>
          <w:snapToGrid w:val="0"/>
          <w:sz w:val="30"/>
          <w:szCs w:val="30"/>
        </w:rPr>
        <w:t>五、</w:t>
      </w:r>
      <w:bookmarkStart w:id="47" w:name="_Hlk54167917"/>
      <w:r>
        <w:rPr>
          <w:rFonts w:ascii="黑体" w:eastAsia="黑体" w:cs="黑体"/>
          <w:snapToGrid w:val="0"/>
          <w:sz w:val="30"/>
          <w:szCs w:val="30"/>
        </w:rPr>
        <w:t>环境保护措施监督检查清单</w:t>
      </w:r>
      <w:bookmarkEnd w:id="47"/>
    </w:p>
    <w:tbl>
      <w:tblPr>
        <w:tblStyle w:val="28"/>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528"/>
        <w:gridCol w:w="1322"/>
        <w:gridCol w:w="3256"/>
        <w:gridCol w:w="1571"/>
      </w:tblGrid>
      <w:tr w14:paraId="673AE4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496" w:type="pct"/>
            <w:tcBorders>
              <w:top w:val="single" w:color="auto" w:sz="8" w:space="0"/>
              <w:left w:val="single" w:color="auto" w:sz="8" w:space="0"/>
              <w:bottom w:val="single" w:color="auto" w:sz="4" w:space="0"/>
              <w:right w:val="single" w:color="auto" w:sz="4" w:space="0"/>
              <w:tl2br w:val="single" w:color="auto" w:sz="4" w:space="0"/>
            </w:tcBorders>
          </w:tcPr>
          <w:p w14:paraId="7D8DE7AB">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 xml:space="preserve">  内容</w:t>
            </w:r>
          </w:p>
          <w:p w14:paraId="47FD7F7C">
            <w:pPr>
              <w:adjustRightInd w:val="0"/>
              <w:spacing w:line="240" w:lineRule="exact"/>
              <w:textAlignment w:val="baseline"/>
              <w:rPr>
                <w:rFonts w:ascii="Times New Roman" w:hAnsi="Times New Roman" w:eastAsia="宋体" w:cs="Times New Roman"/>
                <w:color w:val="000000" w:themeColor="text1"/>
                <w:szCs w:val="21"/>
                <w14:textFill>
                  <w14:solidFill>
                    <w14:schemeClr w14:val="tx1"/>
                  </w14:solidFill>
                </w14:textFill>
              </w:rPr>
            </w:pPr>
          </w:p>
          <w:p w14:paraId="63109555">
            <w:pPr>
              <w:adjustRightInd w:val="0"/>
              <w:spacing w:line="240" w:lineRule="exact"/>
              <w:textAlignment w:val="baseline"/>
              <w:rPr>
                <w:rFonts w:ascii="Times New Roman" w:hAnsi="Times New Roman" w:eastAsia="宋体" w:cs="Times New Roman"/>
                <w:color w:val="000000" w:themeColor="text1"/>
                <w:szCs w:val="21"/>
                <w14:textFill>
                  <w14:solidFill>
                    <w14:schemeClr w14:val="tx1"/>
                  </w14:solidFill>
                </w14:textFill>
              </w:rPr>
            </w:pPr>
          </w:p>
          <w:p w14:paraId="0E3DBD31">
            <w:pPr>
              <w:adjustRightInd w:val="0"/>
              <w:spacing w:line="240" w:lineRule="exact"/>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要素</w:t>
            </w:r>
          </w:p>
        </w:tc>
        <w:tc>
          <w:tcPr>
            <w:tcW w:w="896" w:type="pct"/>
            <w:tcBorders>
              <w:top w:val="single" w:color="auto" w:sz="8" w:space="0"/>
              <w:left w:val="single" w:color="auto" w:sz="4" w:space="0"/>
              <w:bottom w:val="single" w:color="auto" w:sz="4" w:space="0"/>
              <w:right w:val="single" w:color="auto" w:sz="4" w:space="0"/>
            </w:tcBorders>
            <w:vAlign w:val="center"/>
          </w:tcPr>
          <w:p w14:paraId="718FB612">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排放口（编号、名称）/污染源</w:t>
            </w:r>
          </w:p>
        </w:tc>
        <w:tc>
          <w:tcPr>
            <w:tcW w:w="775" w:type="pct"/>
            <w:tcBorders>
              <w:top w:val="single" w:color="auto" w:sz="8" w:space="0"/>
              <w:left w:val="single" w:color="auto" w:sz="4" w:space="0"/>
              <w:bottom w:val="single" w:color="auto" w:sz="4" w:space="0"/>
              <w:right w:val="single" w:color="auto" w:sz="4" w:space="0"/>
            </w:tcBorders>
            <w:vAlign w:val="center"/>
          </w:tcPr>
          <w:p w14:paraId="3148D65D">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污染物</w:t>
            </w:r>
          </w:p>
          <w:p w14:paraId="52547125">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项目</w:t>
            </w:r>
          </w:p>
        </w:tc>
        <w:tc>
          <w:tcPr>
            <w:tcW w:w="1910" w:type="pct"/>
            <w:tcBorders>
              <w:top w:val="single" w:color="auto" w:sz="8" w:space="0"/>
              <w:left w:val="single" w:color="auto" w:sz="4" w:space="0"/>
              <w:bottom w:val="single" w:color="auto" w:sz="4" w:space="0"/>
              <w:right w:val="single" w:color="auto" w:sz="4" w:space="0"/>
            </w:tcBorders>
            <w:vAlign w:val="center"/>
          </w:tcPr>
          <w:p w14:paraId="0C857D99">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环境保护措施</w:t>
            </w:r>
          </w:p>
        </w:tc>
        <w:tc>
          <w:tcPr>
            <w:tcW w:w="921" w:type="pct"/>
            <w:tcBorders>
              <w:top w:val="single" w:color="auto" w:sz="8" w:space="0"/>
              <w:left w:val="single" w:color="auto" w:sz="4" w:space="0"/>
              <w:bottom w:val="single" w:color="auto" w:sz="4" w:space="0"/>
              <w:right w:val="single" w:color="auto" w:sz="8" w:space="0"/>
            </w:tcBorders>
            <w:vAlign w:val="center"/>
          </w:tcPr>
          <w:p w14:paraId="7830124C">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执行标准</w:t>
            </w:r>
          </w:p>
        </w:tc>
      </w:tr>
      <w:tr w14:paraId="54DF7D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496" w:type="pct"/>
            <w:vMerge w:val="restart"/>
            <w:tcBorders>
              <w:top w:val="single" w:color="auto" w:sz="4" w:space="0"/>
              <w:left w:val="single" w:color="auto" w:sz="8" w:space="0"/>
              <w:right w:val="single" w:color="auto" w:sz="4" w:space="0"/>
            </w:tcBorders>
            <w:vAlign w:val="center"/>
          </w:tcPr>
          <w:p w14:paraId="596C059F">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大气</w:t>
            </w:r>
          </w:p>
          <w:p w14:paraId="20209C33">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环境</w:t>
            </w:r>
          </w:p>
        </w:tc>
        <w:tc>
          <w:tcPr>
            <w:tcW w:w="896" w:type="pct"/>
            <w:tcBorders>
              <w:top w:val="single" w:color="auto" w:sz="4" w:space="0"/>
              <w:left w:val="single" w:color="auto" w:sz="4" w:space="0"/>
              <w:right w:val="single" w:color="auto" w:sz="4" w:space="0"/>
            </w:tcBorders>
            <w:vAlign w:val="center"/>
          </w:tcPr>
          <w:p w14:paraId="1E151889">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道路运输扬尘</w:t>
            </w:r>
          </w:p>
        </w:tc>
        <w:tc>
          <w:tcPr>
            <w:tcW w:w="775" w:type="pct"/>
            <w:tcBorders>
              <w:top w:val="single" w:color="auto" w:sz="4" w:space="0"/>
              <w:left w:val="single" w:color="auto" w:sz="4" w:space="0"/>
              <w:right w:val="single" w:color="auto" w:sz="4" w:space="0"/>
            </w:tcBorders>
            <w:vAlign w:val="center"/>
          </w:tcPr>
          <w:p w14:paraId="2A5B089A">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910" w:type="pct"/>
            <w:tcBorders>
              <w:top w:val="single" w:color="auto" w:sz="4" w:space="0"/>
              <w:left w:val="single" w:color="auto" w:sz="4" w:space="0"/>
              <w:bottom w:val="single" w:color="auto" w:sz="4" w:space="0"/>
              <w:right w:val="single" w:color="auto" w:sz="4" w:space="0"/>
            </w:tcBorders>
            <w:vAlign w:val="center"/>
          </w:tcPr>
          <w:p w14:paraId="0165C4B4">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①所有运输车辆进、出厂均要求苫盖严密，减速限速、禁止超载；②厂内运输道路已硬化，采用洒水车对厂区及连接道路进行定期洒水，保持路面湿润，从源头抑制扬尘产生；③厂区进出口设置洗车平台，对进出运输车辆轮胎进行冲洗。</w:t>
            </w:r>
          </w:p>
        </w:tc>
        <w:tc>
          <w:tcPr>
            <w:tcW w:w="921" w:type="pct"/>
            <w:vMerge w:val="restart"/>
            <w:tcBorders>
              <w:top w:val="single" w:color="auto" w:sz="4" w:space="0"/>
              <w:left w:val="single" w:color="auto" w:sz="4" w:space="0"/>
              <w:right w:val="single" w:color="auto" w:sz="8" w:space="0"/>
            </w:tcBorders>
            <w:vAlign w:val="center"/>
          </w:tcPr>
          <w:p w14:paraId="3837EF2E">
            <w:pPr>
              <w:wordWrap w:val="0"/>
              <w:topLinePunct/>
              <w:adjustRightInd w:val="0"/>
              <w:spacing w:line="24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《大气污染物综合排放标准》(GB16297-1996)中表2新污染源大气污染物排放限值-无组织排放监控浓度限值</w:t>
            </w:r>
          </w:p>
        </w:tc>
      </w:tr>
      <w:tr w14:paraId="77BA22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496" w:type="pct"/>
            <w:vMerge w:val="continue"/>
            <w:tcBorders>
              <w:left w:val="single" w:color="auto" w:sz="8" w:space="0"/>
              <w:right w:val="single" w:color="auto" w:sz="4" w:space="0"/>
            </w:tcBorders>
            <w:vAlign w:val="center"/>
          </w:tcPr>
          <w:p w14:paraId="1CE30DC3">
            <w:pPr>
              <w:adjustRightInd w:val="0"/>
              <w:spacing w:line="240" w:lineRule="exact"/>
              <w:jc w:val="center"/>
              <w:textAlignment w:val="baseline"/>
              <w:rPr>
                <w:rFonts w:ascii="Times New Roman" w:hAnsi="Times New Roman" w:eastAsia="宋体" w:cs="Times New Roman"/>
                <w:color w:val="FF0000"/>
                <w:szCs w:val="21"/>
              </w:rPr>
            </w:pPr>
          </w:p>
        </w:tc>
        <w:tc>
          <w:tcPr>
            <w:tcW w:w="896" w:type="pct"/>
            <w:tcBorders>
              <w:top w:val="single" w:color="auto" w:sz="4" w:space="0"/>
              <w:left w:val="single" w:color="auto" w:sz="4" w:space="0"/>
              <w:bottom w:val="single" w:color="auto" w:sz="4" w:space="0"/>
              <w:right w:val="single" w:color="auto" w:sz="4" w:space="0"/>
            </w:tcBorders>
            <w:vAlign w:val="center"/>
          </w:tcPr>
          <w:p w14:paraId="4D93B2E1">
            <w:pPr>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原料堆棚物料堆存</w:t>
            </w:r>
          </w:p>
        </w:tc>
        <w:tc>
          <w:tcPr>
            <w:tcW w:w="775" w:type="pct"/>
            <w:tcBorders>
              <w:left w:val="single" w:color="auto" w:sz="4" w:space="0"/>
              <w:bottom w:val="single" w:color="auto" w:sz="4" w:space="0"/>
              <w:right w:val="single" w:color="auto" w:sz="4" w:space="0"/>
            </w:tcBorders>
            <w:vAlign w:val="center"/>
          </w:tcPr>
          <w:p w14:paraId="36422EB1">
            <w:pPr>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910" w:type="pct"/>
            <w:tcBorders>
              <w:top w:val="single" w:color="auto" w:sz="4" w:space="0"/>
              <w:left w:val="single" w:color="auto" w:sz="4" w:space="0"/>
              <w:bottom w:val="single" w:color="auto" w:sz="4" w:space="0"/>
              <w:right w:val="single" w:color="auto" w:sz="4" w:space="0"/>
            </w:tcBorders>
            <w:vAlign w:val="center"/>
          </w:tcPr>
          <w:p w14:paraId="240604AF">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000000"/>
                <w:kern w:val="2"/>
                <w:sz w:val="21"/>
                <w:szCs w:val="21"/>
                <w:lang w:val="en-US" w:eastAsia="zh-CN" w:bidi="ar-SA"/>
              </w:rPr>
              <w:t>①建设半封闭式原料堆棚（三面围挡，仅装卸一侧敞开）；</w:t>
            </w:r>
            <w:r>
              <w:rPr>
                <w:rFonts w:hint="eastAsia" w:ascii="Times New Roman" w:hAnsi="Times New Roman" w:eastAsia="宋体" w:cs="Times New Roman"/>
                <w:color w:val="1331F5"/>
                <w:kern w:val="2"/>
                <w:sz w:val="21"/>
                <w:szCs w:val="21"/>
                <w:lang w:val="en-US" w:eastAsia="zh-CN" w:bidi="ar-SA"/>
              </w:rPr>
              <w:t>②对易起尘物料（细物料）采用篷布</w:t>
            </w:r>
            <w:r>
              <w:rPr>
                <w:rFonts w:hint="default" w:ascii="Times New Roman" w:hAnsi="Times New Roman" w:eastAsia="宋体" w:cs="Times New Roman"/>
                <w:color w:val="1331F5"/>
                <w:kern w:val="2"/>
                <w:sz w:val="21"/>
                <w:szCs w:val="21"/>
                <w:lang w:val="en-US" w:eastAsia="zh-CN" w:bidi="ar-SA"/>
              </w:rPr>
              <w:t>/</w:t>
            </w:r>
            <w:r>
              <w:rPr>
                <w:rFonts w:hint="eastAsia" w:ascii="Times New Roman" w:hAnsi="Times New Roman" w:eastAsia="宋体" w:cs="Times New Roman"/>
                <w:color w:val="1331F5"/>
                <w:kern w:val="2"/>
                <w:sz w:val="21"/>
                <w:szCs w:val="21"/>
                <w:lang w:val="en-US" w:eastAsia="zh-CN" w:bidi="ar-SA"/>
              </w:rPr>
              <w:t>编织苫盖；</w:t>
            </w:r>
            <w:r>
              <w:rPr>
                <w:rFonts w:hint="eastAsia" w:ascii="Times New Roman" w:hAnsi="Times New Roman" w:eastAsia="宋体" w:cs="Times New Roman"/>
                <w:color w:val="000000"/>
                <w:kern w:val="2"/>
                <w:sz w:val="21"/>
                <w:szCs w:val="21"/>
                <w:lang w:val="en-US" w:eastAsia="zh-CN" w:bidi="ar-SA"/>
              </w:rPr>
              <w:t>原料堆棚配置移动式喷淋雾炮1套，辅以洒水车洒水降尘，保持堆棚表面湿润；③加强堆场日常管理，合理安排作业时序，大风天气增加洒水频次或暂停作业。</w:t>
            </w:r>
          </w:p>
        </w:tc>
        <w:tc>
          <w:tcPr>
            <w:tcW w:w="921" w:type="pct"/>
            <w:vMerge w:val="continue"/>
            <w:tcBorders>
              <w:left w:val="single" w:color="auto" w:sz="4" w:space="0"/>
              <w:right w:val="single" w:color="auto" w:sz="8" w:space="0"/>
            </w:tcBorders>
            <w:vAlign w:val="center"/>
          </w:tcPr>
          <w:p w14:paraId="15EE72E3">
            <w:pPr>
              <w:wordWrap w:val="0"/>
              <w:topLinePunct/>
              <w:adjustRightInd w:val="0"/>
              <w:spacing w:line="240" w:lineRule="exact"/>
              <w:jc w:val="center"/>
              <w:textAlignment w:val="baseline"/>
              <w:rPr>
                <w:rFonts w:ascii="Times New Roman" w:hAnsi="Times New Roman" w:eastAsia="宋体" w:cs="Times New Roman"/>
                <w:szCs w:val="21"/>
              </w:rPr>
            </w:pPr>
          </w:p>
        </w:tc>
      </w:tr>
      <w:tr w14:paraId="2127A1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96" w:type="pct"/>
            <w:vMerge w:val="continue"/>
            <w:tcBorders>
              <w:left w:val="single" w:color="auto" w:sz="8" w:space="0"/>
              <w:right w:val="single" w:color="auto" w:sz="4" w:space="0"/>
            </w:tcBorders>
            <w:vAlign w:val="center"/>
          </w:tcPr>
          <w:p w14:paraId="3ACECB0F">
            <w:pPr>
              <w:adjustRightInd w:val="0"/>
              <w:spacing w:line="240" w:lineRule="exact"/>
              <w:jc w:val="center"/>
              <w:textAlignment w:val="baseline"/>
              <w:rPr>
                <w:rFonts w:ascii="Times New Roman" w:hAnsi="Times New Roman" w:eastAsia="宋体" w:cs="Times New Roman"/>
                <w:color w:val="FF0000"/>
                <w:szCs w:val="21"/>
              </w:rPr>
            </w:pPr>
          </w:p>
        </w:tc>
        <w:tc>
          <w:tcPr>
            <w:tcW w:w="896" w:type="pct"/>
            <w:tcBorders>
              <w:top w:val="single" w:color="auto" w:sz="4" w:space="0"/>
              <w:left w:val="single" w:color="auto" w:sz="4" w:space="0"/>
              <w:bottom w:val="single" w:color="auto" w:sz="4" w:space="0"/>
              <w:right w:val="single" w:color="auto" w:sz="4" w:space="0"/>
            </w:tcBorders>
            <w:vAlign w:val="center"/>
          </w:tcPr>
          <w:p w14:paraId="2A50D930">
            <w:pPr>
              <w:wordWrap w:val="0"/>
              <w:topLinePunct/>
              <w:jc w:val="center"/>
              <w:rPr>
                <w:rFonts w:ascii="Times New Roman" w:hAnsi="Times New Roman" w:eastAsia="宋体" w:cs="Times New Roman"/>
                <w:szCs w:val="21"/>
              </w:rPr>
            </w:pPr>
            <w:r>
              <w:rPr>
                <w:rFonts w:hint="eastAsia" w:ascii="Times New Roman" w:hAnsi="Times New Roman" w:eastAsia="宋体" w:cs="Times New Roman"/>
                <w:color w:val="000000"/>
                <w:szCs w:val="21"/>
              </w:rPr>
              <w:t>石料卸料</w:t>
            </w:r>
          </w:p>
        </w:tc>
        <w:tc>
          <w:tcPr>
            <w:tcW w:w="775" w:type="pct"/>
            <w:tcBorders>
              <w:left w:val="single" w:color="auto" w:sz="4" w:space="0"/>
              <w:bottom w:val="single" w:color="auto" w:sz="4" w:space="0"/>
              <w:right w:val="single" w:color="auto" w:sz="4" w:space="0"/>
            </w:tcBorders>
            <w:vAlign w:val="center"/>
          </w:tcPr>
          <w:p w14:paraId="7AA8DF00">
            <w:pPr>
              <w:wordWrap w:val="0"/>
              <w:topLinePunct/>
              <w:adjustRightInd w:val="0"/>
              <w:jc w:val="center"/>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910" w:type="pct"/>
            <w:tcBorders>
              <w:top w:val="single" w:color="auto" w:sz="4" w:space="0"/>
              <w:left w:val="single" w:color="auto" w:sz="4" w:space="0"/>
              <w:bottom w:val="single" w:color="auto" w:sz="4" w:space="0"/>
              <w:right w:val="single" w:color="auto" w:sz="4" w:space="0"/>
            </w:tcBorders>
            <w:vAlign w:val="center"/>
          </w:tcPr>
          <w:p w14:paraId="3B7FF7AA">
            <w:pPr>
              <w:wordWrap w:val="0"/>
              <w:topLinePunct/>
              <w:jc w:val="center"/>
              <w:rPr>
                <w:rFonts w:ascii="Times New Roman" w:hAnsi="Times New Roman" w:eastAsia="宋体" w:cs="Times New Roman"/>
                <w:szCs w:val="21"/>
              </w:rPr>
            </w:pPr>
            <w:r>
              <w:rPr>
                <w:rFonts w:hint="eastAsia" w:ascii="Times New Roman" w:hAnsi="Times New Roman" w:eastAsia="宋体" w:cs="Times New Roman"/>
                <w:color w:val="000000"/>
                <w:szCs w:val="21"/>
              </w:rPr>
              <w:t>采用移动式喷淋雾炮辅以洒水车针对作业面进行洒水降尘。</w:t>
            </w:r>
          </w:p>
        </w:tc>
        <w:tc>
          <w:tcPr>
            <w:tcW w:w="921" w:type="pct"/>
            <w:vMerge w:val="continue"/>
            <w:tcBorders>
              <w:left w:val="single" w:color="auto" w:sz="4" w:space="0"/>
              <w:right w:val="single" w:color="auto" w:sz="8" w:space="0"/>
            </w:tcBorders>
            <w:vAlign w:val="center"/>
          </w:tcPr>
          <w:p w14:paraId="374D078E">
            <w:pPr>
              <w:wordWrap w:val="0"/>
              <w:topLinePunct/>
              <w:adjustRightInd w:val="0"/>
              <w:spacing w:line="240" w:lineRule="exact"/>
              <w:jc w:val="center"/>
              <w:textAlignment w:val="baseline"/>
              <w:rPr>
                <w:rFonts w:ascii="Times New Roman" w:hAnsi="Times New Roman" w:eastAsia="宋体" w:cs="Times New Roman"/>
                <w:szCs w:val="21"/>
              </w:rPr>
            </w:pPr>
          </w:p>
        </w:tc>
      </w:tr>
      <w:tr w14:paraId="688218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496" w:type="pct"/>
            <w:vMerge w:val="continue"/>
            <w:tcBorders>
              <w:left w:val="single" w:color="auto" w:sz="8" w:space="0"/>
              <w:bottom w:val="single" w:color="auto" w:sz="4" w:space="0"/>
              <w:right w:val="single" w:color="auto" w:sz="4" w:space="0"/>
            </w:tcBorders>
            <w:vAlign w:val="center"/>
          </w:tcPr>
          <w:p w14:paraId="08681649">
            <w:pPr>
              <w:adjustRightInd w:val="0"/>
              <w:spacing w:line="240" w:lineRule="exact"/>
              <w:jc w:val="center"/>
              <w:textAlignment w:val="baseline"/>
              <w:rPr>
                <w:rFonts w:ascii="Times New Roman" w:hAnsi="Times New Roman" w:eastAsia="宋体" w:cs="Times New Roman"/>
                <w:color w:val="FF0000"/>
                <w:szCs w:val="21"/>
              </w:rPr>
            </w:pPr>
          </w:p>
        </w:tc>
        <w:tc>
          <w:tcPr>
            <w:tcW w:w="896" w:type="pct"/>
            <w:tcBorders>
              <w:top w:val="single" w:color="auto" w:sz="4" w:space="0"/>
              <w:left w:val="single" w:color="auto" w:sz="4" w:space="0"/>
              <w:bottom w:val="single" w:color="auto" w:sz="4" w:space="0"/>
              <w:right w:val="single" w:color="auto" w:sz="4" w:space="0"/>
            </w:tcBorders>
            <w:vAlign w:val="center"/>
          </w:tcPr>
          <w:p w14:paraId="1C2B9988">
            <w:pPr>
              <w:wordWrap w:val="0"/>
              <w:topLinePunct/>
              <w:jc w:val="center"/>
              <w:rPr>
                <w:rFonts w:ascii="Times New Roman" w:hAnsi="Times New Roman" w:eastAsia="宋体" w:cs="Times New Roman"/>
                <w:szCs w:val="21"/>
              </w:rPr>
            </w:pPr>
            <w:r>
              <w:rPr>
                <w:rFonts w:hint="eastAsia" w:ascii="Times New Roman" w:hAnsi="Times New Roman" w:eastAsia="宋体" w:cs="Times New Roman"/>
                <w:color w:val="000000"/>
                <w:szCs w:val="21"/>
              </w:rPr>
              <w:t>冷料上料</w:t>
            </w:r>
          </w:p>
        </w:tc>
        <w:tc>
          <w:tcPr>
            <w:tcW w:w="775" w:type="pct"/>
            <w:tcBorders>
              <w:left w:val="single" w:color="auto" w:sz="4" w:space="0"/>
              <w:bottom w:val="single" w:color="auto" w:sz="4" w:space="0"/>
              <w:right w:val="single" w:color="auto" w:sz="4" w:space="0"/>
            </w:tcBorders>
            <w:vAlign w:val="center"/>
          </w:tcPr>
          <w:p w14:paraId="4FADB3EC">
            <w:pPr>
              <w:wordWrap w:val="0"/>
              <w:topLinePunct/>
              <w:adjustRightInd w:val="0"/>
              <w:jc w:val="center"/>
              <w:rPr>
                <w:rFonts w:ascii="Times New Roman" w:hAnsi="Times New Roman" w:eastAsia="宋体" w:cs="Times New Roman"/>
                <w:szCs w:val="21"/>
              </w:rPr>
            </w:pPr>
            <w:r>
              <w:rPr>
                <w:rFonts w:hint="eastAsia" w:ascii="Times New Roman" w:hAnsi="Times New Roman" w:eastAsia="宋体" w:cs="Times New Roman"/>
                <w:szCs w:val="21"/>
              </w:rPr>
              <w:t>颗粒物</w:t>
            </w:r>
          </w:p>
        </w:tc>
        <w:tc>
          <w:tcPr>
            <w:tcW w:w="1910" w:type="pct"/>
            <w:tcBorders>
              <w:top w:val="single" w:color="auto" w:sz="4" w:space="0"/>
              <w:left w:val="single" w:color="auto" w:sz="4" w:space="0"/>
              <w:bottom w:val="single" w:color="auto" w:sz="4" w:space="0"/>
              <w:right w:val="single" w:color="auto" w:sz="4" w:space="0"/>
            </w:tcBorders>
            <w:vAlign w:val="center"/>
          </w:tcPr>
          <w:p w14:paraId="55DC4371">
            <w:pPr>
              <w:wordWrap w:val="0"/>
              <w:topLinePunct/>
              <w:jc w:val="center"/>
              <w:rPr>
                <w:rFonts w:ascii="Times New Roman" w:hAnsi="Times New Roman" w:eastAsia="宋体" w:cs="Times New Roman"/>
                <w:szCs w:val="21"/>
              </w:rPr>
            </w:pPr>
            <w:r>
              <w:rPr>
                <w:rFonts w:hint="eastAsia" w:ascii="Times New Roman" w:hAnsi="Times New Roman" w:eastAsia="宋体" w:cs="Times New Roman"/>
                <w:color w:val="000000"/>
                <w:szCs w:val="21"/>
              </w:rPr>
              <w:t>冷料仓设置半封闭围挡；设置喷淋装置喷淋降尘</w:t>
            </w:r>
          </w:p>
        </w:tc>
        <w:tc>
          <w:tcPr>
            <w:tcW w:w="921" w:type="pct"/>
            <w:vMerge w:val="continue"/>
            <w:tcBorders>
              <w:left w:val="single" w:color="auto" w:sz="4" w:space="0"/>
              <w:right w:val="single" w:color="auto" w:sz="8" w:space="0"/>
            </w:tcBorders>
            <w:vAlign w:val="center"/>
          </w:tcPr>
          <w:p w14:paraId="7E1436AA">
            <w:pPr>
              <w:wordWrap w:val="0"/>
              <w:topLinePunct/>
              <w:adjustRightInd w:val="0"/>
              <w:spacing w:line="240" w:lineRule="exact"/>
              <w:jc w:val="center"/>
              <w:textAlignment w:val="baseline"/>
              <w:rPr>
                <w:rFonts w:ascii="Times New Roman" w:hAnsi="Times New Roman" w:eastAsia="宋体" w:cs="Times New Roman"/>
                <w:szCs w:val="21"/>
              </w:rPr>
            </w:pPr>
          </w:p>
        </w:tc>
      </w:tr>
      <w:tr w14:paraId="10D805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496" w:type="pct"/>
            <w:vMerge w:val="continue"/>
            <w:tcBorders>
              <w:left w:val="single" w:color="auto" w:sz="8" w:space="0"/>
              <w:bottom w:val="single" w:color="auto" w:sz="4" w:space="0"/>
              <w:right w:val="single" w:color="auto" w:sz="4" w:space="0"/>
            </w:tcBorders>
            <w:vAlign w:val="center"/>
          </w:tcPr>
          <w:p w14:paraId="61E6A9CD">
            <w:pPr>
              <w:adjustRightInd w:val="0"/>
              <w:spacing w:line="240" w:lineRule="exact"/>
              <w:jc w:val="center"/>
              <w:textAlignment w:val="baseline"/>
              <w:rPr>
                <w:rFonts w:ascii="Times New Roman" w:hAnsi="Times New Roman" w:eastAsia="宋体" w:cs="Times New Roman"/>
                <w:color w:val="FF0000"/>
                <w:szCs w:val="21"/>
              </w:rPr>
            </w:pPr>
          </w:p>
        </w:tc>
        <w:tc>
          <w:tcPr>
            <w:tcW w:w="896" w:type="pct"/>
            <w:tcBorders>
              <w:top w:val="single" w:color="auto" w:sz="4" w:space="0"/>
              <w:left w:val="single" w:color="auto" w:sz="4" w:space="0"/>
              <w:bottom w:val="single" w:color="auto" w:sz="4" w:space="0"/>
              <w:right w:val="single" w:color="auto" w:sz="4" w:space="0"/>
            </w:tcBorders>
            <w:vAlign w:val="center"/>
          </w:tcPr>
          <w:p w14:paraId="690CF86F">
            <w:pPr>
              <w:wordWrap w:val="0"/>
              <w:topLinePunct/>
              <w:jc w:val="center"/>
              <w:rPr>
                <w:rFonts w:ascii="Times New Roman" w:hAnsi="Times New Roman" w:eastAsia="宋体" w:cs="Times New Roman"/>
                <w:szCs w:val="21"/>
              </w:rPr>
            </w:pPr>
            <w:r>
              <w:rPr>
                <w:rFonts w:hint="eastAsia" w:ascii="Times New Roman Bold" w:hAnsi="Times New Roman Bold" w:eastAsia="宋体" w:cs="Times New Roman Bold"/>
                <w:color w:val="000000"/>
                <w:szCs w:val="21"/>
              </w:rPr>
              <w:t>皮带运输</w:t>
            </w:r>
          </w:p>
        </w:tc>
        <w:tc>
          <w:tcPr>
            <w:tcW w:w="775" w:type="pct"/>
            <w:tcBorders>
              <w:left w:val="single" w:color="auto" w:sz="4" w:space="0"/>
              <w:bottom w:val="single" w:color="auto" w:sz="4" w:space="0"/>
              <w:right w:val="single" w:color="auto" w:sz="4" w:space="0"/>
            </w:tcBorders>
            <w:vAlign w:val="center"/>
          </w:tcPr>
          <w:p w14:paraId="31A3A7CC">
            <w:pPr>
              <w:wordWrap w:val="0"/>
              <w:topLinePunct/>
              <w:adjustRightInd w:val="0"/>
              <w:jc w:val="center"/>
              <w:rPr>
                <w:rFonts w:cs="Times New Roman"/>
                <w:szCs w:val="21"/>
              </w:rPr>
            </w:pPr>
            <w:r>
              <w:rPr>
                <w:rFonts w:hint="eastAsia" w:cs="Times New Roman"/>
                <w:szCs w:val="21"/>
              </w:rPr>
              <w:t>颗粒物</w:t>
            </w:r>
          </w:p>
        </w:tc>
        <w:tc>
          <w:tcPr>
            <w:tcW w:w="1910" w:type="pct"/>
            <w:tcBorders>
              <w:top w:val="single" w:color="auto" w:sz="4" w:space="0"/>
              <w:left w:val="single" w:color="auto" w:sz="4" w:space="0"/>
              <w:bottom w:val="single" w:color="auto" w:sz="4" w:space="0"/>
              <w:right w:val="single" w:color="auto" w:sz="4" w:space="0"/>
            </w:tcBorders>
            <w:vAlign w:val="center"/>
          </w:tcPr>
          <w:p w14:paraId="6E68FF0B">
            <w:pPr>
              <w:wordWrap w:val="0"/>
              <w:topLinePunct/>
              <w:jc w:val="center"/>
              <w:rPr>
                <w:rFonts w:ascii="Times New Roman" w:hAnsi="Times New Roman" w:eastAsia="宋体" w:cs="Times New Roman"/>
                <w:szCs w:val="21"/>
              </w:rPr>
            </w:pPr>
            <w:r>
              <w:rPr>
                <w:rFonts w:hint="eastAsia" w:ascii="Times New Roman Bold" w:hAnsi="Times New Roman Bold" w:eastAsia="宋体" w:cs="Times New Roman Bold"/>
                <w:color w:val="000000"/>
                <w:szCs w:val="21"/>
              </w:rPr>
              <w:t>封闭皮带廊道</w:t>
            </w:r>
          </w:p>
        </w:tc>
        <w:tc>
          <w:tcPr>
            <w:tcW w:w="921" w:type="pct"/>
            <w:vMerge w:val="continue"/>
            <w:tcBorders>
              <w:left w:val="single" w:color="auto" w:sz="4" w:space="0"/>
              <w:right w:val="single" w:color="auto" w:sz="8" w:space="0"/>
            </w:tcBorders>
            <w:vAlign w:val="center"/>
          </w:tcPr>
          <w:p w14:paraId="4D0D4334">
            <w:pPr>
              <w:wordWrap w:val="0"/>
              <w:topLinePunct/>
              <w:adjustRightInd w:val="0"/>
              <w:spacing w:line="240" w:lineRule="exact"/>
              <w:jc w:val="center"/>
              <w:textAlignment w:val="baseline"/>
              <w:rPr>
                <w:rFonts w:ascii="Times New Roman" w:hAnsi="Times New Roman" w:eastAsia="宋体" w:cs="Times New Roman"/>
                <w:szCs w:val="21"/>
                <w:lang w:eastAsia="en-US"/>
              </w:rPr>
            </w:pPr>
          </w:p>
        </w:tc>
      </w:tr>
      <w:tr w14:paraId="104CA1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496" w:type="pct"/>
            <w:vMerge w:val="continue"/>
            <w:tcBorders>
              <w:left w:val="single" w:color="auto" w:sz="8" w:space="0"/>
              <w:bottom w:val="single" w:color="auto" w:sz="4" w:space="0"/>
              <w:right w:val="single" w:color="auto" w:sz="4" w:space="0"/>
            </w:tcBorders>
            <w:vAlign w:val="center"/>
          </w:tcPr>
          <w:p w14:paraId="4A5C7589">
            <w:pPr>
              <w:adjustRightInd w:val="0"/>
              <w:spacing w:line="240" w:lineRule="exact"/>
              <w:jc w:val="center"/>
              <w:textAlignment w:val="baseline"/>
              <w:rPr>
                <w:rFonts w:ascii="Times New Roman" w:hAnsi="Times New Roman" w:eastAsia="宋体" w:cs="Times New Roman"/>
                <w:color w:val="FF0000"/>
                <w:szCs w:val="21"/>
              </w:rPr>
            </w:pPr>
          </w:p>
        </w:tc>
        <w:tc>
          <w:tcPr>
            <w:tcW w:w="896" w:type="pct"/>
            <w:tcBorders>
              <w:top w:val="single" w:color="auto" w:sz="4" w:space="0"/>
              <w:left w:val="single" w:color="auto" w:sz="4" w:space="0"/>
              <w:bottom w:val="single" w:color="000000" w:sz="4" w:space="0"/>
              <w:right w:val="single" w:color="auto" w:sz="4" w:space="0"/>
            </w:tcBorders>
            <w:vAlign w:val="center"/>
          </w:tcPr>
          <w:p w14:paraId="5815DB44">
            <w:pPr>
              <w:wordWrap w:val="0"/>
              <w:topLinePunct/>
              <w:jc w:val="center"/>
              <w:rPr>
                <w:rFonts w:ascii="Times New Roman" w:hAnsi="Times New Roman" w:eastAsia="宋体" w:cs="Times New Roman"/>
                <w:szCs w:val="21"/>
              </w:rPr>
            </w:pPr>
            <w:r>
              <w:rPr>
                <w:rFonts w:hint="eastAsia" w:ascii="Times New Roman Bold" w:hAnsi="Times New Roman Bold" w:eastAsia="宋体" w:cs="Times New Roman Bold"/>
                <w:szCs w:val="21"/>
              </w:rPr>
              <w:t>矿粉立仓粉尘</w:t>
            </w:r>
          </w:p>
        </w:tc>
        <w:tc>
          <w:tcPr>
            <w:tcW w:w="775" w:type="pct"/>
            <w:tcBorders>
              <w:left w:val="single" w:color="auto" w:sz="4" w:space="0"/>
              <w:bottom w:val="single" w:color="000000" w:sz="4" w:space="0"/>
              <w:right w:val="single" w:color="auto" w:sz="4" w:space="0"/>
            </w:tcBorders>
            <w:vAlign w:val="center"/>
          </w:tcPr>
          <w:p w14:paraId="59899904">
            <w:pPr>
              <w:wordWrap w:val="0"/>
              <w:topLinePunct/>
              <w:adjustRightInd w:val="0"/>
              <w:jc w:val="center"/>
              <w:rPr>
                <w:rFonts w:cs="Times New Roman"/>
                <w:szCs w:val="21"/>
              </w:rPr>
            </w:pPr>
            <w:r>
              <w:rPr>
                <w:rFonts w:hint="eastAsia" w:cs="Times New Roman"/>
                <w:szCs w:val="21"/>
              </w:rPr>
              <w:t>颗粒物</w:t>
            </w:r>
          </w:p>
        </w:tc>
        <w:tc>
          <w:tcPr>
            <w:tcW w:w="1910" w:type="pct"/>
            <w:tcBorders>
              <w:top w:val="single" w:color="auto" w:sz="4" w:space="0"/>
              <w:left w:val="single" w:color="auto" w:sz="4" w:space="0"/>
              <w:bottom w:val="single" w:color="000000" w:sz="4" w:space="0"/>
              <w:right w:val="single" w:color="auto" w:sz="4" w:space="0"/>
            </w:tcBorders>
            <w:vAlign w:val="center"/>
          </w:tcPr>
          <w:p w14:paraId="0EC01C14">
            <w:pPr>
              <w:wordWrap w:val="0"/>
              <w:topLinePunct/>
              <w:jc w:val="center"/>
              <w:rPr>
                <w:rFonts w:ascii="Times New Roman" w:hAnsi="Times New Roman" w:eastAsia="宋体" w:cs="Times New Roman"/>
                <w:szCs w:val="21"/>
              </w:rPr>
            </w:pPr>
            <w:r>
              <w:rPr>
                <w:rFonts w:ascii="Times New Roman" w:hAnsi="Times New Roman" w:eastAsia="宋体" w:cs="Times New Roman"/>
                <w:szCs w:val="21"/>
              </w:rPr>
              <w:t>1#</w:t>
            </w:r>
            <w:r>
              <w:rPr>
                <w:rFonts w:hint="eastAsia" w:ascii="Times New Roman" w:hAnsi="Times New Roman" w:eastAsia="宋体" w:cs="Times New Roman"/>
                <w:szCs w:val="21"/>
              </w:rPr>
              <w:t>两仓并联共用1套振动式仓顶收尘机，2#仓顶设置振动式仓顶收尘机</w:t>
            </w:r>
          </w:p>
        </w:tc>
        <w:tc>
          <w:tcPr>
            <w:tcW w:w="921" w:type="pct"/>
            <w:vMerge w:val="continue"/>
            <w:tcBorders>
              <w:left w:val="single" w:color="auto" w:sz="4" w:space="0"/>
              <w:bottom w:val="single" w:color="000000" w:sz="4" w:space="0"/>
              <w:right w:val="single" w:color="auto" w:sz="8" w:space="0"/>
            </w:tcBorders>
            <w:vAlign w:val="center"/>
          </w:tcPr>
          <w:p w14:paraId="7B01D4C6">
            <w:pPr>
              <w:wordWrap w:val="0"/>
              <w:topLinePunct/>
              <w:adjustRightInd w:val="0"/>
              <w:spacing w:line="240" w:lineRule="exact"/>
              <w:jc w:val="center"/>
              <w:textAlignment w:val="baseline"/>
              <w:rPr>
                <w:rFonts w:ascii="Times New Roman" w:hAnsi="Times New Roman" w:eastAsia="宋体" w:cs="Times New Roman"/>
                <w:szCs w:val="21"/>
              </w:rPr>
            </w:pPr>
          </w:p>
        </w:tc>
      </w:tr>
      <w:tr w14:paraId="095BEB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71" w:hRule="atLeast"/>
          <w:jc w:val="center"/>
        </w:trPr>
        <w:tc>
          <w:tcPr>
            <w:tcW w:w="496" w:type="pct"/>
            <w:vMerge w:val="continue"/>
            <w:tcBorders>
              <w:left w:val="single" w:color="auto" w:sz="8" w:space="0"/>
              <w:bottom w:val="single" w:color="auto" w:sz="4" w:space="0"/>
              <w:right w:val="single" w:color="auto" w:sz="4" w:space="0"/>
            </w:tcBorders>
            <w:vAlign w:val="center"/>
          </w:tcPr>
          <w:p w14:paraId="66EBB2AB">
            <w:pPr>
              <w:adjustRightInd w:val="0"/>
              <w:spacing w:line="240" w:lineRule="exact"/>
              <w:jc w:val="center"/>
              <w:textAlignment w:val="baseline"/>
              <w:rPr>
                <w:rFonts w:ascii="Times New Roman" w:hAnsi="Times New Roman" w:eastAsia="宋体" w:cs="Times New Roman"/>
                <w:color w:val="FF0000"/>
                <w:szCs w:val="21"/>
              </w:rPr>
            </w:pPr>
          </w:p>
        </w:tc>
        <w:tc>
          <w:tcPr>
            <w:tcW w:w="896" w:type="pct"/>
            <w:tcBorders>
              <w:top w:val="single" w:color="000000" w:sz="4" w:space="0"/>
              <w:left w:val="single" w:color="auto" w:sz="4" w:space="0"/>
              <w:bottom w:val="single" w:color="auto" w:sz="4" w:space="0"/>
              <w:right w:val="single" w:color="auto" w:sz="4" w:space="0"/>
            </w:tcBorders>
            <w:vAlign w:val="center"/>
          </w:tcPr>
          <w:p w14:paraId="7B323A36">
            <w:pPr>
              <w:wordWrap w:val="0"/>
              <w:topLinePunct/>
              <w:jc w:val="center"/>
              <w:rPr>
                <w:rFonts w:ascii="Times New Roman Bold" w:hAnsi="Times New Roman Bold" w:eastAsia="宋体" w:cs="Times New Roman Bold"/>
                <w:szCs w:val="21"/>
              </w:rPr>
            </w:pPr>
            <w:r>
              <w:rPr>
                <w:rFonts w:hint="eastAsia" w:ascii="Times New Roman Bold" w:hAnsi="Times New Roman Bold" w:eastAsia="宋体" w:cs="Times New Roman Bold"/>
                <w:szCs w:val="21"/>
              </w:rPr>
              <w:t>柴油储罐大小呼吸废气、动静密封点废气</w:t>
            </w:r>
          </w:p>
        </w:tc>
        <w:tc>
          <w:tcPr>
            <w:tcW w:w="775" w:type="pct"/>
            <w:tcBorders>
              <w:top w:val="single" w:color="000000" w:sz="4" w:space="0"/>
              <w:left w:val="single" w:color="auto" w:sz="4" w:space="0"/>
              <w:bottom w:val="single" w:color="auto" w:sz="4" w:space="0"/>
              <w:right w:val="single" w:color="auto" w:sz="4" w:space="0"/>
            </w:tcBorders>
            <w:vAlign w:val="center"/>
          </w:tcPr>
          <w:p w14:paraId="50F01FA1">
            <w:pPr>
              <w:wordWrap w:val="0"/>
              <w:topLinePunct/>
              <w:adjustRightInd w:val="0"/>
              <w:jc w:val="center"/>
              <w:rPr>
                <w:rFonts w:cs="Times New Roman"/>
                <w:szCs w:val="21"/>
              </w:rPr>
            </w:pPr>
            <w:r>
              <w:rPr>
                <w:rFonts w:hint="eastAsia" w:cs="Times New Roman"/>
                <w:szCs w:val="21"/>
              </w:rPr>
              <w:t>非甲烷总烃</w:t>
            </w:r>
          </w:p>
        </w:tc>
        <w:tc>
          <w:tcPr>
            <w:tcW w:w="1910" w:type="pct"/>
            <w:tcBorders>
              <w:top w:val="single" w:color="000000" w:sz="4" w:space="0"/>
              <w:left w:val="single" w:color="auto" w:sz="4" w:space="0"/>
              <w:bottom w:val="single" w:color="auto" w:sz="4" w:space="0"/>
              <w:right w:val="single" w:color="auto" w:sz="4" w:space="0"/>
            </w:tcBorders>
            <w:vAlign w:val="center"/>
          </w:tcPr>
          <w:p w14:paraId="26FA40A0">
            <w:pPr>
              <w:wordWrap w:val="0"/>
              <w:topLinePunct/>
              <w:jc w:val="center"/>
              <w:rPr>
                <w:rFonts w:ascii="Times New Roman" w:hAnsi="Times New Roman" w:eastAsia="宋体" w:cs="Times New Roman"/>
                <w:szCs w:val="21"/>
              </w:rPr>
            </w:pPr>
            <w:r>
              <w:rPr>
                <w:rFonts w:hint="eastAsia" w:ascii="Times New Roman Bold" w:hAnsi="Times New Roman Bold" w:eastAsia="宋体" w:cs="Times New Roman Bold"/>
                <w:color w:val="000000"/>
                <w:szCs w:val="21"/>
              </w:rPr>
              <w:t>槽车卸料口与储罐进料口之间设气相平衡管，卸料过程中储罐内被置换出的油气通过平衡管回流至槽车罐体；</w:t>
            </w:r>
            <w:r>
              <w:rPr>
                <w:rFonts w:hint="eastAsia" w:ascii="Times New Roman" w:hAnsi="Times New Roman" w:eastAsia="宋体" w:cs="Times New Roman"/>
                <w:color w:val="000000"/>
                <w:szCs w:val="21"/>
              </w:rPr>
              <w:t>加强柴油储罐密封点的维护与保养</w:t>
            </w:r>
          </w:p>
        </w:tc>
        <w:tc>
          <w:tcPr>
            <w:tcW w:w="921" w:type="pct"/>
            <w:tcBorders>
              <w:top w:val="single" w:color="000000" w:sz="4" w:space="0"/>
              <w:left w:val="single" w:color="auto" w:sz="4" w:space="0"/>
              <w:bottom w:val="single" w:color="auto" w:sz="4" w:space="0"/>
              <w:right w:val="single" w:color="auto" w:sz="8" w:space="0"/>
            </w:tcBorders>
            <w:vAlign w:val="center"/>
          </w:tcPr>
          <w:p w14:paraId="698E0B7F">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《大气污染物综合排放标准》(GB16297-1996)中表2新污染源大气污染物排放限值-无组织排放监控浓度限值；《挥发性有机物无组织排放控制标准》（GB37822-2019）附录A</w:t>
            </w:r>
          </w:p>
        </w:tc>
      </w:tr>
      <w:tr w14:paraId="1FE289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 w:hRule="atLeast"/>
          <w:jc w:val="center"/>
        </w:trPr>
        <w:tc>
          <w:tcPr>
            <w:tcW w:w="496" w:type="pct"/>
            <w:vMerge w:val="continue"/>
            <w:tcBorders>
              <w:left w:val="single" w:color="auto" w:sz="8" w:space="0"/>
              <w:bottom w:val="single" w:color="auto" w:sz="4" w:space="0"/>
              <w:right w:val="single" w:color="auto" w:sz="4" w:space="0"/>
            </w:tcBorders>
            <w:vAlign w:val="center"/>
          </w:tcPr>
          <w:p w14:paraId="2653D72A">
            <w:pPr>
              <w:adjustRightInd w:val="0"/>
              <w:spacing w:line="240" w:lineRule="exact"/>
              <w:jc w:val="center"/>
              <w:textAlignment w:val="baseline"/>
              <w:rPr>
                <w:rFonts w:ascii="Times New Roman" w:hAnsi="Times New Roman" w:eastAsia="宋体" w:cs="Times New Roman"/>
                <w:color w:val="FF0000"/>
                <w:szCs w:val="21"/>
              </w:rPr>
            </w:pPr>
          </w:p>
        </w:tc>
        <w:tc>
          <w:tcPr>
            <w:tcW w:w="896" w:type="pct"/>
            <w:tcBorders>
              <w:top w:val="single" w:color="auto" w:sz="4" w:space="0"/>
              <w:left w:val="single" w:color="auto" w:sz="4" w:space="0"/>
              <w:bottom w:val="single" w:color="000000" w:sz="4" w:space="0"/>
              <w:right w:val="single" w:color="auto" w:sz="4" w:space="0"/>
            </w:tcBorders>
            <w:vAlign w:val="center"/>
          </w:tcPr>
          <w:p w14:paraId="79723082">
            <w:pPr>
              <w:jc w:val="center"/>
              <w:rPr>
                <w:rFonts w:ascii="Times New Roman" w:hAnsi="Times New Roman" w:eastAsia="宋体" w:cs="Times New Roman"/>
                <w:szCs w:val="21"/>
              </w:rPr>
            </w:pPr>
            <w:r>
              <w:rPr>
                <w:rFonts w:ascii="Times New Roman" w:hAnsi="Times New Roman" w:eastAsia="宋体" w:cs="Times New Roman"/>
                <w:szCs w:val="21"/>
              </w:rPr>
              <w:t>烘干滚筒燃烧器燃油废气与烘干、筛分、热骨料仓粉尘混合废气</w:t>
            </w:r>
            <w:r>
              <w:rPr>
                <w:rFonts w:hint="eastAsia" w:ascii="Times New Roman" w:hAnsi="Times New Roman" w:eastAsia="宋体" w:cs="Times New Roman"/>
                <w:szCs w:val="21"/>
              </w:rPr>
              <w:t>排放口</w:t>
            </w:r>
            <w:r>
              <w:rPr>
                <w:rFonts w:ascii="Times New Roman" w:hAnsi="Times New Roman" w:eastAsia="宋体" w:cs="Times New Roman"/>
                <w:szCs w:val="21"/>
              </w:rPr>
              <w:t>DA001</w:t>
            </w:r>
          </w:p>
        </w:tc>
        <w:tc>
          <w:tcPr>
            <w:tcW w:w="775" w:type="pct"/>
            <w:tcBorders>
              <w:left w:val="single" w:color="auto" w:sz="4" w:space="0"/>
              <w:bottom w:val="single" w:color="000000" w:sz="4" w:space="0"/>
              <w:right w:val="single" w:color="auto" w:sz="4" w:space="0"/>
            </w:tcBorders>
            <w:vAlign w:val="center"/>
          </w:tcPr>
          <w:p w14:paraId="2CBBEBA8">
            <w:pPr>
              <w:adjustRightInd w:val="0"/>
              <w:snapToGrid w:val="0"/>
              <w:jc w:val="center"/>
              <w:rPr>
                <w:rFonts w:cs="Times New Roman"/>
                <w:szCs w:val="21"/>
              </w:rPr>
            </w:pPr>
            <w:r>
              <w:rPr>
                <w:rFonts w:hint="eastAsia" w:ascii="Times New Roman" w:hAnsi="Times New Roman" w:eastAsia="宋体" w:cs="Times New Roman"/>
                <w:szCs w:val="21"/>
              </w:rPr>
              <w:t>颗粒物、SO</w:t>
            </w:r>
            <w:r>
              <w:rPr>
                <w:rFonts w:hint="eastAsia" w:ascii="Times New Roman" w:hAnsi="Times New Roman" w:eastAsia="宋体" w:cs="Times New Roman"/>
                <w:szCs w:val="21"/>
                <w:vertAlign w:val="subscript"/>
              </w:rPr>
              <w:t>2</w:t>
            </w:r>
            <w:r>
              <w:rPr>
                <w:rFonts w:hint="eastAsia" w:ascii="Times New Roman" w:hAnsi="Times New Roman" w:eastAsia="宋体" w:cs="Times New Roman"/>
                <w:szCs w:val="21"/>
              </w:rPr>
              <w:t>、NO</w:t>
            </w:r>
            <w:r>
              <w:rPr>
                <w:rFonts w:hint="eastAsia" w:ascii="Times New Roman" w:hAnsi="Times New Roman" w:eastAsia="宋体" w:cs="Times New Roman"/>
                <w:szCs w:val="21"/>
                <w:vertAlign w:val="subscript"/>
              </w:rPr>
              <w:t>X</w:t>
            </w:r>
          </w:p>
        </w:tc>
        <w:tc>
          <w:tcPr>
            <w:tcW w:w="1910" w:type="pct"/>
            <w:tcBorders>
              <w:top w:val="single" w:color="auto" w:sz="4" w:space="0"/>
              <w:left w:val="single" w:color="auto" w:sz="4" w:space="0"/>
              <w:bottom w:val="single" w:color="000000" w:sz="4" w:space="0"/>
              <w:right w:val="single" w:color="auto" w:sz="4" w:space="0"/>
            </w:tcBorders>
            <w:vAlign w:val="center"/>
          </w:tcPr>
          <w:p w14:paraId="404C4C65">
            <w:pPr>
              <w:jc w:val="center"/>
              <w:rPr>
                <w:rFonts w:ascii="Times New Roman" w:hAnsi="Times New Roman" w:eastAsia="宋体" w:cs="Times New Roman"/>
                <w:szCs w:val="21"/>
              </w:rPr>
            </w:pPr>
            <w:r>
              <w:rPr>
                <w:rFonts w:hint="eastAsia" w:ascii="Times New Roman" w:hAnsi="Times New Roman" w:eastAsia="宋体" w:cs="Times New Roman"/>
                <w:color w:val="000000"/>
                <w:szCs w:val="21"/>
              </w:rPr>
              <w:t>蜗壳除尘+布袋除尘+22m高排气筒</w:t>
            </w:r>
          </w:p>
        </w:tc>
        <w:tc>
          <w:tcPr>
            <w:tcW w:w="921" w:type="pct"/>
            <w:vMerge w:val="restart"/>
            <w:tcBorders>
              <w:left w:val="single" w:color="auto" w:sz="4" w:space="0"/>
              <w:right w:val="single" w:color="auto" w:sz="8" w:space="0"/>
            </w:tcBorders>
            <w:vAlign w:val="center"/>
          </w:tcPr>
          <w:p w14:paraId="4A1B99A7">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《大气污染物综合排放标准》(GB16297-1996)中表2新污染源大气污染物排放限值</w:t>
            </w:r>
          </w:p>
        </w:tc>
      </w:tr>
      <w:tr w14:paraId="6430CA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9" w:hRule="atLeast"/>
          <w:jc w:val="center"/>
        </w:trPr>
        <w:tc>
          <w:tcPr>
            <w:tcW w:w="496" w:type="pct"/>
            <w:vMerge w:val="continue"/>
            <w:tcBorders>
              <w:left w:val="single" w:color="auto" w:sz="8" w:space="0"/>
              <w:bottom w:val="single" w:color="auto" w:sz="4" w:space="0"/>
              <w:right w:val="single" w:color="auto" w:sz="4" w:space="0"/>
            </w:tcBorders>
            <w:vAlign w:val="center"/>
          </w:tcPr>
          <w:p w14:paraId="50B3EC04">
            <w:pPr>
              <w:adjustRightInd w:val="0"/>
              <w:spacing w:line="240" w:lineRule="exact"/>
              <w:jc w:val="center"/>
              <w:textAlignment w:val="baseline"/>
              <w:rPr>
                <w:rFonts w:ascii="Times New Roman" w:hAnsi="Times New Roman" w:eastAsia="宋体" w:cs="Times New Roman"/>
                <w:color w:val="FF0000"/>
                <w:szCs w:val="21"/>
              </w:rPr>
            </w:pPr>
          </w:p>
        </w:tc>
        <w:tc>
          <w:tcPr>
            <w:tcW w:w="896" w:type="pct"/>
            <w:tcBorders>
              <w:top w:val="single" w:color="000000" w:sz="4" w:space="0"/>
              <w:left w:val="single" w:color="auto" w:sz="4" w:space="0"/>
              <w:bottom w:val="single" w:color="000000" w:sz="4" w:space="0"/>
              <w:right w:val="single" w:color="auto" w:sz="4" w:space="0"/>
            </w:tcBorders>
            <w:vAlign w:val="center"/>
          </w:tcPr>
          <w:p w14:paraId="2172294D">
            <w:pPr>
              <w:jc w:val="center"/>
              <w:rPr>
                <w:rFonts w:ascii="Times New Roman" w:hAnsi="Times New Roman" w:eastAsia="宋体"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搅拌粉尘，混合搅拌、成品出料，沥青储罐呼吸废气混合废气排放口</w:t>
            </w:r>
            <w:r>
              <w:rPr>
                <w:rFonts w:ascii="Times New Roman" w:hAnsi="Times New Roman" w:eastAsia="宋体" w:cs="Times New Roman"/>
                <w:color w:val="000000" w:themeColor="text1"/>
                <w:szCs w:val="21"/>
                <w14:textFill>
                  <w14:solidFill>
                    <w14:schemeClr w14:val="tx1"/>
                  </w14:solidFill>
                </w14:textFill>
              </w:rPr>
              <w:t>DA002</w:t>
            </w:r>
          </w:p>
        </w:tc>
        <w:tc>
          <w:tcPr>
            <w:tcW w:w="775" w:type="pct"/>
            <w:tcBorders>
              <w:top w:val="single" w:color="000000" w:sz="4" w:space="0"/>
              <w:left w:val="single" w:color="auto" w:sz="4" w:space="0"/>
              <w:bottom w:val="single" w:color="000000" w:sz="4" w:space="0"/>
              <w:right w:val="single" w:color="auto" w:sz="4" w:space="0"/>
            </w:tcBorders>
            <w:vAlign w:val="center"/>
          </w:tcPr>
          <w:p w14:paraId="33A72C44">
            <w:pPr>
              <w:adjustRightInd w:val="0"/>
              <w:snapToGrid w:val="0"/>
              <w:jc w:val="center"/>
              <w:rPr>
                <w:rFonts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颗粒物、</w:t>
            </w:r>
            <w:r>
              <w:rPr>
                <w:rFonts w:hint="eastAsia" w:ascii="Times New Roman" w:hAnsi="Times New Roman" w:cs="Times New Roman"/>
                <w:szCs w:val="21"/>
              </w:rPr>
              <w:t>沥青烟、</w:t>
            </w:r>
            <w:r>
              <w:rPr>
                <w:rFonts w:ascii="Times New Roman" w:hAnsi="Times New Roman" w:cs="Times New Roman"/>
                <w:szCs w:val="21"/>
              </w:rPr>
              <w:t>苯并[a]芘</w:t>
            </w:r>
            <w:r>
              <w:rPr>
                <w:rFonts w:hint="eastAsia" w:ascii="Times New Roman" w:hAnsi="Times New Roman" w:cs="Times New Roman"/>
                <w:szCs w:val="21"/>
              </w:rPr>
              <w:t>、非甲烷总烃</w:t>
            </w:r>
          </w:p>
        </w:tc>
        <w:tc>
          <w:tcPr>
            <w:tcW w:w="1910" w:type="pct"/>
            <w:tcBorders>
              <w:top w:val="single" w:color="000000" w:sz="4" w:space="0"/>
              <w:left w:val="single" w:color="auto" w:sz="4" w:space="0"/>
              <w:bottom w:val="single" w:color="000000" w:sz="4" w:space="0"/>
              <w:right w:val="single" w:color="auto" w:sz="4" w:space="0"/>
            </w:tcBorders>
            <w:vAlign w:val="center"/>
          </w:tcPr>
          <w:p w14:paraId="2F59F682">
            <w:pPr>
              <w:jc w:val="center"/>
              <w:rPr>
                <w:rFonts w:ascii="Times New Roman" w:hAnsi="Times New Roman" w:eastAsia="宋体" w:cs="Times New Roman"/>
                <w:szCs w:val="21"/>
              </w:rPr>
            </w:pPr>
            <w:r>
              <w:rPr>
                <w:rFonts w:hint="eastAsia" w:ascii="Times New Roman" w:hAnsi="Times New Roman" w:eastAsia="宋体" w:cs="Times New Roman"/>
                <w:color w:val="000000"/>
                <w:szCs w:val="21"/>
              </w:rPr>
              <w:t>洗涤塔+电捕焦油器+等离子光解净化除尘器+活性炭吸附装置+25m高排气筒；搅拌罐进出料口上方及两侧设置集气罩，出料口区域搭建防烟气扩散房（半密闭围护结构），两侧加装快速堆积门，正常生产时保持关闭，车辆通行时快速启闭</w:t>
            </w:r>
          </w:p>
        </w:tc>
        <w:tc>
          <w:tcPr>
            <w:tcW w:w="921" w:type="pct"/>
            <w:vMerge w:val="continue"/>
            <w:tcBorders>
              <w:left w:val="single" w:color="auto" w:sz="4" w:space="0"/>
              <w:right w:val="single" w:color="auto" w:sz="8" w:space="0"/>
            </w:tcBorders>
            <w:vAlign w:val="center"/>
          </w:tcPr>
          <w:p w14:paraId="2952AFD8">
            <w:pPr>
              <w:adjustRightInd w:val="0"/>
              <w:snapToGrid w:val="0"/>
              <w:jc w:val="center"/>
              <w:rPr>
                <w:rFonts w:ascii="Times New Roman" w:hAnsi="Times New Roman" w:eastAsia="宋体" w:cs="Times New Roman"/>
                <w:szCs w:val="21"/>
              </w:rPr>
            </w:pPr>
          </w:p>
        </w:tc>
      </w:tr>
      <w:tr w14:paraId="68D911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496" w:type="pct"/>
            <w:vMerge w:val="continue"/>
            <w:tcBorders>
              <w:left w:val="single" w:color="auto" w:sz="8" w:space="0"/>
              <w:bottom w:val="single" w:color="auto" w:sz="4" w:space="0"/>
              <w:right w:val="single" w:color="auto" w:sz="4" w:space="0"/>
            </w:tcBorders>
            <w:vAlign w:val="center"/>
          </w:tcPr>
          <w:p w14:paraId="3ED1E8EC">
            <w:pPr>
              <w:adjustRightInd w:val="0"/>
              <w:spacing w:line="240" w:lineRule="exact"/>
              <w:jc w:val="center"/>
              <w:textAlignment w:val="baseline"/>
              <w:rPr>
                <w:rFonts w:ascii="Times New Roman" w:hAnsi="Times New Roman" w:eastAsia="宋体" w:cs="Times New Roman"/>
                <w:color w:val="FF0000"/>
                <w:szCs w:val="21"/>
              </w:rPr>
            </w:pPr>
          </w:p>
        </w:tc>
        <w:tc>
          <w:tcPr>
            <w:tcW w:w="896" w:type="pct"/>
            <w:tcBorders>
              <w:top w:val="single" w:color="000000" w:sz="4" w:space="0"/>
              <w:left w:val="single" w:color="auto" w:sz="4" w:space="0"/>
              <w:bottom w:val="single" w:color="000000" w:sz="4" w:space="0"/>
              <w:right w:val="single" w:color="auto" w:sz="4" w:space="0"/>
            </w:tcBorders>
            <w:vAlign w:val="center"/>
          </w:tcPr>
          <w:p w14:paraId="15E18A37">
            <w:pPr>
              <w:jc w:val="center"/>
              <w:rPr>
                <w:rFonts w:ascii="Times New Roman" w:hAnsi="Times New Roman" w:eastAsia="宋体"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乳化沥青出料、</w:t>
            </w:r>
            <w:r>
              <w:rPr>
                <w:rFonts w:hint="eastAsia" w:ascii="Times New Roman" w:hAnsi="Times New Roman" w:eastAsia="宋体" w:cs="Times New Roman"/>
                <w:color w:val="000000"/>
                <w:szCs w:val="21"/>
              </w:rPr>
              <w:t>胶磨废气排放口</w:t>
            </w:r>
            <w:r>
              <w:rPr>
                <w:rFonts w:ascii="Times New Roman" w:hAnsi="Times New Roman" w:eastAsia="宋体" w:cs="Times New Roman"/>
                <w:color w:val="000000"/>
                <w:szCs w:val="21"/>
              </w:rPr>
              <w:t>DA003</w:t>
            </w:r>
          </w:p>
        </w:tc>
        <w:tc>
          <w:tcPr>
            <w:tcW w:w="775" w:type="pct"/>
            <w:tcBorders>
              <w:top w:val="single" w:color="000000" w:sz="4" w:space="0"/>
              <w:left w:val="single" w:color="auto" w:sz="4" w:space="0"/>
              <w:bottom w:val="single" w:color="000000" w:sz="4" w:space="0"/>
              <w:right w:val="single" w:color="auto" w:sz="4" w:space="0"/>
            </w:tcBorders>
            <w:vAlign w:val="center"/>
          </w:tcPr>
          <w:p w14:paraId="088029B7">
            <w:pPr>
              <w:adjustRightInd w:val="0"/>
              <w:snapToGrid w:val="0"/>
              <w:jc w:val="center"/>
              <w:rPr>
                <w:rFonts w:cs="Times New Roman"/>
                <w:szCs w:val="21"/>
              </w:rPr>
            </w:pPr>
            <w:r>
              <w:rPr>
                <w:rFonts w:hint="eastAsia" w:ascii="Times New Roman" w:hAnsi="Times New Roman" w:cs="Times New Roman"/>
                <w:szCs w:val="21"/>
              </w:rPr>
              <w:t>沥青烟、</w:t>
            </w:r>
            <w:r>
              <w:rPr>
                <w:rFonts w:ascii="Times New Roman" w:hAnsi="Times New Roman" w:cs="Times New Roman"/>
                <w:szCs w:val="21"/>
              </w:rPr>
              <w:t>苯并[a]芘</w:t>
            </w:r>
            <w:r>
              <w:rPr>
                <w:rFonts w:hint="eastAsia" w:ascii="Times New Roman" w:hAnsi="Times New Roman" w:cs="Times New Roman"/>
                <w:szCs w:val="21"/>
              </w:rPr>
              <w:t>、非甲烷总烃</w:t>
            </w:r>
          </w:p>
        </w:tc>
        <w:tc>
          <w:tcPr>
            <w:tcW w:w="1910" w:type="pct"/>
            <w:tcBorders>
              <w:top w:val="single" w:color="000000" w:sz="4" w:space="0"/>
              <w:left w:val="single" w:color="auto" w:sz="4" w:space="0"/>
              <w:bottom w:val="single" w:color="000000" w:sz="4" w:space="0"/>
              <w:right w:val="single" w:color="auto" w:sz="4" w:space="0"/>
            </w:tcBorders>
            <w:vAlign w:val="center"/>
          </w:tcPr>
          <w:p w14:paraId="37CCFAC4">
            <w:pPr>
              <w:jc w:val="center"/>
              <w:rPr>
                <w:rFonts w:ascii="Times New Roman" w:hAnsi="Times New Roman" w:eastAsia="宋体" w:cs="Times New Roman"/>
                <w:szCs w:val="21"/>
              </w:rPr>
            </w:pPr>
            <w:r>
              <w:rPr>
                <w:rFonts w:hint="eastAsia" w:ascii="Times New Roman" w:hAnsi="Times New Roman" w:eastAsia="宋体" w:cs="Times New Roman"/>
                <w:color w:val="000000"/>
                <w:szCs w:val="21"/>
              </w:rPr>
              <w:t>高效二级活性炭吸附装置+15m高排气筒</w:t>
            </w:r>
          </w:p>
        </w:tc>
        <w:tc>
          <w:tcPr>
            <w:tcW w:w="921" w:type="pct"/>
            <w:vMerge w:val="continue"/>
            <w:tcBorders>
              <w:left w:val="single" w:color="auto" w:sz="4" w:space="0"/>
              <w:bottom w:val="single" w:color="000000" w:sz="4" w:space="0"/>
              <w:right w:val="single" w:color="auto" w:sz="8" w:space="0"/>
            </w:tcBorders>
            <w:vAlign w:val="center"/>
          </w:tcPr>
          <w:p w14:paraId="4DBD0E43">
            <w:pPr>
              <w:adjustRightInd w:val="0"/>
              <w:snapToGrid w:val="0"/>
              <w:jc w:val="center"/>
              <w:rPr>
                <w:rFonts w:ascii="Times New Roman" w:hAnsi="Times New Roman" w:eastAsia="宋体" w:cs="Times New Roman"/>
                <w:szCs w:val="21"/>
              </w:rPr>
            </w:pPr>
          </w:p>
        </w:tc>
      </w:tr>
      <w:tr w14:paraId="74FC86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3" w:hRule="atLeast"/>
          <w:jc w:val="center"/>
        </w:trPr>
        <w:tc>
          <w:tcPr>
            <w:tcW w:w="496" w:type="pct"/>
            <w:vMerge w:val="continue"/>
            <w:tcBorders>
              <w:left w:val="single" w:color="auto" w:sz="8" w:space="0"/>
              <w:bottom w:val="single" w:color="auto" w:sz="4" w:space="0"/>
              <w:right w:val="single" w:color="auto" w:sz="4" w:space="0"/>
            </w:tcBorders>
            <w:vAlign w:val="center"/>
          </w:tcPr>
          <w:p w14:paraId="6A7220CF">
            <w:pPr>
              <w:adjustRightInd w:val="0"/>
              <w:spacing w:line="240" w:lineRule="exact"/>
              <w:jc w:val="center"/>
              <w:textAlignment w:val="baseline"/>
              <w:rPr>
                <w:rFonts w:ascii="Times New Roman" w:hAnsi="Times New Roman" w:eastAsia="宋体" w:cs="Times New Roman"/>
                <w:color w:val="FF0000"/>
                <w:szCs w:val="21"/>
              </w:rPr>
            </w:pPr>
          </w:p>
        </w:tc>
        <w:tc>
          <w:tcPr>
            <w:tcW w:w="896" w:type="pct"/>
            <w:tcBorders>
              <w:top w:val="single" w:color="000000" w:sz="4" w:space="0"/>
              <w:left w:val="single" w:color="auto" w:sz="4" w:space="0"/>
              <w:bottom w:val="single" w:color="000000" w:sz="4" w:space="0"/>
              <w:right w:val="single" w:color="auto" w:sz="4" w:space="0"/>
            </w:tcBorders>
            <w:vAlign w:val="center"/>
          </w:tcPr>
          <w:p w14:paraId="37618389">
            <w:pPr>
              <w:jc w:val="center"/>
              <w:rPr>
                <w:rFonts w:ascii="Times New Roman" w:hAnsi="Times New Roman" w:eastAsia="宋体"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有机热载体炉废气排放口</w:t>
            </w:r>
            <w:r>
              <w:rPr>
                <w:rFonts w:ascii="Times New Roman" w:hAnsi="Times New Roman" w:eastAsia="宋体" w:cs="Times New Roman"/>
                <w:color w:val="000000" w:themeColor="text1"/>
                <w:szCs w:val="21"/>
                <w14:textFill>
                  <w14:solidFill>
                    <w14:schemeClr w14:val="tx1"/>
                  </w14:solidFill>
                </w14:textFill>
              </w:rPr>
              <w:t>DA004</w:t>
            </w:r>
          </w:p>
        </w:tc>
        <w:tc>
          <w:tcPr>
            <w:tcW w:w="775" w:type="pct"/>
            <w:tcBorders>
              <w:top w:val="single" w:color="000000" w:sz="4" w:space="0"/>
              <w:left w:val="single" w:color="auto" w:sz="4" w:space="0"/>
              <w:bottom w:val="single" w:color="000000" w:sz="4" w:space="0"/>
              <w:right w:val="single" w:color="auto" w:sz="4" w:space="0"/>
            </w:tcBorders>
            <w:vAlign w:val="center"/>
          </w:tcPr>
          <w:p w14:paraId="32FFEC8C">
            <w:pPr>
              <w:adjustRightInd w:val="0"/>
              <w:snapToGrid w:val="0"/>
              <w:jc w:val="center"/>
              <w:rPr>
                <w:rFonts w:cs="Times New Roman"/>
                <w:szCs w:val="21"/>
              </w:rPr>
            </w:pPr>
            <w:r>
              <w:rPr>
                <w:rFonts w:hint="eastAsia" w:ascii="Times New Roman" w:hAnsi="Times New Roman" w:eastAsia="宋体" w:cs="Times New Roman"/>
                <w:szCs w:val="21"/>
              </w:rPr>
              <w:t>颗粒物、SO</w:t>
            </w:r>
            <w:r>
              <w:rPr>
                <w:rFonts w:hint="eastAsia" w:ascii="Times New Roman" w:hAnsi="Times New Roman" w:eastAsia="宋体" w:cs="Times New Roman"/>
                <w:szCs w:val="21"/>
                <w:vertAlign w:val="subscript"/>
              </w:rPr>
              <w:t>2</w:t>
            </w:r>
            <w:r>
              <w:rPr>
                <w:rFonts w:hint="eastAsia" w:ascii="Times New Roman" w:hAnsi="Times New Roman" w:eastAsia="宋体" w:cs="Times New Roman"/>
                <w:szCs w:val="21"/>
              </w:rPr>
              <w:t>、NO</w:t>
            </w:r>
            <w:r>
              <w:rPr>
                <w:rFonts w:hint="eastAsia" w:ascii="Times New Roman" w:hAnsi="Times New Roman" w:eastAsia="宋体" w:cs="Times New Roman"/>
                <w:szCs w:val="21"/>
                <w:vertAlign w:val="subscript"/>
              </w:rPr>
              <w:t>X</w:t>
            </w:r>
          </w:p>
        </w:tc>
        <w:tc>
          <w:tcPr>
            <w:tcW w:w="1910" w:type="pct"/>
            <w:tcBorders>
              <w:top w:val="single" w:color="000000" w:sz="4" w:space="0"/>
              <w:left w:val="single" w:color="auto" w:sz="4" w:space="0"/>
              <w:bottom w:val="single" w:color="000000" w:sz="4" w:space="0"/>
              <w:right w:val="single" w:color="auto" w:sz="4" w:space="0"/>
            </w:tcBorders>
            <w:vAlign w:val="center"/>
          </w:tcPr>
          <w:p w14:paraId="1F227F2B">
            <w:pPr>
              <w:jc w:val="center"/>
              <w:rPr>
                <w:rFonts w:ascii="Times New Roman" w:hAnsi="Times New Roman" w:eastAsia="宋体" w:cs="Times New Roman"/>
                <w:szCs w:val="21"/>
              </w:rPr>
            </w:pPr>
            <w:r>
              <w:rPr>
                <w:rFonts w:hint="eastAsia" w:ascii="Times New Roman" w:hAnsi="Times New Roman" w:eastAsia="宋体" w:cs="Times New Roman"/>
                <w:color w:val="FF0000"/>
                <w:szCs w:val="21"/>
              </w:rPr>
              <w:t>低氮燃烧器，</w:t>
            </w:r>
            <w:r>
              <w:rPr>
                <w:rFonts w:hint="eastAsia" w:ascii="Times New Roman" w:hAnsi="Times New Roman" w:eastAsia="宋体" w:cs="Times New Roman"/>
                <w:szCs w:val="21"/>
                <w:lang w:val="en-US" w:eastAsia="zh-CN"/>
              </w:rPr>
              <w:t>1</w:t>
            </w:r>
            <w:r>
              <w:rPr>
                <w:rFonts w:hint="eastAsia" w:ascii="Times New Roman" w:hAnsi="Times New Roman" w:eastAsia="宋体" w:cs="Times New Roman"/>
                <w:szCs w:val="21"/>
              </w:rPr>
              <w:t>根15m高排气筒</w:t>
            </w:r>
          </w:p>
        </w:tc>
        <w:tc>
          <w:tcPr>
            <w:tcW w:w="921" w:type="pct"/>
            <w:tcBorders>
              <w:top w:val="single" w:color="000000" w:sz="4" w:space="0"/>
              <w:left w:val="single" w:color="auto" w:sz="4" w:space="0"/>
              <w:bottom w:val="single" w:color="000000" w:sz="4" w:space="0"/>
              <w:right w:val="single" w:color="auto" w:sz="8" w:space="0"/>
            </w:tcBorders>
            <w:vAlign w:val="center"/>
          </w:tcPr>
          <w:p w14:paraId="097552F7">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《锅炉大气污染物排放标准》（GB13271-2014）表2新建锅炉大气污染物排放浓度限值-燃油锅炉限值</w:t>
            </w:r>
          </w:p>
        </w:tc>
      </w:tr>
      <w:tr w14:paraId="70716F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96" w:type="pct"/>
            <w:vMerge w:val="continue"/>
            <w:tcBorders>
              <w:left w:val="single" w:color="auto" w:sz="8" w:space="0"/>
              <w:bottom w:val="single" w:color="auto" w:sz="4" w:space="0"/>
              <w:right w:val="single" w:color="auto" w:sz="4" w:space="0"/>
            </w:tcBorders>
            <w:vAlign w:val="center"/>
          </w:tcPr>
          <w:p w14:paraId="16AD97A7">
            <w:pPr>
              <w:adjustRightInd w:val="0"/>
              <w:spacing w:line="240" w:lineRule="exact"/>
              <w:jc w:val="center"/>
              <w:textAlignment w:val="baseline"/>
              <w:rPr>
                <w:rFonts w:ascii="Times New Roman" w:hAnsi="Times New Roman" w:eastAsia="宋体" w:cs="Times New Roman"/>
                <w:color w:val="FF0000"/>
                <w:szCs w:val="21"/>
              </w:rPr>
            </w:pPr>
          </w:p>
        </w:tc>
        <w:tc>
          <w:tcPr>
            <w:tcW w:w="896" w:type="pct"/>
            <w:tcBorders>
              <w:top w:val="single" w:color="000000" w:sz="4" w:space="0"/>
              <w:left w:val="single" w:color="auto" w:sz="4" w:space="0"/>
              <w:bottom w:val="single" w:color="auto" w:sz="4" w:space="0"/>
              <w:right w:val="single" w:color="auto" w:sz="4" w:space="0"/>
            </w:tcBorders>
            <w:vAlign w:val="center"/>
          </w:tcPr>
          <w:p w14:paraId="1C9F99A4">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食堂油烟废气排放口</w:t>
            </w:r>
          </w:p>
        </w:tc>
        <w:tc>
          <w:tcPr>
            <w:tcW w:w="775" w:type="pct"/>
            <w:tcBorders>
              <w:top w:val="single" w:color="000000" w:sz="4" w:space="0"/>
              <w:left w:val="single" w:color="auto" w:sz="4" w:space="0"/>
              <w:bottom w:val="single" w:color="auto" w:sz="4" w:space="0"/>
              <w:right w:val="single" w:color="auto" w:sz="4" w:space="0"/>
            </w:tcBorders>
            <w:vAlign w:val="center"/>
          </w:tcPr>
          <w:p w14:paraId="31D5F65B">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油烟</w:t>
            </w:r>
          </w:p>
        </w:tc>
        <w:tc>
          <w:tcPr>
            <w:tcW w:w="1910" w:type="pct"/>
            <w:tcBorders>
              <w:top w:val="single" w:color="000000" w:sz="4" w:space="0"/>
              <w:left w:val="single" w:color="auto" w:sz="4" w:space="0"/>
              <w:bottom w:val="single" w:color="auto" w:sz="4" w:space="0"/>
              <w:right w:val="single" w:color="auto" w:sz="4" w:space="0"/>
            </w:tcBorders>
            <w:vAlign w:val="center"/>
          </w:tcPr>
          <w:p w14:paraId="7858C95C">
            <w:pPr>
              <w:jc w:val="center"/>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油烟净化器</w:t>
            </w:r>
          </w:p>
        </w:tc>
        <w:tc>
          <w:tcPr>
            <w:tcW w:w="921" w:type="pct"/>
            <w:tcBorders>
              <w:top w:val="single" w:color="000000" w:sz="4" w:space="0"/>
              <w:left w:val="single" w:color="auto" w:sz="4" w:space="0"/>
              <w:bottom w:val="single" w:color="auto" w:sz="4" w:space="0"/>
              <w:right w:val="single" w:color="auto" w:sz="8" w:space="0"/>
            </w:tcBorders>
            <w:vAlign w:val="center"/>
          </w:tcPr>
          <w:p w14:paraId="0131D97E">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《饮食业油烟排放标准》（GB18483-2001）</w:t>
            </w:r>
          </w:p>
        </w:tc>
      </w:tr>
      <w:tr w14:paraId="1EF8D5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496" w:type="pct"/>
            <w:vMerge w:val="restart"/>
            <w:tcBorders>
              <w:top w:val="single" w:color="auto" w:sz="4" w:space="0"/>
              <w:left w:val="single" w:color="auto" w:sz="8" w:space="0"/>
              <w:right w:val="single" w:color="auto" w:sz="4" w:space="0"/>
            </w:tcBorders>
            <w:vAlign w:val="center"/>
          </w:tcPr>
          <w:p w14:paraId="4ABDE2A5">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地表水环境</w:t>
            </w:r>
          </w:p>
        </w:tc>
        <w:tc>
          <w:tcPr>
            <w:tcW w:w="896" w:type="pct"/>
            <w:tcBorders>
              <w:top w:val="single" w:color="auto" w:sz="4" w:space="0"/>
              <w:left w:val="single" w:color="auto" w:sz="4" w:space="0"/>
              <w:bottom w:val="single" w:color="000000" w:sz="4" w:space="0"/>
              <w:right w:val="single" w:color="auto" w:sz="4" w:space="0"/>
            </w:tcBorders>
            <w:vAlign w:val="center"/>
          </w:tcPr>
          <w:p w14:paraId="71ACBDAA">
            <w:pPr>
              <w:wordWrap w:val="0"/>
              <w:topLinePunct/>
              <w:adjustRightInd w:val="0"/>
              <w:jc w:val="center"/>
              <w:rPr>
                <w:rFonts w:ascii="Times New Roman" w:hAnsi="Times New Roman" w:eastAsia="宋体" w:cs="Times New Roman"/>
                <w:szCs w:val="21"/>
              </w:rPr>
            </w:pPr>
            <w:r>
              <w:rPr>
                <w:rFonts w:hint="eastAsia" w:cs="Times New Roman"/>
                <w:szCs w:val="21"/>
              </w:rPr>
              <w:t>生产废水</w:t>
            </w:r>
          </w:p>
        </w:tc>
        <w:tc>
          <w:tcPr>
            <w:tcW w:w="775" w:type="pct"/>
            <w:tcBorders>
              <w:top w:val="single" w:color="auto" w:sz="4" w:space="0"/>
              <w:left w:val="single" w:color="auto" w:sz="4" w:space="0"/>
              <w:bottom w:val="single" w:color="000000" w:sz="4" w:space="0"/>
              <w:right w:val="single" w:color="auto" w:sz="4" w:space="0"/>
            </w:tcBorders>
            <w:vAlign w:val="center"/>
          </w:tcPr>
          <w:p w14:paraId="0AF507EA">
            <w:pPr>
              <w:wordWrap w:val="0"/>
              <w:topLinePunct/>
              <w:adjustRightInd w:val="0"/>
              <w:jc w:val="center"/>
              <w:rPr>
                <w:rFonts w:ascii="Times New Roman" w:hAnsi="Times New Roman" w:eastAsia="宋体" w:cs="Times New Roman"/>
                <w:szCs w:val="21"/>
              </w:rPr>
            </w:pPr>
            <w:r>
              <w:rPr>
                <w:rFonts w:hint="eastAsia" w:ascii="Times New Roman" w:hAnsi="Times New Roman" w:eastAsia="宋体" w:cs="Times New Roman"/>
                <w:szCs w:val="21"/>
                <w:lang w:bidi="ar"/>
              </w:rPr>
              <w:t>/</w:t>
            </w:r>
          </w:p>
        </w:tc>
        <w:tc>
          <w:tcPr>
            <w:tcW w:w="1910" w:type="pct"/>
            <w:tcBorders>
              <w:top w:val="single" w:color="auto" w:sz="4" w:space="0"/>
              <w:left w:val="single" w:color="auto" w:sz="4" w:space="0"/>
              <w:bottom w:val="single" w:color="000000" w:sz="4" w:space="0"/>
              <w:right w:val="single" w:color="auto" w:sz="4" w:space="0"/>
            </w:tcBorders>
            <w:vAlign w:val="center"/>
          </w:tcPr>
          <w:p w14:paraId="753D57DF">
            <w:pPr>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降尘用水、绿化用水全部蒸发损耗；配料用水全部进入产品；车辆冲洗废水经沉淀池沉淀后循环利用，无外排废水；洗涤塔用水经分区沉淀后循环利用。</w:t>
            </w:r>
          </w:p>
        </w:tc>
        <w:tc>
          <w:tcPr>
            <w:tcW w:w="921" w:type="pct"/>
            <w:tcBorders>
              <w:top w:val="single" w:color="auto" w:sz="4" w:space="0"/>
              <w:left w:val="single" w:color="auto" w:sz="4" w:space="0"/>
              <w:bottom w:val="single" w:color="000000" w:sz="4" w:space="0"/>
              <w:right w:val="single" w:color="auto" w:sz="8" w:space="0"/>
            </w:tcBorders>
            <w:vAlign w:val="center"/>
          </w:tcPr>
          <w:p w14:paraId="4D610B3C">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w:t>
            </w:r>
          </w:p>
        </w:tc>
      </w:tr>
      <w:tr w14:paraId="29946B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496" w:type="pct"/>
            <w:vMerge w:val="continue"/>
            <w:tcBorders>
              <w:left w:val="single" w:color="auto" w:sz="8" w:space="0"/>
              <w:bottom w:val="single" w:color="auto" w:sz="4" w:space="0"/>
              <w:right w:val="single" w:color="auto" w:sz="4" w:space="0"/>
            </w:tcBorders>
            <w:vAlign w:val="center"/>
          </w:tcPr>
          <w:p w14:paraId="4B157F79">
            <w:pPr>
              <w:adjustRightInd w:val="0"/>
              <w:spacing w:line="240" w:lineRule="exact"/>
              <w:jc w:val="center"/>
              <w:textAlignment w:val="baseline"/>
              <w:rPr>
                <w:rFonts w:ascii="Times New Roman" w:hAnsi="Times New Roman" w:eastAsia="宋体" w:cs="Times New Roman"/>
                <w:color w:val="FF0000"/>
                <w:szCs w:val="21"/>
              </w:rPr>
            </w:pPr>
          </w:p>
        </w:tc>
        <w:tc>
          <w:tcPr>
            <w:tcW w:w="896" w:type="pct"/>
            <w:tcBorders>
              <w:top w:val="single" w:color="000000" w:sz="4" w:space="0"/>
              <w:left w:val="single" w:color="auto" w:sz="4" w:space="0"/>
              <w:bottom w:val="single" w:color="auto" w:sz="4" w:space="0"/>
              <w:right w:val="single" w:color="auto" w:sz="4" w:space="0"/>
            </w:tcBorders>
            <w:vAlign w:val="center"/>
          </w:tcPr>
          <w:p w14:paraId="12C8240B">
            <w:pPr>
              <w:wordWrap w:val="0"/>
              <w:topLinePunct/>
              <w:adjustRightInd w:val="0"/>
              <w:jc w:val="center"/>
              <w:rPr>
                <w:rFonts w:ascii="Times New Roman" w:hAnsi="Times New Roman" w:eastAsia="宋体" w:cs="Times New Roman"/>
                <w:szCs w:val="21"/>
              </w:rPr>
            </w:pPr>
            <w:r>
              <w:rPr>
                <w:rFonts w:hint="eastAsia" w:cs="Times New Roman"/>
                <w:szCs w:val="21"/>
              </w:rPr>
              <w:t>生活污水（含食堂废水）</w:t>
            </w:r>
          </w:p>
        </w:tc>
        <w:tc>
          <w:tcPr>
            <w:tcW w:w="775" w:type="pct"/>
            <w:tcBorders>
              <w:top w:val="single" w:color="000000" w:sz="4" w:space="0"/>
              <w:left w:val="single" w:color="auto" w:sz="4" w:space="0"/>
              <w:bottom w:val="single" w:color="auto" w:sz="4" w:space="0"/>
              <w:right w:val="single" w:color="auto" w:sz="4" w:space="0"/>
            </w:tcBorders>
            <w:vAlign w:val="center"/>
          </w:tcPr>
          <w:p w14:paraId="231B80BB">
            <w:pPr>
              <w:wordWrap w:val="0"/>
              <w:topLinePunct/>
              <w:jc w:val="center"/>
              <w:rPr>
                <w:rFonts w:ascii="Times New Roman" w:hAnsi="Times New Roman" w:eastAsia="宋体" w:cs="Times New Roman"/>
                <w:szCs w:val="21"/>
              </w:rPr>
            </w:pPr>
            <w:r>
              <w:rPr>
                <w:rFonts w:ascii="Times New Roman" w:hAnsi="Times New Roman" w:eastAsia="宋体" w:cs="Times New Roman"/>
                <w:szCs w:val="21"/>
              </w:rPr>
              <w:t>COD、SS、NH</w:t>
            </w:r>
            <w:r>
              <w:rPr>
                <w:rFonts w:ascii="Times New Roman" w:hAnsi="Times New Roman" w:eastAsia="宋体" w:cs="Times New Roman"/>
                <w:szCs w:val="21"/>
                <w:vertAlign w:val="subscript"/>
              </w:rPr>
              <w:t>3</w:t>
            </w:r>
            <w:r>
              <w:rPr>
                <w:rFonts w:ascii="Times New Roman" w:hAnsi="Times New Roman" w:eastAsia="宋体" w:cs="Times New Roman"/>
                <w:szCs w:val="21"/>
              </w:rPr>
              <w:t>-N、TP、TN、LAS、动植物油、BOD</w:t>
            </w:r>
            <w:r>
              <w:rPr>
                <w:rFonts w:ascii="Times New Roman" w:hAnsi="Times New Roman" w:eastAsia="宋体" w:cs="Times New Roman"/>
                <w:szCs w:val="21"/>
                <w:vertAlign w:val="subscript"/>
              </w:rPr>
              <w:t>5</w:t>
            </w:r>
          </w:p>
        </w:tc>
        <w:tc>
          <w:tcPr>
            <w:tcW w:w="1910" w:type="pct"/>
            <w:tcBorders>
              <w:top w:val="single" w:color="000000" w:sz="4" w:space="0"/>
              <w:left w:val="single" w:color="auto" w:sz="4" w:space="0"/>
              <w:bottom w:val="single" w:color="auto" w:sz="4" w:space="0"/>
              <w:right w:val="single" w:color="auto" w:sz="4" w:space="0"/>
            </w:tcBorders>
            <w:vAlign w:val="center"/>
          </w:tcPr>
          <w:p w14:paraId="15D4C99F">
            <w:pPr>
              <w:wordWrap w:val="0"/>
              <w:topLinePunct/>
              <w:jc w:val="center"/>
              <w:rPr>
                <w:rFonts w:ascii="Times New Roman" w:hAnsi="Times New Roman" w:eastAsia="宋体" w:cs="Times New Roman"/>
                <w:szCs w:val="21"/>
              </w:rPr>
            </w:pPr>
            <w:r>
              <w:rPr>
                <w:rFonts w:hint="eastAsia" w:ascii="Times New Roman" w:hAnsi="Times New Roman" w:eastAsia="宋体" w:cs="Times New Roman"/>
                <w:szCs w:val="21"/>
              </w:rPr>
              <w:t>隔油池（1m</w:t>
            </w:r>
            <w:r>
              <w:rPr>
                <w:rFonts w:hint="eastAsia" w:ascii="Times New Roman" w:hAnsi="Times New Roman" w:eastAsia="宋体" w:cs="Times New Roman"/>
                <w:szCs w:val="21"/>
                <w:vertAlign w:val="superscript"/>
              </w:rPr>
              <w:t>3</w:t>
            </w:r>
            <w:r>
              <w:rPr>
                <w:rFonts w:hint="eastAsia" w:ascii="Times New Roman" w:hAnsi="Times New Roman" w:eastAsia="宋体" w:cs="Times New Roman"/>
                <w:szCs w:val="21"/>
              </w:rPr>
              <w:t>）、化粪池（5m</w:t>
            </w:r>
            <w:r>
              <w:rPr>
                <w:rFonts w:hint="eastAsia" w:ascii="Times New Roman" w:hAnsi="Times New Roman" w:eastAsia="宋体" w:cs="Times New Roman"/>
                <w:szCs w:val="21"/>
                <w:vertAlign w:val="superscript"/>
              </w:rPr>
              <w:t>3</w:t>
            </w:r>
            <w:r>
              <w:rPr>
                <w:rFonts w:hint="eastAsia" w:ascii="Times New Roman" w:hAnsi="Times New Roman" w:eastAsia="宋体" w:cs="Times New Roman"/>
                <w:szCs w:val="21"/>
              </w:rPr>
              <w:t>）预处理后，</w:t>
            </w:r>
            <w:r>
              <w:rPr>
                <w:rFonts w:hint="eastAsia" w:ascii="Times New Roman" w:hAnsi="Times New Roman" w:eastAsia="宋体" w:cs="Times New Roman"/>
                <w:color w:val="0000FF"/>
                <w:szCs w:val="21"/>
                <w:lang w:val="en-US" w:eastAsia="zh-CN"/>
              </w:rPr>
              <w:t>暂</w:t>
            </w:r>
            <w:r>
              <w:rPr>
                <w:rFonts w:hint="eastAsia" w:ascii="Times New Roman" w:hAnsi="Times New Roman" w:eastAsia="宋体" w:cs="Times New Roman"/>
                <w:color w:val="0000FF"/>
                <w:szCs w:val="21"/>
              </w:rPr>
              <w:t>定期委托专业吸污车进行抽吸清运</w:t>
            </w:r>
            <w:r>
              <w:rPr>
                <w:rFonts w:hint="eastAsia" w:ascii="Times New Roman" w:hAnsi="Times New Roman" w:eastAsia="宋体" w:cs="Times New Roman"/>
                <w:color w:val="0000FF"/>
                <w:szCs w:val="21"/>
                <w:lang w:eastAsia="zh-CN"/>
              </w:rPr>
              <w:t>，</w:t>
            </w:r>
            <w:r>
              <w:rPr>
                <w:rFonts w:hint="eastAsia" w:ascii="Times New Roman" w:hAnsi="Times New Roman" w:eastAsia="宋体" w:cs="Times New Roman"/>
                <w:color w:val="0000FF"/>
                <w:szCs w:val="21"/>
                <w:lang w:val="en-US" w:eastAsia="zh-CN"/>
              </w:rPr>
              <w:t>签订清运处置协议，并跟踪去向</w:t>
            </w:r>
            <w:r>
              <w:rPr>
                <w:rFonts w:hint="eastAsia" w:ascii="Times New Roman" w:hAnsi="Times New Roman" w:eastAsia="宋体" w:cs="Times New Roman"/>
                <w:color w:val="0000FF"/>
                <w:szCs w:val="21"/>
                <w:lang w:eastAsia="zh-CN"/>
              </w:rPr>
              <w:t>，</w:t>
            </w:r>
            <w:r>
              <w:rPr>
                <w:rFonts w:hint="eastAsia" w:ascii="Times New Roman" w:hAnsi="Times New Roman" w:eastAsia="宋体" w:cs="Times New Roman"/>
                <w:color w:val="0000FF"/>
                <w:szCs w:val="21"/>
              </w:rPr>
              <w:t>待凹凸棒石初级加工园区污水处理厂投入</w:t>
            </w:r>
            <w:r>
              <w:rPr>
                <w:rFonts w:hint="eastAsia" w:ascii="Times New Roman" w:hAnsi="Times New Roman" w:eastAsia="宋体" w:cs="Times New Roman"/>
                <w:color w:val="0000FF"/>
                <w:szCs w:val="21"/>
                <w:lang w:val="en-US" w:eastAsia="zh-CN"/>
              </w:rPr>
              <w:t>稳定</w:t>
            </w:r>
            <w:r>
              <w:rPr>
                <w:rFonts w:hint="eastAsia" w:ascii="Times New Roman" w:hAnsi="Times New Roman" w:eastAsia="宋体" w:cs="Times New Roman"/>
                <w:color w:val="0000FF"/>
                <w:szCs w:val="21"/>
              </w:rPr>
              <w:t>运行后，排入该污水处理厂进行处理</w:t>
            </w:r>
            <w:r>
              <w:rPr>
                <w:rFonts w:hint="eastAsia" w:ascii="Times New Roman" w:hAnsi="Times New Roman" w:eastAsia="宋体" w:cs="Times New Roman"/>
                <w:color w:val="0000FF"/>
                <w:szCs w:val="21"/>
                <w:lang w:eastAsia="zh-CN"/>
              </w:rPr>
              <w:t>。</w:t>
            </w:r>
          </w:p>
        </w:tc>
        <w:tc>
          <w:tcPr>
            <w:tcW w:w="921" w:type="pct"/>
            <w:tcBorders>
              <w:top w:val="single" w:color="000000" w:sz="4" w:space="0"/>
              <w:left w:val="single" w:color="auto" w:sz="4" w:space="0"/>
              <w:bottom w:val="single" w:color="auto" w:sz="4" w:space="0"/>
              <w:right w:val="single" w:color="auto" w:sz="8" w:space="0"/>
            </w:tcBorders>
            <w:vAlign w:val="center"/>
          </w:tcPr>
          <w:p w14:paraId="652723C7">
            <w:pPr>
              <w:wordWrap w:val="0"/>
              <w:topLinePunct/>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0000FF"/>
                <w:szCs w:val="21"/>
                <w:lang w:val="en-US" w:eastAsia="zh-CN"/>
              </w:rPr>
              <w:t>最终进入凹凸棒石初级加工园区污水处理厂处理时，需</w:t>
            </w:r>
            <w:r>
              <w:rPr>
                <w:rFonts w:hint="eastAsia" w:ascii="Times New Roman" w:hAnsi="Times New Roman" w:eastAsia="宋体" w:cs="Times New Roman"/>
                <w:szCs w:val="21"/>
              </w:rPr>
              <w:t>达到《污水综合排放标准》（GB8978-1996）中三级标准限值且同时满足凹凸棒石初级加工园区污水处理厂接管标准</w:t>
            </w:r>
          </w:p>
        </w:tc>
      </w:tr>
      <w:tr w14:paraId="3B50C0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496" w:type="pct"/>
            <w:tcBorders>
              <w:top w:val="single" w:color="auto" w:sz="4" w:space="0"/>
              <w:left w:val="single" w:color="auto" w:sz="8" w:space="0"/>
              <w:bottom w:val="single" w:color="auto" w:sz="4" w:space="0"/>
              <w:right w:val="single" w:color="auto" w:sz="4" w:space="0"/>
            </w:tcBorders>
            <w:vAlign w:val="center"/>
          </w:tcPr>
          <w:p w14:paraId="3DE2530F">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声环境</w:t>
            </w:r>
          </w:p>
        </w:tc>
        <w:tc>
          <w:tcPr>
            <w:tcW w:w="896" w:type="pct"/>
            <w:tcBorders>
              <w:top w:val="single" w:color="auto" w:sz="4" w:space="0"/>
              <w:left w:val="single" w:color="auto" w:sz="4" w:space="0"/>
              <w:bottom w:val="single" w:color="auto" w:sz="4" w:space="0"/>
              <w:right w:val="single" w:color="auto" w:sz="4" w:space="0"/>
            </w:tcBorders>
            <w:vAlign w:val="center"/>
          </w:tcPr>
          <w:p w14:paraId="2E9928C3">
            <w:pPr>
              <w:wordWrap w:val="0"/>
              <w:topLinePunct/>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各类生产设备</w:t>
            </w:r>
          </w:p>
          <w:p w14:paraId="44BD912A">
            <w:pPr>
              <w:wordWrap w:val="0"/>
              <w:topLinePunct/>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噪声</w:t>
            </w:r>
          </w:p>
        </w:tc>
        <w:tc>
          <w:tcPr>
            <w:tcW w:w="775" w:type="pct"/>
            <w:tcBorders>
              <w:top w:val="single" w:color="auto" w:sz="4" w:space="0"/>
              <w:left w:val="single" w:color="auto" w:sz="4" w:space="0"/>
              <w:bottom w:val="single" w:color="auto" w:sz="4" w:space="0"/>
              <w:right w:val="single" w:color="auto" w:sz="4" w:space="0"/>
            </w:tcBorders>
            <w:vAlign w:val="center"/>
          </w:tcPr>
          <w:p w14:paraId="3776C74F">
            <w:pPr>
              <w:wordWrap w:val="0"/>
              <w:topLinePunct/>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等效A声级</w:t>
            </w:r>
          </w:p>
        </w:tc>
        <w:tc>
          <w:tcPr>
            <w:tcW w:w="1910" w:type="pct"/>
            <w:tcBorders>
              <w:top w:val="single" w:color="auto" w:sz="4" w:space="0"/>
              <w:left w:val="single" w:color="auto" w:sz="4" w:space="0"/>
              <w:bottom w:val="single" w:color="auto" w:sz="4" w:space="0"/>
              <w:right w:val="single" w:color="auto" w:sz="4" w:space="0"/>
            </w:tcBorders>
            <w:vAlign w:val="center"/>
          </w:tcPr>
          <w:p w14:paraId="62C8ED60">
            <w:pPr>
              <w:wordWrap w:val="0"/>
              <w:topLinePunct/>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设备基础减振、选用低噪声设备、设备定期维护保养、消声器消声</w:t>
            </w:r>
          </w:p>
        </w:tc>
        <w:tc>
          <w:tcPr>
            <w:tcW w:w="921" w:type="pct"/>
            <w:tcBorders>
              <w:top w:val="single" w:color="auto" w:sz="4" w:space="0"/>
              <w:left w:val="single" w:color="auto" w:sz="4" w:space="0"/>
              <w:bottom w:val="single" w:color="auto" w:sz="4" w:space="0"/>
              <w:right w:val="single" w:color="auto" w:sz="8" w:space="0"/>
            </w:tcBorders>
          </w:tcPr>
          <w:p w14:paraId="5147673F">
            <w:pPr>
              <w:wordWrap w:val="0"/>
              <w:topLinePunct/>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《工业企业厂界环境噪声排放标准》（GB12348-2008）</w:t>
            </w:r>
            <w:r>
              <w:rPr>
                <w:rFonts w:hint="eastAsia" w:ascii="Times New Roman" w:hAnsi="Times New Roman" w:eastAsia="宋体" w:cs="Times New Roman"/>
                <w:color w:val="FF0000"/>
                <w:szCs w:val="21"/>
              </w:rPr>
              <w:t>3类</w:t>
            </w:r>
            <w:r>
              <w:rPr>
                <w:rFonts w:hint="eastAsia" w:ascii="Times New Roman" w:hAnsi="Times New Roman" w:eastAsia="宋体" w:cs="Times New Roman"/>
                <w:color w:val="000000" w:themeColor="text1"/>
                <w:szCs w:val="21"/>
                <w14:textFill>
                  <w14:solidFill>
                    <w14:schemeClr w14:val="tx1"/>
                  </w14:solidFill>
                </w14:textFill>
              </w:rPr>
              <w:t>声环境功能区标准限值</w:t>
            </w:r>
          </w:p>
        </w:tc>
      </w:tr>
      <w:tr w14:paraId="76C321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96" w:type="pct"/>
            <w:tcBorders>
              <w:top w:val="single" w:color="auto" w:sz="4" w:space="0"/>
              <w:left w:val="single" w:color="auto" w:sz="8" w:space="0"/>
              <w:bottom w:val="single" w:color="auto" w:sz="4" w:space="0"/>
              <w:right w:val="single" w:color="auto" w:sz="4" w:space="0"/>
            </w:tcBorders>
            <w:vAlign w:val="center"/>
          </w:tcPr>
          <w:p w14:paraId="2404BEFA">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电磁</w:t>
            </w:r>
          </w:p>
          <w:p w14:paraId="651F2F9F">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辐射</w:t>
            </w:r>
          </w:p>
        </w:tc>
        <w:tc>
          <w:tcPr>
            <w:tcW w:w="896" w:type="pct"/>
            <w:tcBorders>
              <w:top w:val="single" w:color="auto" w:sz="4" w:space="0"/>
              <w:left w:val="single" w:color="auto" w:sz="4" w:space="0"/>
              <w:bottom w:val="single" w:color="auto" w:sz="4" w:space="0"/>
              <w:right w:val="single" w:color="auto" w:sz="4" w:space="0"/>
            </w:tcBorders>
            <w:vAlign w:val="center"/>
          </w:tcPr>
          <w:p w14:paraId="7872C671">
            <w:pPr>
              <w:wordWrap w:val="0"/>
              <w:topLinePunct/>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w:t>
            </w:r>
          </w:p>
        </w:tc>
        <w:tc>
          <w:tcPr>
            <w:tcW w:w="775" w:type="pct"/>
            <w:tcBorders>
              <w:top w:val="single" w:color="auto" w:sz="4" w:space="0"/>
              <w:left w:val="single" w:color="auto" w:sz="4" w:space="0"/>
              <w:bottom w:val="single" w:color="auto" w:sz="4" w:space="0"/>
              <w:right w:val="single" w:color="auto" w:sz="4" w:space="0"/>
            </w:tcBorders>
            <w:vAlign w:val="center"/>
          </w:tcPr>
          <w:p w14:paraId="6633DB87">
            <w:pPr>
              <w:wordWrap w:val="0"/>
              <w:topLinePunct/>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w:t>
            </w:r>
          </w:p>
        </w:tc>
        <w:tc>
          <w:tcPr>
            <w:tcW w:w="1910" w:type="pct"/>
            <w:tcBorders>
              <w:top w:val="single" w:color="auto" w:sz="4" w:space="0"/>
              <w:left w:val="single" w:color="auto" w:sz="4" w:space="0"/>
              <w:bottom w:val="single" w:color="auto" w:sz="4" w:space="0"/>
              <w:right w:val="single" w:color="auto" w:sz="4" w:space="0"/>
            </w:tcBorders>
            <w:vAlign w:val="center"/>
          </w:tcPr>
          <w:p w14:paraId="6E79BB42">
            <w:pPr>
              <w:wordWrap w:val="0"/>
              <w:topLinePunct/>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w:t>
            </w:r>
          </w:p>
        </w:tc>
        <w:tc>
          <w:tcPr>
            <w:tcW w:w="921" w:type="pct"/>
            <w:tcBorders>
              <w:top w:val="single" w:color="auto" w:sz="4" w:space="0"/>
              <w:left w:val="single" w:color="auto" w:sz="4" w:space="0"/>
              <w:bottom w:val="single" w:color="auto" w:sz="4" w:space="0"/>
              <w:right w:val="single" w:color="auto" w:sz="8" w:space="0"/>
            </w:tcBorders>
            <w:vAlign w:val="center"/>
          </w:tcPr>
          <w:p w14:paraId="4F11BE6C">
            <w:pPr>
              <w:wordWrap w:val="0"/>
              <w:topLinePunct/>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w:t>
            </w:r>
          </w:p>
        </w:tc>
      </w:tr>
      <w:tr w14:paraId="4CAA92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9" w:hRule="atLeast"/>
          <w:jc w:val="center"/>
        </w:trPr>
        <w:tc>
          <w:tcPr>
            <w:tcW w:w="496" w:type="pct"/>
            <w:tcBorders>
              <w:top w:val="single" w:color="auto" w:sz="4" w:space="0"/>
              <w:left w:val="single" w:color="auto" w:sz="8" w:space="0"/>
              <w:bottom w:val="single" w:color="auto" w:sz="4" w:space="0"/>
              <w:right w:val="single" w:color="auto" w:sz="4" w:space="0"/>
            </w:tcBorders>
            <w:vAlign w:val="center"/>
          </w:tcPr>
          <w:p w14:paraId="36E37E05">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固体</w:t>
            </w:r>
          </w:p>
          <w:p w14:paraId="50665743">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废物</w:t>
            </w:r>
          </w:p>
        </w:tc>
        <w:tc>
          <w:tcPr>
            <w:tcW w:w="4503" w:type="pct"/>
            <w:gridSpan w:val="4"/>
            <w:tcBorders>
              <w:top w:val="single" w:color="auto" w:sz="4" w:space="0"/>
              <w:left w:val="single" w:color="auto" w:sz="4" w:space="0"/>
              <w:bottom w:val="single" w:color="auto" w:sz="4" w:space="0"/>
              <w:right w:val="single" w:color="auto" w:sz="8" w:space="0"/>
            </w:tcBorders>
            <w:vAlign w:val="center"/>
          </w:tcPr>
          <w:p w14:paraId="012E9031">
            <w:pPr>
              <w:rPr>
                <w:rFonts w:ascii="Times New Roman" w:hAnsi="Times New Roman" w:eastAsia="宋体" w:cs="Times New Roman"/>
                <w:b/>
                <w:bCs/>
                <w:szCs w:val="21"/>
              </w:rPr>
            </w:pPr>
            <w:r>
              <w:rPr>
                <w:rFonts w:hint="eastAsia" w:ascii="Times New Roman" w:hAnsi="Times New Roman" w:eastAsia="宋体" w:cs="Times New Roman"/>
                <w:b/>
                <w:bCs/>
                <w:szCs w:val="21"/>
              </w:rPr>
              <w:t>一般固体废物：</w:t>
            </w:r>
          </w:p>
          <w:p w14:paraId="725E5C06">
            <w:pPr>
              <w:rPr>
                <w:rFonts w:ascii="Times New Roman" w:hAnsi="Times New Roman" w:eastAsia="宋体" w:cs="Times New Roman"/>
                <w:szCs w:val="21"/>
              </w:rPr>
            </w:pPr>
            <w:r>
              <w:rPr>
                <w:rFonts w:hint="eastAsia" w:ascii="Times New Roman" w:hAnsi="Times New Roman" w:eastAsia="宋体" w:cs="Times New Roman"/>
                <w:b/>
                <w:bCs/>
                <w:color w:val="000000" w:themeColor="text1"/>
                <w:szCs w:val="21"/>
                <w14:textFill>
                  <w14:solidFill>
                    <w14:schemeClr w14:val="tx1"/>
                  </w14:solidFill>
                </w14:textFill>
              </w:rPr>
              <w:t>除尘灰：</w:t>
            </w:r>
            <w:r>
              <w:rPr>
                <w:rFonts w:hint="eastAsia" w:ascii="Times New Roman" w:hAnsi="Times New Roman" w:eastAsia="宋体" w:cs="Times New Roman"/>
                <w:color w:val="000000" w:themeColor="text1"/>
                <w:szCs w:val="21"/>
                <w14:textFill>
                  <w14:solidFill>
                    <w14:schemeClr w14:val="tx1"/>
                  </w14:solidFill>
                </w14:textFill>
              </w:rPr>
              <w:t>外售至建材企业进行资源化综合利用；</w:t>
            </w:r>
            <w:r>
              <w:rPr>
                <w:rFonts w:hint="eastAsia" w:ascii="Times New Roman" w:hAnsi="Times New Roman" w:eastAsia="宋体" w:cs="Times New Roman"/>
                <w:b/>
                <w:bCs/>
                <w:szCs w:val="21"/>
              </w:rPr>
              <w:t>不合格石料：</w:t>
            </w:r>
            <w:r>
              <w:rPr>
                <w:rFonts w:hint="eastAsia" w:ascii="Times New Roman" w:hAnsi="Times New Roman" w:eastAsia="宋体" w:cs="Times New Roman"/>
                <w:szCs w:val="21"/>
              </w:rPr>
              <w:t>定期由石料供应商回收，经破碎加工后重新利用；</w:t>
            </w:r>
            <w:r>
              <w:rPr>
                <w:rFonts w:ascii="Times New Roman" w:hAnsi="Times New Roman" w:eastAsia="宋体" w:cs="Times New Roman"/>
                <w:b/>
                <w:bCs/>
                <w:szCs w:val="21"/>
              </w:rPr>
              <w:t>车辆冲洗废水沉淀池沉渣</w:t>
            </w:r>
            <w:r>
              <w:rPr>
                <w:rFonts w:hint="eastAsia" w:ascii="Times New Roman" w:hAnsi="Times New Roman" w:eastAsia="宋体" w:cs="Times New Roman"/>
                <w:b/>
                <w:bCs/>
                <w:szCs w:val="21"/>
              </w:rPr>
              <w:t>：</w:t>
            </w:r>
            <w:r>
              <w:rPr>
                <w:rFonts w:hint="eastAsia" w:ascii="Times New Roman" w:hAnsi="Times New Roman" w:eastAsia="宋体" w:cs="Times New Roman"/>
                <w:szCs w:val="21"/>
              </w:rPr>
              <w:t>定期收集后，</w:t>
            </w:r>
            <w:r>
              <w:rPr>
                <w:rFonts w:ascii="Times New Roman" w:hAnsi="Times New Roman" w:eastAsia="宋体" w:cs="Times New Roman"/>
                <w:szCs w:val="21"/>
              </w:rPr>
              <w:t>外售</w:t>
            </w:r>
            <w:r>
              <w:rPr>
                <w:rFonts w:hint="eastAsia" w:ascii="Times New Roman" w:hAnsi="Times New Roman" w:eastAsia="宋体" w:cs="Times New Roman"/>
                <w:szCs w:val="21"/>
              </w:rPr>
              <w:t>至</w:t>
            </w:r>
            <w:r>
              <w:rPr>
                <w:rFonts w:ascii="Times New Roman" w:hAnsi="Times New Roman" w:eastAsia="宋体" w:cs="Times New Roman"/>
                <w:szCs w:val="21"/>
              </w:rPr>
              <w:t>建材企业进行资源化</w:t>
            </w:r>
            <w:r>
              <w:rPr>
                <w:rFonts w:hint="eastAsia" w:ascii="Times New Roman" w:hAnsi="Times New Roman" w:eastAsia="宋体" w:cs="Times New Roman"/>
                <w:szCs w:val="21"/>
              </w:rPr>
              <w:t>综合</w:t>
            </w:r>
            <w:r>
              <w:rPr>
                <w:rFonts w:ascii="Times New Roman" w:hAnsi="Times New Roman" w:eastAsia="宋体" w:cs="Times New Roman"/>
                <w:szCs w:val="21"/>
              </w:rPr>
              <w:t>利用</w:t>
            </w:r>
            <w:r>
              <w:rPr>
                <w:rFonts w:hint="eastAsia" w:ascii="Times New Roman" w:hAnsi="Times New Roman" w:eastAsia="宋体" w:cs="Times New Roman"/>
                <w:szCs w:val="21"/>
              </w:rPr>
              <w:t>；</w:t>
            </w:r>
            <w:r>
              <w:rPr>
                <w:rFonts w:ascii="Times New Roman" w:hAnsi="Times New Roman" w:eastAsia="宋体" w:cs="Times New Roman"/>
                <w:b/>
                <w:bCs/>
                <w:szCs w:val="21"/>
              </w:rPr>
              <w:t>废布袋、废滤芯</w:t>
            </w:r>
            <w:r>
              <w:rPr>
                <w:rFonts w:hint="eastAsia" w:ascii="Times New Roman" w:hAnsi="Times New Roman" w:eastAsia="宋体" w:cs="Times New Roman"/>
                <w:b/>
                <w:bCs/>
                <w:szCs w:val="21"/>
              </w:rPr>
              <w:t>：</w:t>
            </w:r>
            <w:r>
              <w:rPr>
                <w:rFonts w:ascii="Times New Roman" w:hAnsi="Times New Roman" w:eastAsia="宋体" w:cs="Times New Roman"/>
                <w:szCs w:val="21"/>
              </w:rPr>
              <w:t>经统一收集后，定期返回原供应商进行回收利用</w:t>
            </w:r>
            <w:r>
              <w:rPr>
                <w:rFonts w:hint="eastAsia" w:ascii="Times New Roman" w:hAnsi="Times New Roman" w:eastAsia="宋体" w:cs="Times New Roman"/>
                <w:szCs w:val="21"/>
              </w:rPr>
              <w:t>；</w:t>
            </w:r>
            <w:r>
              <w:rPr>
                <w:rFonts w:ascii="Times New Roman" w:hAnsi="Times New Roman" w:eastAsia="宋体" w:cs="Times New Roman"/>
                <w:b/>
                <w:bCs/>
                <w:szCs w:val="21"/>
              </w:rPr>
              <w:t>滴漏沥青及拌合残渣</w:t>
            </w:r>
            <w:r>
              <w:rPr>
                <w:rFonts w:hint="eastAsia" w:ascii="Times New Roman" w:hAnsi="Times New Roman" w:eastAsia="宋体" w:cs="Times New Roman"/>
                <w:b/>
                <w:bCs/>
                <w:szCs w:val="21"/>
              </w:rPr>
              <w:t>：</w:t>
            </w:r>
            <w:r>
              <w:rPr>
                <w:rFonts w:ascii="Times New Roman" w:hAnsi="Times New Roman" w:eastAsia="宋体" w:cs="Times New Roman"/>
                <w:szCs w:val="21"/>
              </w:rPr>
              <w:t>经收集后直接返回沥青混凝土拌合生产工序中重复利用</w:t>
            </w:r>
            <w:r>
              <w:rPr>
                <w:rFonts w:hint="eastAsia" w:ascii="Times New Roman" w:hAnsi="Times New Roman" w:eastAsia="宋体" w:cs="Times New Roman"/>
                <w:szCs w:val="21"/>
              </w:rPr>
              <w:t>；</w:t>
            </w:r>
            <w:r>
              <w:rPr>
                <w:rFonts w:ascii="Times New Roman" w:hAnsi="Times New Roman" w:eastAsia="宋体" w:cs="Times New Roman"/>
                <w:b/>
                <w:bCs/>
                <w:szCs w:val="21"/>
              </w:rPr>
              <w:t>职工生活垃圾</w:t>
            </w:r>
            <w:r>
              <w:rPr>
                <w:rFonts w:hint="eastAsia" w:ascii="Times New Roman" w:hAnsi="Times New Roman" w:eastAsia="宋体" w:cs="Times New Roman"/>
                <w:szCs w:val="21"/>
              </w:rPr>
              <w:t>：</w:t>
            </w:r>
            <w:r>
              <w:rPr>
                <w:rFonts w:ascii="Times New Roman" w:hAnsi="Times New Roman" w:eastAsia="宋体" w:cs="Times New Roman"/>
                <w:szCs w:val="21"/>
              </w:rPr>
              <w:t>分类收集、避雨存放，由工业园区环卫定期清运</w:t>
            </w:r>
            <w:r>
              <w:rPr>
                <w:rFonts w:hint="eastAsia" w:ascii="Times New Roman" w:hAnsi="Times New Roman" w:eastAsia="宋体" w:cs="Times New Roman"/>
                <w:szCs w:val="21"/>
              </w:rPr>
              <w:t>处置；</w:t>
            </w:r>
            <w:r>
              <w:rPr>
                <w:rFonts w:ascii="Times New Roman" w:hAnsi="Times New Roman" w:eastAsia="宋体" w:cs="Times New Roman"/>
                <w:b/>
                <w:bCs/>
                <w:szCs w:val="21"/>
              </w:rPr>
              <w:t>食堂餐厨垃圾</w:t>
            </w:r>
            <w:r>
              <w:rPr>
                <w:rFonts w:hint="eastAsia" w:ascii="Times New Roman" w:hAnsi="Times New Roman" w:eastAsia="宋体" w:cs="Times New Roman"/>
                <w:b/>
                <w:bCs/>
                <w:szCs w:val="21"/>
              </w:rPr>
              <w:t>：</w:t>
            </w:r>
            <w:r>
              <w:rPr>
                <w:rFonts w:ascii="Times New Roman" w:hAnsi="Times New Roman" w:eastAsia="宋体" w:cs="Times New Roman"/>
                <w:szCs w:val="21"/>
              </w:rPr>
              <w:t>收集后由工业园区指定专业单位定期集中清运、处置</w:t>
            </w:r>
            <w:r>
              <w:rPr>
                <w:rFonts w:hint="eastAsia" w:ascii="Times New Roman" w:hAnsi="Times New Roman" w:eastAsia="宋体" w:cs="Times New Roman"/>
                <w:szCs w:val="21"/>
              </w:rPr>
              <w:t>；</w:t>
            </w:r>
            <w:r>
              <w:rPr>
                <w:rFonts w:ascii="Times New Roman" w:hAnsi="Times New Roman" w:eastAsia="宋体" w:cs="Times New Roman"/>
                <w:b/>
                <w:bCs/>
                <w:szCs w:val="21"/>
              </w:rPr>
              <w:t>隔油池、化粪池沉渣</w:t>
            </w:r>
            <w:r>
              <w:rPr>
                <w:rFonts w:hint="eastAsia" w:ascii="Times New Roman" w:hAnsi="Times New Roman" w:eastAsia="宋体" w:cs="Times New Roman"/>
                <w:b/>
                <w:bCs/>
                <w:szCs w:val="21"/>
              </w:rPr>
              <w:t>：</w:t>
            </w:r>
            <w:r>
              <w:rPr>
                <w:rFonts w:hint="eastAsia" w:ascii="Times New Roman" w:hAnsi="Times New Roman" w:eastAsia="宋体" w:cs="Times New Roman"/>
                <w:szCs w:val="21"/>
              </w:rPr>
              <w:t>定期委托专业吸污车对化粪池进行抽吸清运；隔油池油脂及沉积混合物清掏后，交由具备专业餐厨废弃物处理能力的单位进行无害化处置；运营期，签订处置协议。</w:t>
            </w:r>
          </w:p>
          <w:p w14:paraId="28FD432D">
            <w:pPr>
              <w:wordWrap w:val="0"/>
              <w:topLinePunct/>
              <w:adjustRightInd w:val="0"/>
              <w:jc w:val="left"/>
              <w:textAlignment w:val="baseline"/>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危险废物：</w:t>
            </w:r>
          </w:p>
          <w:p w14:paraId="1706D111">
            <w:pPr>
              <w:wordWrap w:val="0"/>
              <w:topLinePunct/>
              <w:adjustRightInd w:val="0"/>
              <w:jc w:val="left"/>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废活性炭、废焦油、洗涤塔循环废液、洗涤塔沉淀焦油渣、</w:t>
            </w:r>
            <w:r>
              <w:rPr>
                <w:rFonts w:hint="eastAsia" w:ascii="Times New Roman" w:hAnsi="Times New Roman" w:eastAsia="宋体" w:cs="Times New Roman"/>
                <w:b/>
                <w:bCs/>
                <w:color w:val="1331F5"/>
                <w:szCs w:val="21"/>
              </w:rPr>
              <w:t>废含油棉纱及废手套</w:t>
            </w:r>
            <w:r>
              <w:rPr>
                <w:rFonts w:hint="eastAsia" w:ascii="Times New Roman" w:hAnsi="Times New Roman" w:eastAsia="宋体" w:cs="Times New Roman"/>
                <w:b/>
                <w:bCs/>
                <w:color w:val="1331F5"/>
                <w:szCs w:val="21"/>
                <w:lang w:val="en-US" w:eastAsia="zh-CN"/>
              </w:rPr>
              <w:t>:</w:t>
            </w:r>
            <w:r>
              <w:rPr>
                <w:rFonts w:hint="eastAsia" w:ascii="Times New Roman" w:hAnsi="Times New Roman" w:eastAsia="宋体" w:cs="Times New Roman"/>
                <w:color w:val="000000" w:themeColor="text1"/>
                <w:szCs w:val="21"/>
                <w14:textFill>
                  <w14:solidFill>
                    <w14:schemeClr w14:val="tx1"/>
                  </w14:solidFill>
                </w14:textFill>
              </w:rPr>
              <w:t>采用密封防腐防渗容器规范收集后，委托具备相应危险废物处置资质的危险废物处置单位定期清运，进行安全、无害化处置。</w:t>
            </w:r>
          </w:p>
          <w:p w14:paraId="7B8F4A18">
            <w:pPr>
              <w:wordWrap w:val="0"/>
              <w:topLinePunct/>
              <w:adjustRightInd w:val="0"/>
              <w:jc w:val="left"/>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废导热油、柴油储罐油泥</w:t>
            </w:r>
            <w:r>
              <w:rPr>
                <w:rFonts w:hint="eastAsia" w:ascii="Times New Roman" w:hAnsi="Times New Roman" w:eastAsia="宋体" w:cs="Times New Roman"/>
                <w:color w:val="000000" w:themeColor="text1"/>
                <w:szCs w:val="21"/>
                <w14:textFill>
                  <w14:solidFill>
                    <w14:schemeClr w14:val="tx1"/>
                  </w14:solidFill>
                </w14:textFill>
              </w:rPr>
              <w:t>经专用密闭防腐防渗容器规范收集，由具备危险废物处置资质的单位直接回收处置，不在厂区内暂存。</w:t>
            </w:r>
          </w:p>
          <w:p w14:paraId="431A8184">
            <w:pPr>
              <w:wordWrap w:val="0"/>
              <w:topLinePunct/>
              <w:adjustRightInd w:val="0"/>
              <w:jc w:val="left"/>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废矿物油</w:t>
            </w:r>
            <w:r>
              <w:rPr>
                <w:rFonts w:hint="eastAsia" w:ascii="Times New Roman" w:hAnsi="Times New Roman" w:eastAsia="宋体" w:cs="Times New Roman"/>
                <w:color w:val="000000" w:themeColor="text1"/>
                <w:szCs w:val="21"/>
                <w14:textFill>
                  <w14:solidFill>
                    <w14:schemeClr w14:val="tx1"/>
                  </w14:solidFill>
                </w14:textFill>
              </w:rPr>
              <w:t>经专用密闭防腐防渗容器规范收集后，暂存于危废贮存点，容器置于防渗托盘内，委托具备相应危险废物处置资质的危险废物处置单位定期清运，进行安全、无害化处置。</w:t>
            </w:r>
          </w:p>
          <w:p w14:paraId="6AE77619">
            <w:pPr>
              <w:wordWrap w:val="0"/>
              <w:topLinePunct/>
              <w:adjustRightInd w:val="0"/>
              <w:jc w:val="left"/>
              <w:textAlignment w:val="baseline"/>
            </w:pPr>
            <w:r>
              <w:rPr>
                <w:rFonts w:hint="eastAsia" w:ascii="Times New Roman" w:hAnsi="Times New Roman" w:eastAsia="宋体" w:cs="Times New Roman"/>
                <w:b/>
                <w:bCs/>
                <w:color w:val="000000" w:themeColor="text1"/>
                <w:szCs w:val="21"/>
                <w14:textFill>
                  <w14:solidFill>
                    <w14:schemeClr w14:val="tx1"/>
                  </w14:solidFill>
                </w14:textFill>
              </w:rPr>
              <w:t>废油桶</w:t>
            </w:r>
            <w:r>
              <w:rPr>
                <w:rFonts w:hint="eastAsia" w:ascii="Times New Roman" w:hAnsi="Times New Roman" w:eastAsia="宋体" w:cs="Times New Roman"/>
                <w:color w:val="000000" w:themeColor="text1"/>
                <w:szCs w:val="21"/>
                <w14:textFill>
                  <w14:solidFill>
                    <w14:schemeClr w14:val="tx1"/>
                  </w14:solidFill>
                </w14:textFill>
              </w:rPr>
              <w:t>分类收集，保持桶体完整并加盖，暂存于危废贮存点，放置于托盘之上，委托具备相应危险废物处置资质的危险废物处置单位定期清运，进行安全、无害化处置。</w:t>
            </w:r>
          </w:p>
        </w:tc>
      </w:tr>
      <w:tr w14:paraId="4805BA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496" w:type="pct"/>
            <w:tcBorders>
              <w:top w:val="single" w:color="auto" w:sz="4" w:space="0"/>
              <w:left w:val="single" w:color="auto" w:sz="8" w:space="0"/>
              <w:bottom w:val="single" w:color="auto" w:sz="4" w:space="0"/>
              <w:right w:val="single" w:color="auto" w:sz="4" w:space="0"/>
            </w:tcBorders>
            <w:vAlign w:val="center"/>
          </w:tcPr>
          <w:p w14:paraId="46BFFE18">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土壤及地下水污染防治措施</w:t>
            </w:r>
          </w:p>
        </w:tc>
        <w:tc>
          <w:tcPr>
            <w:tcW w:w="4503" w:type="pct"/>
            <w:gridSpan w:val="4"/>
            <w:tcBorders>
              <w:top w:val="single" w:color="auto" w:sz="4" w:space="0"/>
              <w:left w:val="single" w:color="auto" w:sz="4" w:space="0"/>
              <w:bottom w:val="single" w:color="auto" w:sz="4" w:space="0"/>
              <w:right w:val="single" w:color="auto" w:sz="8" w:space="0"/>
            </w:tcBorders>
            <w:vAlign w:val="center"/>
          </w:tcPr>
          <w:p w14:paraId="4E83B5C9">
            <w:pPr>
              <w:wordWrap w:val="0"/>
              <w:topLinePunct/>
              <w:adjustRightInd w:val="0"/>
              <w:jc w:val="left"/>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源头控制、分区防渗、加强巡检；本环评要求危险废物贮存点（危险废物暂存间）区域、有机热载体炉房区域（导热油）、柴油储罐区域、事故收集池（柴油储罐区）、防火堤围堰执行重点防渗区要求。即重点防渗区防渗层的防渗性能应等效于6.0m厚渗透系数为1.0×10</w:t>
            </w:r>
            <w:r>
              <w:rPr>
                <w:rFonts w:hint="eastAsia" w:ascii="Times New Roman" w:hAnsi="Times New Roman" w:eastAsia="宋体" w:cs="Times New Roman"/>
                <w:color w:val="000000" w:themeColor="text1"/>
                <w:szCs w:val="21"/>
                <w:vertAlign w:val="superscript"/>
                <w14:textFill>
                  <w14:solidFill>
                    <w14:schemeClr w14:val="tx1"/>
                  </w14:solidFill>
                </w14:textFill>
              </w:rPr>
              <w:t>-7</w:t>
            </w:r>
            <w:r>
              <w:rPr>
                <w:rFonts w:hint="eastAsia" w:ascii="Times New Roman" w:hAnsi="Times New Roman" w:eastAsia="宋体" w:cs="Times New Roman"/>
                <w:color w:val="000000" w:themeColor="text1"/>
                <w:szCs w:val="21"/>
                <w14:textFill>
                  <w14:solidFill>
                    <w14:schemeClr w14:val="tx1"/>
                  </w14:solidFill>
                </w14:textFill>
              </w:rPr>
              <w:t>cm/s的黏土层的防渗性能；危险废物贮存点（危险废物暂存间）还应同时满足《危险废物贮存污染控制标准》（GB 18597-2023）的相关要求：“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eastAsia" w:ascii="Times New Roman" w:hAnsi="Times New Roman" w:eastAsia="宋体" w:cs="Times New Roman"/>
                <w:color w:val="000000" w:themeColor="text1"/>
                <w:szCs w:val="21"/>
                <w:vertAlign w:val="superscript"/>
                <w14:textFill>
                  <w14:solidFill>
                    <w14:schemeClr w14:val="tx1"/>
                  </w14:solidFill>
                </w14:textFill>
              </w:rPr>
              <w:t>-7</w:t>
            </w:r>
            <w:r>
              <w:rPr>
                <w:rFonts w:hint="eastAsia" w:ascii="Times New Roman" w:hAnsi="Times New Roman" w:eastAsia="宋体" w:cs="Times New Roman"/>
                <w:color w:val="000000" w:themeColor="text1"/>
                <w:szCs w:val="21"/>
                <w14:textFill>
                  <w14:solidFill>
                    <w14:schemeClr w14:val="tx1"/>
                  </w14:solidFill>
                </w14:textFill>
              </w:rPr>
              <w:t>cm/s），或至少2mm厚高密度聚乙烯膜等人工防渗材料（渗透系数不大于10</w:t>
            </w:r>
            <w:r>
              <w:rPr>
                <w:rFonts w:hint="eastAsia" w:ascii="Times New Roman" w:hAnsi="Times New Roman" w:eastAsia="宋体" w:cs="Times New Roman"/>
                <w:color w:val="000000" w:themeColor="text1"/>
                <w:szCs w:val="21"/>
                <w:vertAlign w:val="superscript"/>
                <w14:textFill>
                  <w14:solidFill>
                    <w14:schemeClr w14:val="tx1"/>
                  </w14:solidFill>
                </w14:textFill>
              </w:rPr>
              <w:t>-10</w:t>
            </w:r>
            <w:r>
              <w:rPr>
                <w:rFonts w:hint="eastAsia" w:ascii="Times New Roman" w:hAnsi="Times New Roman" w:eastAsia="宋体" w:cs="Times New Roman"/>
                <w:color w:val="000000" w:themeColor="text1"/>
                <w:szCs w:val="21"/>
                <w14:textFill>
                  <w14:solidFill>
                    <w14:schemeClr w14:val="tx1"/>
                  </w14:solidFill>
                </w14:textFill>
              </w:rPr>
              <w:t>cm/s），或其他防渗性能等效的材料”</w:t>
            </w:r>
            <w:r>
              <w:fldChar w:fldCharType="begin"/>
            </w:r>
            <w:r>
              <w:instrText xml:space="preserve"> HYPERLINK "http://www.nys.gov.cn:8090/Upload/main/ContentManage/Article/File/2025/06/20/202506202056598945.pdf" \l "41#38" \t "/Users/zhangminen/Documents\x/_blank" </w:instrText>
            </w:r>
            <w:r>
              <w:fldChar w:fldCharType="separate"/>
            </w:r>
            <w:r>
              <w:fldChar w:fldCharType="end"/>
            </w:r>
            <w:r>
              <w:rPr>
                <w:rFonts w:hint="eastAsia" w:ascii="Times New Roman" w:hAnsi="Times New Roman" w:eastAsia="宋体" w:cs="Times New Roman"/>
                <w:color w:val="000000" w:themeColor="text1"/>
                <w:szCs w:val="21"/>
                <w14:textFill>
                  <w14:solidFill>
                    <w14:schemeClr w14:val="tx1"/>
                  </w14:solidFill>
                </w14:textFill>
              </w:rPr>
              <w:t>。柴油储罐区设置非燃烧材料的防火堤围堰，围堰高度1m，内置导流槽与防渗事故收集池（50m</w:t>
            </w:r>
            <w:r>
              <w:rPr>
                <w:rFonts w:hint="eastAsia" w:ascii="Times New Roman" w:hAnsi="Times New Roman" w:eastAsia="宋体" w:cs="Times New Roman"/>
                <w:color w:val="000000" w:themeColor="text1"/>
                <w:szCs w:val="21"/>
                <w:vertAlign w:val="superscript"/>
                <w14:textFill>
                  <w14:solidFill>
                    <w14:schemeClr w14:val="tx1"/>
                  </w14:solidFill>
                </w14:textFill>
              </w:rPr>
              <w:t>3</w:t>
            </w:r>
            <w:r>
              <w:rPr>
                <w:rFonts w:hint="eastAsia" w:ascii="Times New Roman" w:hAnsi="Times New Roman" w:eastAsia="宋体" w:cs="Times New Roman"/>
                <w:color w:val="000000" w:themeColor="text1"/>
                <w:szCs w:val="21"/>
                <w14:textFill>
                  <w14:solidFill>
                    <w14:schemeClr w14:val="tx1"/>
                  </w14:solidFill>
                </w14:textFill>
              </w:rPr>
              <w:t>）有效连接。</w:t>
            </w:r>
          </w:p>
          <w:p w14:paraId="2DE1BC68">
            <w:pPr>
              <w:wordWrap w:val="0"/>
              <w:topLinePunct/>
              <w:adjustRightInd w:val="0"/>
              <w:jc w:val="left"/>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沥青拌合楼区域、沥青储罐区域、原料堆棚区域、废料仓、一般工业固体废物暂存间、化粪池区域、车辆冲洗废水沉淀池区域执行一般防渗区要求，即一般防渗区防渗层的防渗性能应等效于1.5m厚渗透系数为1.0×10</w:t>
            </w:r>
            <w:r>
              <w:rPr>
                <w:rFonts w:hint="eastAsia" w:ascii="Times New Roman" w:hAnsi="Times New Roman" w:eastAsia="宋体" w:cs="Times New Roman"/>
                <w:color w:val="000000" w:themeColor="text1"/>
                <w:szCs w:val="21"/>
                <w:vertAlign w:val="superscript"/>
                <w14:textFill>
                  <w14:solidFill>
                    <w14:schemeClr w14:val="tx1"/>
                  </w14:solidFill>
                </w14:textFill>
              </w:rPr>
              <w:t>-7</w:t>
            </w:r>
            <w:r>
              <w:rPr>
                <w:rFonts w:hint="eastAsia" w:ascii="Times New Roman" w:hAnsi="Times New Roman" w:eastAsia="宋体" w:cs="Times New Roman"/>
                <w:color w:val="000000" w:themeColor="text1"/>
                <w:szCs w:val="21"/>
                <w14:textFill>
                  <w14:solidFill>
                    <w14:schemeClr w14:val="tx1"/>
                  </w14:solidFill>
                </w14:textFill>
              </w:rPr>
              <w:t>cm/s的黏土层的防渗性能。厂区综合用房、道路等区域执行简单防渗区要求，进行一般地面硬化。</w:t>
            </w:r>
          </w:p>
        </w:tc>
      </w:tr>
      <w:tr w14:paraId="124129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496" w:type="pct"/>
            <w:tcBorders>
              <w:top w:val="single" w:color="auto" w:sz="4" w:space="0"/>
              <w:left w:val="single" w:color="auto" w:sz="8" w:space="0"/>
              <w:bottom w:val="single" w:color="auto" w:sz="4" w:space="0"/>
              <w:right w:val="single" w:color="auto" w:sz="4" w:space="0"/>
            </w:tcBorders>
            <w:vAlign w:val="center"/>
          </w:tcPr>
          <w:p w14:paraId="1EC4F6E5">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生态保护措施</w:t>
            </w:r>
          </w:p>
        </w:tc>
        <w:tc>
          <w:tcPr>
            <w:tcW w:w="4503" w:type="pct"/>
            <w:gridSpan w:val="4"/>
            <w:tcBorders>
              <w:top w:val="single" w:color="auto" w:sz="4" w:space="0"/>
              <w:left w:val="single" w:color="auto" w:sz="4" w:space="0"/>
              <w:bottom w:val="single" w:color="auto" w:sz="4" w:space="0"/>
              <w:right w:val="single" w:color="auto" w:sz="8" w:space="0"/>
            </w:tcBorders>
            <w:vAlign w:val="center"/>
          </w:tcPr>
          <w:p w14:paraId="054063CC">
            <w:pPr>
              <w:adjustRightInd w:val="0"/>
              <w:spacing w:line="24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000000" w:themeColor="text1"/>
                <w:szCs w:val="21"/>
                <w14:textFill>
                  <w14:solidFill>
                    <w14:schemeClr w14:val="tx1"/>
                  </w14:solidFill>
                </w14:textFill>
              </w:rPr>
              <w:t>/</w:t>
            </w:r>
          </w:p>
        </w:tc>
      </w:tr>
      <w:tr w14:paraId="3BA4CC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96" w:type="pct"/>
            <w:tcBorders>
              <w:top w:val="single" w:color="auto" w:sz="4" w:space="0"/>
              <w:left w:val="single" w:color="auto" w:sz="8" w:space="0"/>
              <w:bottom w:val="single" w:color="auto" w:sz="4" w:space="0"/>
              <w:right w:val="single" w:color="auto" w:sz="4" w:space="0"/>
            </w:tcBorders>
            <w:vAlign w:val="center"/>
          </w:tcPr>
          <w:p w14:paraId="68EF787E">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环境风险防范措施</w:t>
            </w:r>
          </w:p>
          <w:p w14:paraId="45EE73FB">
            <w:pPr>
              <w:adjustRightInd w:val="0"/>
              <w:spacing w:line="240" w:lineRule="exact"/>
              <w:jc w:val="center"/>
              <w:textAlignment w:val="baseline"/>
              <w:rPr>
                <w:rFonts w:ascii="Times New Roman" w:hAnsi="Times New Roman" w:eastAsia="宋体" w:cs="Times New Roman"/>
                <w:szCs w:val="21"/>
              </w:rPr>
            </w:pPr>
          </w:p>
        </w:tc>
        <w:tc>
          <w:tcPr>
            <w:tcW w:w="4503" w:type="pct"/>
            <w:gridSpan w:val="4"/>
            <w:tcBorders>
              <w:top w:val="single" w:color="auto" w:sz="4" w:space="0"/>
              <w:left w:val="single" w:color="auto" w:sz="4" w:space="0"/>
              <w:bottom w:val="single" w:color="auto" w:sz="4" w:space="0"/>
              <w:right w:val="single" w:color="auto" w:sz="8" w:space="0"/>
            </w:tcBorders>
            <w:vAlign w:val="center"/>
          </w:tcPr>
          <w:p w14:paraId="67E447D6">
            <w:pPr>
              <w:rPr>
                <w:rFonts w:ascii="Times New Roman" w:hAnsi="Times New Roman" w:eastAsia="宋体" w:cs="Times New Roman"/>
                <w:szCs w:val="21"/>
              </w:rPr>
            </w:pPr>
            <w:r>
              <w:rPr>
                <w:rFonts w:ascii="Times New Roman" w:hAnsi="Times New Roman" w:eastAsia="宋体" w:cs="Times New Roman"/>
                <w:szCs w:val="21"/>
              </w:rPr>
              <w:t>①定期对环保污染防治设施、生产装置和设备进行全面而细致的检查和维护，确保其始终处于最佳运行状态。环保污染防治设施、生产装置和设备主要零部件应有备件； ②更换生产装置、生产设备、环保污染防治设施等设施设备所需油品或需维护、检修、润滑时，地面应设置接油盘、防油垫或其他防泄漏、撒漏措施，以确保油品不会直接渗漏到地面上，防止环境污染和安全隐患</w:t>
            </w:r>
            <w:r>
              <w:rPr>
                <w:rFonts w:hint="eastAsia" w:ascii="Times New Roman" w:hAnsi="Times New Roman" w:eastAsia="宋体" w:cs="Times New Roman"/>
                <w:szCs w:val="21"/>
              </w:rPr>
              <w:t>；</w:t>
            </w:r>
            <w:r>
              <w:rPr>
                <w:rFonts w:ascii="Times New Roman" w:hAnsi="Times New Roman" w:eastAsia="宋体" w:cs="Times New Roman"/>
                <w:szCs w:val="21"/>
              </w:rPr>
              <w:t>同时，应设置明显的警示标志，提醒作业人员注意安全操作； ③危险废物贮存点应要防风、防雨、防晒、防漏、防渗、防腐；不应露天堆放危险废物；执行《危险废物贮存污染控制标准》（GB18597-2023）相关规定要求； ④柴油储罐区设置非燃烧材料的防火堤围堰，围堰高度1m，内置导流槽与防渗事故收集池（50m</w:t>
            </w:r>
            <w:r>
              <w:rPr>
                <w:rFonts w:ascii="Times New Roman" w:hAnsi="Times New Roman" w:eastAsia="宋体" w:cs="Times New Roman"/>
                <w:szCs w:val="21"/>
                <w:vertAlign w:val="superscript"/>
              </w:rPr>
              <w:t>3</w:t>
            </w:r>
            <w:r>
              <w:rPr>
                <w:rFonts w:ascii="Times New Roman" w:hAnsi="Times New Roman" w:eastAsia="宋体" w:cs="Times New Roman"/>
                <w:szCs w:val="21"/>
              </w:rPr>
              <w:t>）有效连接；⑤危险废物贮存点（危险废物暂存间）区域</w:t>
            </w:r>
            <w:r>
              <w:rPr>
                <w:rFonts w:hint="eastAsia" w:ascii="Times New Roman" w:hAnsi="Times New Roman" w:eastAsia="宋体" w:cs="Times New Roman"/>
                <w:szCs w:val="21"/>
              </w:rPr>
              <w:t>、</w:t>
            </w:r>
            <w:r>
              <w:rPr>
                <w:rFonts w:ascii="Times New Roman" w:hAnsi="Times New Roman" w:eastAsia="宋体" w:cs="Times New Roman"/>
                <w:szCs w:val="21"/>
              </w:rPr>
              <w:t>有机热载体炉房区域（导热油）、柴油储罐区域、事故收集池（柴油储罐区）、防火堤围堰执行重点防渗区要求，即重点防渗区防渗层的防渗性能应等效于6.0m厚渗透系数为1.0×10</w:t>
            </w:r>
            <w:r>
              <w:rPr>
                <w:rFonts w:ascii="Times New Roman" w:hAnsi="Times New Roman" w:eastAsia="宋体" w:cs="Times New Roman"/>
                <w:szCs w:val="21"/>
                <w:vertAlign w:val="superscript"/>
              </w:rPr>
              <w:t>-7</w:t>
            </w:r>
            <w:r>
              <w:rPr>
                <w:rFonts w:ascii="Times New Roman" w:hAnsi="Times New Roman" w:eastAsia="宋体" w:cs="Times New Roman"/>
                <w:szCs w:val="21"/>
              </w:rPr>
              <w:t>cm/s的黏土层的防渗性能；⑥本项目在正式投入运行前，应编制突发环境事件应急预案并报送张掖市生态环境局临泽分局备案。</w:t>
            </w:r>
          </w:p>
        </w:tc>
      </w:tr>
      <w:tr w14:paraId="1D83EB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496" w:type="pct"/>
            <w:tcBorders>
              <w:top w:val="single" w:color="auto" w:sz="4" w:space="0"/>
              <w:left w:val="single" w:color="auto" w:sz="8" w:space="0"/>
              <w:bottom w:val="single" w:color="auto" w:sz="8" w:space="0"/>
              <w:right w:val="single" w:color="auto" w:sz="4" w:space="0"/>
            </w:tcBorders>
            <w:vAlign w:val="center"/>
          </w:tcPr>
          <w:p w14:paraId="3C55DD43">
            <w:pPr>
              <w:adjustRightInd w:val="0"/>
              <w:spacing w:line="240" w:lineRule="exact"/>
              <w:jc w:val="center"/>
              <w:textAlignment w:val="baseline"/>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其他环境管理要求</w:t>
            </w:r>
          </w:p>
          <w:p w14:paraId="45162C48">
            <w:pPr>
              <w:adjustRightInd w:val="0"/>
              <w:spacing w:line="240" w:lineRule="exact"/>
              <w:jc w:val="center"/>
              <w:textAlignment w:val="baseline"/>
              <w:rPr>
                <w:rFonts w:ascii="Times New Roman" w:hAnsi="Times New Roman" w:eastAsia="宋体" w:cs="Times New Roman"/>
                <w:szCs w:val="21"/>
              </w:rPr>
            </w:pPr>
          </w:p>
        </w:tc>
        <w:tc>
          <w:tcPr>
            <w:tcW w:w="4503" w:type="pct"/>
            <w:gridSpan w:val="4"/>
            <w:tcBorders>
              <w:top w:val="single" w:color="auto" w:sz="4" w:space="0"/>
              <w:left w:val="single" w:color="auto" w:sz="4" w:space="0"/>
              <w:bottom w:val="single" w:color="auto" w:sz="8" w:space="0"/>
              <w:right w:val="single" w:color="auto" w:sz="8" w:space="0"/>
            </w:tcBorders>
            <w:vAlign w:val="center"/>
          </w:tcPr>
          <w:p w14:paraId="7EAD90EE">
            <w:pPr>
              <w:wordWrap w:val="0"/>
              <w:topLinePunct/>
              <w:spacing w:line="360" w:lineRule="auto"/>
              <w:rPr>
                <w:rFonts w:ascii="Times New Roman" w:hAnsi="Times New Roman" w:eastAsia="宋体" w:cs="Times New Roman"/>
                <w:b/>
                <w:bCs/>
                <w:szCs w:val="21"/>
              </w:rPr>
            </w:pPr>
            <w:r>
              <w:rPr>
                <w:rFonts w:hint="eastAsia" w:ascii="Times New Roman" w:hAnsi="Times New Roman" w:eastAsia="宋体" w:cs="Times New Roman"/>
                <w:b/>
                <w:bCs/>
                <w:szCs w:val="21"/>
              </w:rPr>
              <w:t>1.与排污许可的衔接</w:t>
            </w:r>
          </w:p>
          <w:p w14:paraId="639E054D">
            <w:pPr>
              <w:wordWrap w:val="0"/>
              <w:topLinePunct/>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根据《固定污染源排污许可分类管理名录》（2019年版），本项目排污许可管理类别属于简化管理，建设单位应当在启动生产设施或者发生实际排污之前完成排污许可申报工作。</w:t>
            </w:r>
          </w:p>
          <w:p w14:paraId="403E4B24">
            <w:pPr>
              <w:wordWrap w:val="0"/>
              <w:topLinePunct/>
              <w:spacing w:line="360" w:lineRule="auto"/>
              <w:rPr>
                <w:rFonts w:ascii="Times New Roman" w:hAnsi="Times New Roman" w:eastAsia="宋体" w:cs="Times New Roman"/>
                <w:b/>
                <w:bCs/>
                <w:szCs w:val="21"/>
              </w:rPr>
            </w:pPr>
            <w:r>
              <w:rPr>
                <w:rFonts w:hint="eastAsia" w:ascii="Times New Roman" w:hAnsi="Times New Roman" w:eastAsia="宋体" w:cs="Times New Roman"/>
                <w:b/>
                <w:bCs/>
                <w:szCs w:val="21"/>
              </w:rPr>
              <w:t>2.排污口规范化设置要求</w:t>
            </w:r>
          </w:p>
          <w:p w14:paraId="30D57AB2">
            <w:pPr>
              <w:wordWrap w:val="0"/>
              <w:topLinePunct/>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根据国家标准《环境保护图形标志-排放口（源）》和原国家环保总局《排污口规范化整治要求》（试行）的技术要求，企业所有排放口（包括水、气、声、渣）必须按照“便于采样、便于计量检测、便于日常现场监督检查”的原则进行排污口规范化，并设置与之相适应的环境保护图形标志牌，绘制企业排污口分布图。</w:t>
            </w:r>
          </w:p>
          <w:p w14:paraId="08D0D79C">
            <w:pPr>
              <w:wordWrap w:val="0"/>
              <w:topLinePunct/>
              <w:spacing w:line="360" w:lineRule="auto"/>
              <w:rPr>
                <w:rFonts w:ascii="Times New Roman" w:hAnsi="Times New Roman" w:eastAsia="宋体" w:cs="Times New Roman"/>
                <w:szCs w:val="21"/>
              </w:rPr>
            </w:pPr>
            <w:r>
              <w:rPr>
                <w:rFonts w:hint="eastAsia" w:ascii="Times New Roman" w:hAnsi="Times New Roman" w:eastAsia="宋体" w:cs="Times New Roman"/>
                <w:szCs w:val="21"/>
              </w:rPr>
              <w:t>标志牌设置位置在排污口（采样点）附近且醒目处，高度为标志牌上缘离地面2米。排污口附近1米范围内有建筑物的，设平面式标志牌，无建筑物的设立式标志牌。企业污染物排放口的标志，应按国家《环境保护图形标志排放口》（15562.1-1995）、《环境保护图形标志固体废物贮存（处置）场》（15562.2-1995）修改单的规定，设置国家生态环境部监制的环境保护图形标志牌。排污口图形示例表见5-1。</w:t>
            </w:r>
          </w:p>
          <w:p w14:paraId="4EEC2016">
            <w:pPr>
              <w:snapToGrid w:val="0"/>
              <w:spacing w:line="360" w:lineRule="auto"/>
              <w:jc w:val="center"/>
              <w:rPr>
                <w:rFonts w:ascii="Times New Roman" w:hAnsi="Times New Roman" w:eastAsia="宋体" w:cs="Times New Roman"/>
                <w:color w:val="FF0000"/>
                <w:szCs w:val="21"/>
              </w:rPr>
            </w:pPr>
            <w:r>
              <w:rPr>
                <w:rFonts w:hint="eastAsia" w:ascii="Times New Roman" w:hAnsi="Times New Roman" w:eastAsia="宋体" w:cs="宋体-PUA"/>
                <w:b/>
                <w:color w:val="000000" w:themeColor="text1"/>
                <w:szCs w:val="21"/>
                <w:shd w:val="clear" w:color="auto" w:fill="FFFFFF"/>
                <w14:textFill>
                  <w14:solidFill>
                    <w14:schemeClr w14:val="tx1"/>
                  </w14:solidFill>
                </w14:textFill>
              </w:rPr>
              <w:t>表5-1 厂区排污口图形标志设置一览表</w:t>
            </w:r>
          </w:p>
          <w:tbl>
            <w:tblPr>
              <w:tblStyle w:val="76"/>
              <w:tblW w:w="7439" w:type="dxa"/>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3"/>
              <w:gridCol w:w="1497"/>
              <w:gridCol w:w="1497"/>
              <w:gridCol w:w="1709"/>
              <w:gridCol w:w="1593"/>
            </w:tblGrid>
            <w:tr w14:paraId="6E1AF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1143" w:type="dxa"/>
                  <w:tcBorders>
                    <w:tl2br w:val="nil"/>
                    <w:tr2bl w:val="nil"/>
                  </w:tcBorders>
                  <w:vAlign w:val="center"/>
                </w:tcPr>
                <w:p w14:paraId="5397D078">
                  <w:pPr>
                    <w:wordWrap w:val="0"/>
                    <w:topLinePunct/>
                    <w:adjustRightInd w:val="0"/>
                    <w:spacing w:line="240" w:lineRule="exact"/>
                    <w:jc w:val="center"/>
                    <w:textAlignment w:val="baseline"/>
                    <w:rPr>
                      <w:rFonts w:hint="eastAsia" w:asciiTheme="minorEastAsia" w:hAnsiTheme="minorEastAsia" w:cstheme="minorEastAsia"/>
                      <w:color w:val="FF0000"/>
                      <w:szCs w:val="21"/>
                    </w:rPr>
                  </w:pPr>
                  <w:r>
                    <w:rPr>
                      <w:rFonts w:hint="eastAsia" w:asciiTheme="minorEastAsia" w:hAnsiTheme="minorEastAsia" w:cstheme="minorEastAsia"/>
                      <w:color w:val="000000" w:themeColor="text1"/>
                      <w:szCs w:val="21"/>
                      <w14:textFill>
                        <w14:solidFill>
                          <w14:schemeClr w14:val="tx1"/>
                        </w14:solidFill>
                      </w14:textFill>
                    </w:rPr>
                    <w:t>排放口</w:t>
                  </w:r>
                </w:p>
              </w:tc>
              <w:tc>
                <w:tcPr>
                  <w:tcW w:w="1497" w:type="dxa"/>
                  <w:tcBorders>
                    <w:tl2br w:val="nil"/>
                    <w:tr2bl w:val="nil"/>
                  </w:tcBorders>
                  <w:vAlign w:val="center"/>
                </w:tcPr>
                <w:p w14:paraId="02257BB1">
                  <w:pPr>
                    <w:wordWrap w:val="0"/>
                    <w:topLinePunct/>
                    <w:adjustRightInd w:val="0"/>
                    <w:spacing w:line="240" w:lineRule="exact"/>
                    <w:jc w:val="center"/>
                    <w:textAlignment w:val="baseline"/>
                    <w:rPr>
                      <w:rFonts w:hint="eastAsia" w:asciiTheme="minorEastAsia" w:hAnsiTheme="minorEastAsia" w:cstheme="minorEastAsia"/>
                      <w:color w:val="FF0000"/>
                      <w:szCs w:val="21"/>
                    </w:rPr>
                  </w:pPr>
                  <w:r>
                    <w:rPr>
                      <w:rFonts w:hint="eastAsia" w:asciiTheme="minorEastAsia" w:hAnsiTheme="minorEastAsia" w:cstheme="minorEastAsia"/>
                      <w:color w:val="000000" w:themeColor="text1"/>
                      <w:szCs w:val="21"/>
                      <w14:textFill>
                        <w14:solidFill>
                          <w14:schemeClr w14:val="tx1"/>
                        </w14:solidFill>
                      </w14:textFill>
                    </w:rPr>
                    <w:t>废气排放口</w:t>
                  </w:r>
                </w:p>
              </w:tc>
              <w:tc>
                <w:tcPr>
                  <w:tcW w:w="1497" w:type="dxa"/>
                  <w:tcBorders>
                    <w:tl2br w:val="nil"/>
                    <w:tr2bl w:val="nil"/>
                  </w:tcBorders>
                  <w:vAlign w:val="center"/>
                </w:tcPr>
                <w:p w14:paraId="7306DE95">
                  <w:pPr>
                    <w:wordWrap w:val="0"/>
                    <w:topLinePunct/>
                    <w:adjustRightInd w:val="0"/>
                    <w:spacing w:line="240" w:lineRule="exact"/>
                    <w:jc w:val="center"/>
                    <w:textAlignment w:val="baseline"/>
                    <w:rPr>
                      <w:rFonts w:hint="eastAsia" w:asciiTheme="minorEastAsia" w:hAnsiTheme="minorEastAsia" w:cstheme="minorEastAsia"/>
                      <w:color w:val="FF0000"/>
                      <w:szCs w:val="21"/>
                    </w:rPr>
                  </w:pPr>
                  <w:r>
                    <w:rPr>
                      <w:rFonts w:hint="eastAsia" w:asciiTheme="minorEastAsia" w:hAnsiTheme="minorEastAsia" w:cstheme="minorEastAsia"/>
                      <w:color w:val="000000" w:themeColor="text1"/>
                      <w:szCs w:val="21"/>
                      <w14:textFill>
                        <w14:solidFill>
                          <w14:schemeClr w14:val="tx1"/>
                        </w14:solidFill>
                      </w14:textFill>
                    </w:rPr>
                    <w:t>噪声源</w:t>
                  </w:r>
                </w:p>
              </w:tc>
              <w:tc>
                <w:tcPr>
                  <w:tcW w:w="1709" w:type="dxa"/>
                  <w:tcBorders>
                    <w:tl2br w:val="nil"/>
                    <w:tr2bl w:val="nil"/>
                  </w:tcBorders>
                  <w:vAlign w:val="center"/>
                </w:tcPr>
                <w:p w14:paraId="6995FD8E">
                  <w:pPr>
                    <w:wordWrap w:val="0"/>
                    <w:topLinePunct/>
                    <w:adjustRightInd w:val="0"/>
                    <w:spacing w:line="240" w:lineRule="exact"/>
                    <w:jc w:val="center"/>
                    <w:textAlignment w:val="baseline"/>
                    <w:rPr>
                      <w:rFonts w:hint="eastAsia" w:asciiTheme="minorEastAsia" w:hAnsiTheme="minorEastAsia" w:cstheme="minorEastAsia"/>
                      <w:color w:val="FF0000"/>
                      <w:szCs w:val="21"/>
                    </w:rPr>
                  </w:pPr>
                  <w:r>
                    <w:rPr>
                      <w:rFonts w:hint="eastAsia" w:asciiTheme="minorEastAsia" w:hAnsiTheme="minorEastAsia" w:cstheme="minorEastAsia"/>
                      <w:color w:val="000000" w:themeColor="text1"/>
                      <w:szCs w:val="21"/>
                      <w14:textFill>
                        <w14:solidFill>
                          <w14:schemeClr w14:val="tx1"/>
                        </w14:solidFill>
                      </w14:textFill>
                    </w:rPr>
                    <w:t>固体废物堆场</w:t>
                  </w:r>
                </w:p>
              </w:tc>
              <w:tc>
                <w:tcPr>
                  <w:tcW w:w="1593" w:type="dxa"/>
                  <w:tcBorders>
                    <w:tl2br w:val="nil"/>
                    <w:tr2bl w:val="nil"/>
                  </w:tcBorders>
                  <w:vAlign w:val="center"/>
                </w:tcPr>
                <w:p w14:paraId="3A2D1211">
                  <w:pPr>
                    <w:wordWrap w:val="0"/>
                    <w:topLinePunct/>
                    <w:adjustRightInd w:val="0"/>
                    <w:spacing w:line="240" w:lineRule="exact"/>
                    <w:jc w:val="center"/>
                    <w:textAlignment w:val="baseline"/>
                    <w:rPr>
                      <w:rFonts w:hint="eastAsia" w:asciiTheme="minorEastAsia" w:hAnsiTheme="minorEastAsia" w:cstheme="minorEastAsia"/>
                      <w:color w:val="FF0000"/>
                      <w:szCs w:val="21"/>
                    </w:rPr>
                  </w:pPr>
                  <w:r>
                    <w:rPr>
                      <w:rFonts w:hint="eastAsia" w:asciiTheme="minorEastAsia" w:hAnsiTheme="minorEastAsia" w:cstheme="minorEastAsia"/>
                      <w:color w:val="000000" w:themeColor="text1"/>
                      <w:szCs w:val="21"/>
                      <w14:textFill>
                        <w14:solidFill>
                          <w14:schemeClr w14:val="tx1"/>
                        </w14:solidFill>
                      </w14:textFill>
                    </w:rPr>
                    <w:t>污水排放口</w:t>
                  </w:r>
                </w:p>
              </w:tc>
            </w:tr>
            <w:tr w14:paraId="55791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8" w:hRule="atLeast"/>
              </w:trPr>
              <w:tc>
                <w:tcPr>
                  <w:tcW w:w="1143" w:type="dxa"/>
                  <w:tcBorders>
                    <w:tl2br w:val="nil"/>
                    <w:tr2bl w:val="nil"/>
                  </w:tcBorders>
                  <w:vAlign w:val="center"/>
                </w:tcPr>
                <w:p w14:paraId="1C45664E">
                  <w:pPr>
                    <w:wordWrap w:val="0"/>
                    <w:topLinePunct/>
                    <w:adjustRightInd w:val="0"/>
                    <w:spacing w:line="240" w:lineRule="exact"/>
                    <w:jc w:val="center"/>
                    <w:textAlignment w:val="baseline"/>
                    <w:rPr>
                      <w:rFonts w:hint="eastAsia" w:asciiTheme="minorEastAsia" w:hAnsiTheme="minorEastAsia" w:cstheme="minorEastAsia"/>
                      <w:color w:val="000000" w:themeColor="text1"/>
                      <w:szCs w:val="21"/>
                      <w14:textFill>
                        <w14:solidFill>
                          <w14:schemeClr w14:val="tx1"/>
                        </w14:solidFill>
                      </w14:textFill>
                    </w:rPr>
                  </w:pPr>
                </w:p>
                <w:p w14:paraId="2D728C7D">
                  <w:pPr>
                    <w:wordWrap w:val="0"/>
                    <w:topLinePunct/>
                    <w:adjustRightInd w:val="0"/>
                    <w:spacing w:line="240" w:lineRule="exact"/>
                    <w:jc w:val="center"/>
                    <w:textAlignment w:val="baseline"/>
                    <w:rPr>
                      <w:rFonts w:hint="eastAsia" w:asciiTheme="minorEastAsia" w:hAnsiTheme="minorEastAsia" w:cstheme="minorEastAsia"/>
                      <w:color w:val="FF0000"/>
                      <w:szCs w:val="21"/>
                    </w:rPr>
                  </w:pPr>
                  <w:r>
                    <w:rPr>
                      <w:rFonts w:hint="eastAsia" w:asciiTheme="minorEastAsia" w:hAnsiTheme="minorEastAsia" w:cstheme="minorEastAsia"/>
                      <w:color w:val="000000" w:themeColor="text1"/>
                      <w:szCs w:val="21"/>
                      <w14:textFill>
                        <w14:solidFill>
                          <w14:schemeClr w14:val="tx1"/>
                        </w14:solidFill>
                      </w14:textFill>
                    </w:rPr>
                    <w:t>图形符号</w:t>
                  </w:r>
                </w:p>
              </w:tc>
              <w:tc>
                <w:tcPr>
                  <w:tcW w:w="1497" w:type="dxa"/>
                  <w:tcBorders>
                    <w:tl2br w:val="nil"/>
                    <w:tr2bl w:val="nil"/>
                  </w:tcBorders>
                  <w:vAlign w:val="center"/>
                </w:tcPr>
                <w:p w14:paraId="1E845C32">
                  <w:pPr>
                    <w:spacing w:line="1246" w:lineRule="exact"/>
                    <w:ind w:firstLine="118"/>
                    <w:rPr>
                      <w:rFonts w:hint="eastAsia" w:asciiTheme="minorEastAsia" w:hAnsiTheme="minorEastAsia" w:cstheme="minorEastAsia"/>
                      <w:color w:val="FF0000"/>
                      <w:szCs w:val="21"/>
                    </w:rPr>
                  </w:pPr>
                  <w:r>
                    <w:rPr>
                      <w:rFonts w:hint="eastAsia" w:asciiTheme="minorEastAsia" w:hAnsiTheme="minorEastAsia" w:cstheme="minorEastAsia"/>
                      <w:color w:val="000000" w:themeColor="text1"/>
                      <w:position w:val="-24"/>
                      <w:szCs w:val="21"/>
                      <w14:textFill>
                        <w14:solidFill>
                          <w14:schemeClr w14:val="tx1"/>
                        </w14:solidFill>
                      </w14:textFill>
                    </w:rPr>
                    <w:drawing>
                      <wp:inline distT="0" distB="0" distL="0" distR="0">
                        <wp:extent cx="790575" cy="790575"/>
                        <wp:effectExtent l="0" t="0" r="22225" b="22225"/>
                        <wp:docPr id="164" name="IM 100"/>
                        <wp:cNvGraphicFramePr/>
                        <a:graphic xmlns:a="http://schemas.openxmlformats.org/drawingml/2006/main">
                          <a:graphicData uri="http://schemas.openxmlformats.org/drawingml/2006/picture">
                            <pic:pic xmlns:pic="http://schemas.openxmlformats.org/drawingml/2006/picture">
                              <pic:nvPicPr>
                                <pic:cNvPr id="164" name="IM 100"/>
                                <pic:cNvPicPr/>
                              </pic:nvPicPr>
                              <pic:blipFill>
                                <a:blip r:embed="rId35"/>
                                <a:stretch>
                                  <a:fillRect/>
                                </a:stretch>
                              </pic:blipFill>
                              <pic:spPr>
                                <a:xfrm>
                                  <a:off x="0" y="0"/>
                                  <a:ext cx="790955" cy="790956"/>
                                </a:xfrm>
                                <a:prstGeom prst="rect">
                                  <a:avLst/>
                                </a:prstGeom>
                              </pic:spPr>
                            </pic:pic>
                          </a:graphicData>
                        </a:graphic>
                      </wp:inline>
                    </w:drawing>
                  </w:r>
                </w:p>
              </w:tc>
              <w:tc>
                <w:tcPr>
                  <w:tcW w:w="1497" w:type="dxa"/>
                  <w:tcBorders>
                    <w:tl2br w:val="nil"/>
                    <w:tr2bl w:val="nil"/>
                  </w:tcBorders>
                  <w:vAlign w:val="center"/>
                </w:tcPr>
                <w:p w14:paraId="56D1BA43">
                  <w:pPr>
                    <w:spacing w:line="1246" w:lineRule="exact"/>
                    <w:ind w:firstLine="118"/>
                    <w:rPr>
                      <w:rFonts w:hint="eastAsia" w:asciiTheme="minorEastAsia" w:hAnsiTheme="minorEastAsia" w:cstheme="minorEastAsia"/>
                      <w:color w:val="FF0000"/>
                      <w:szCs w:val="21"/>
                    </w:rPr>
                  </w:pPr>
                  <w:r>
                    <w:rPr>
                      <w:rFonts w:hint="eastAsia" w:asciiTheme="minorEastAsia" w:hAnsiTheme="minorEastAsia" w:cstheme="minorEastAsia"/>
                      <w:color w:val="000000" w:themeColor="text1"/>
                      <w:position w:val="-24"/>
                      <w:szCs w:val="21"/>
                      <w14:textFill>
                        <w14:solidFill>
                          <w14:schemeClr w14:val="tx1"/>
                        </w14:solidFill>
                      </w14:textFill>
                    </w:rPr>
                    <w:drawing>
                      <wp:inline distT="0" distB="0" distL="0" distR="0">
                        <wp:extent cx="790575" cy="790575"/>
                        <wp:effectExtent l="0" t="0" r="22225" b="22225"/>
                        <wp:docPr id="165" name="IM 102"/>
                        <wp:cNvGraphicFramePr/>
                        <a:graphic xmlns:a="http://schemas.openxmlformats.org/drawingml/2006/main">
                          <a:graphicData uri="http://schemas.openxmlformats.org/drawingml/2006/picture">
                            <pic:pic xmlns:pic="http://schemas.openxmlformats.org/drawingml/2006/picture">
                              <pic:nvPicPr>
                                <pic:cNvPr id="165" name="IM 102"/>
                                <pic:cNvPicPr/>
                              </pic:nvPicPr>
                              <pic:blipFill>
                                <a:blip r:embed="rId36"/>
                                <a:stretch>
                                  <a:fillRect/>
                                </a:stretch>
                              </pic:blipFill>
                              <pic:spPr>
                                <a:xfrm>
                                  <a:off x="0" y="0"/>
                                  <a:ext cx="790955" cy="790956"/>
                                </a:xfrm>
                                <a:prstGeom prst="rect">
                                  <a:avLst/>
                                </a:prstGeom>
                              </pic:spPr>
                            </pic:pic>
                          </a:graphicData>
                        </a:graphic>
                      </wp:inline>
                    </w:drawing>
                  </w:r>
                </w:p>
              </w:tc>
              <w:tc>
                <w:tcPr>
                  <w:tcW w:w="1709" w:type="dxa"/>
                  <w:tcBorders>
                    <w:tl2br w:val="nil"/>
                    <w:tr2bl w:val="nil"/>
                  </w:tcBorders>
                  <w:vAlign w:val="center"/>
                </w:tcPr>
                <w:p w14:paraId="46E37CD9">
                  <w:pPr>
                    <w:spacing w:before="17" w:line="1224" w:lineRule="exact"/>
                    <w:ind w:firstLine="227"/>
                    <w:rPr>
                      <w:rFonts w:hint="eastAsia" w:asciiTheme="minorEastAsia" w:hAnsiTheme="minorEastAsia" w:cstheme="minorEastAsia"/>
                      <w:color w:val="FF0000"/>
                      <w:szCs w:val="21"/>
                    </w:rPr>
                  </w:pPr>
                  <w:r>
                    <w:rPr>
                      <w:rFonts w:hint="eastAsia" w:asciiTheme="minorEastAsia" w:hAnsiTheme="minorEastAsia" w:cstheme="minorEastAsia"/>
                      <w:color w:val="000000" w:themeColor="text1"/>
                      <w:position w:val="-24"/>
                      <w:szCs w:val="21"/>
                      <w14:textFill>
                        <w14:solidFill>
                          <w14:schemeClr w14:val="tx1"/>
                        </w14:solidFill>
                      </w14:textFill>
                    </w:rPr>
                    <w:drawing>
                      <wp:inline distT="0" distB="0" distL="0" distR="0">
                        <wp:extent cx="790575" cy="777240"/>
                        <wp:effectExtent l="0" t="0" r="22225" b="1016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37"/>
                                <a:stretch>
                                  <a:fillRect/>
                                </a:stretch>
                              </pic:blipFill>
                              <pic:spPr>
                                <a:xfrm>
                                  <a:off x="0" y="0"/>
                                  <a:ext cx="790955" cy="777240"/>
                                </a:xfrm>
                                <a:prstGeom prst="rect">
                                  <a:avLst/>
                                </a:prstGeom>
                              </pic:spPr>
                            </pic:pic>
                          </a:graphicData>
                        </a:graphic>
                      </wp:inline>
                    </w:drawing>
                  </w:r>
                </w:p>
              </w:tc>
              <w:tc>
                <w:tcPr>
                  <w:tcW w:w="1593" w:type="dxa"/>
                  <w:tcBorders>
                    <w:tl2br w:val="nil"/>
                    <w:tr2bl w:val="nil"/>
                  </w:tcBorders>
                  <w:vAlign w:val="center"/>
                </w:tcPr>
                <w:p w14:paraId="203968E0">
                  <w:pPr>
                    <w:spacing w:before="1" w:line="1231" w:lineRule="exact"/>
                    <w:ind w:firstLine="126"/>
                    <w:rPr>
                      <w:rFonts w:hint="eastAsia" w:asciiTheme="minorEastAsia" w:hAnsiTheme="minorEastAsia" w:cstheme="minorEastAsia"/>
                      <w:color w:val="FF0000"/>
                      <w:szCs w:val="21"/>
                    </w:rPr>
                  </w:pPr>
                  <w:r>
                    <w:rPr>
                      <w:rFonts w:hint="eastAsia" w:asciiTheme="minorEastAsia" w:hAnsiTheme="minorEastAsia" w:cstheme="minorEastAsia"/>
                      <w:color w:val="000000" w:themeColor="text1"/>
                      <w:position w:val="-24"/>
                      <w:szCs w:val="21"/>
                      <w14:textFill>
                        <w14:solidFill>
                          <w14:schemeClr w14:val="tx1"/>
                        </w14:solidFill>
                      </w14:textFill>
                    </w:rPr>
                    <w:drawing>
                      <wp:inline distT="0" distB="0" distL="0" distR="0">
                        <wp:extent cx="835025" cy="781685"/>
                        <wp:effectExtent l="0" t="0" r="3175" b="5715"/>
                        <wp:docPr id="166" name="IM 106"/>
                        <wp:cNvGraphicFramePr/>
                        <a:graphic xmlns:a="http://schemas.openxmlformats.org/drawingml/2006/main">
                          <a:graphicData uri="http://schemas.openxmlformats.org/drawingml/2006/picture">
                            <pic:pic xmlns:pic="http://schemas.openxmlformats.org/drawingml/2006/picture">
                              <pic:nvPicPr>
                                <pic:cNvPr id="166" name="IM 106"/>
                                <pic:cNvPicPr/>
                              </pic:nvPicPr>
                              <pic:blipFill>
                                <a:blip r:embed="rId38"/>
                                <a:stretch>
                                  <a:fillRect/>
                                </a:stretch>
                              </pic:blipFill>
                              <pic:spPr>
                                <a:xfrm>
                                  <a:off x="0" y="0"/>
                                  <a:ext cx="835152" cy="781811"/>
                                </a:xfrm>
                                <a:prstGeom prst="rect">
                                  <a:avLst/>
                                </a:prstGeom>
                              </pic:spPr>
                            </pic:pic>
                          </a:graphicData>
                        </a:graphic>
                      </wp:inline>
                    </w:drawing>
                  </w:r>
                </w:p>
              </w:tc>
            </w:tr>
            <w:tr w14:paraId="358B6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1143" w:type="dxa"/>
                  <w:tcBorders>
                    <w:tl2br w:val="nil"/>
                    <w:tr2bl w:val="nil"/>
                  </w:tcBorders>
                  <w:vAlign w:val="center"/>
                </w:tcPr>
                <w:p w14:paraId="22645C8C">
                  <w:pPr>
                    <w:wordWrap w:val="0"/>
                    <w:topLinePunct/>
                    <w:adjustRightInd w:val="0"/>
                    <w:spacing w:line="240" w:lineRule="exact"/>
                    <w:jc w:val="center"/>
                    <w:textAlignment w:val="baseline"/>
                    <w:rPr>
                      <w:rFonts w:hint="eastAsia" w:asciiTheme="minorEastAsia" w:hAnsiTheme="minorEastAsia" w:cstheme="minorEastAsia"/>
                      <w:color w:val="FF0000"/>
                      <w:szCs w:val="21"/>
                    </w:rPr>
                  </w:pPr>
                  <w:r>
                    <w:rPr>
                      <w:rFonts w:hint="eastAsia" w:asciiTheme="minorEastAsia" w:hAnsiTheme="minorEastAsia" w:cstheme="minorEastAsia"/>
                      <w:color w:val="000000" w:themeColor="text1"/>
                      <w:szCs w:val="21"/>
                      <w14:textFill>
                        <w14:solidFill>
                          <w14:schemeClr w14:val="tx1"/>
                        </w14:solidFill>
                      </w14:textFill>
                    </w:rPr>
                    <w:t>背景颜色</w:t>
                  </w:r>
                </w:p>
              </w:tc>
              <w:tc>
                <w:tcPr>
                  <w:tcW w:w="6296" w:type="dxa"/>
                  <w:gridSpan w:val="4"/>
                  <w:tcBorders>
                    <w:tl2br w:val="nil"/>
                    <w:tr2bl w:val="nil"/>
                  </w:tcBorders>
                  <w:vAlign w:val="center"/>
                </w:tcPr>
                <w:p w14:paraId="7F3F2C17">
                  <w:pPr>
                    <w:wordWrap w:val="0"/>
                    <w:topLinePunct/>
                    <w:adjustRightInd w:val="0"/>
                    <w:spacing w:line="240" w:lineRule="exact"/>
                    <w:jc w:val="center"/>
                    <w:textAlignment w:val="baseline"/>
                    <w:rPr>
                      <w:rFonts w:hint="eastAsia" w:asciiTheme="minorEastAsia" w:hAnsiTheme="minorEastAsia" w:cstheme="minorEastAsia"/>
                      <w:color w:val="FF0000"/>
                      <w:szCs w:val="21"/>
                    </w:rPr>
                  </w:pPr>
                  <w:r>
                    <w:rPr>
                      <w:rFonts w:hint="eastAsia" w:asciiTheme="minorEastAsia" w:hAnsiTheme="minorEastAsia" w:cstheme="minorEastAsia"/>
                      <w:color w:val="000000" w:themeColor="text1"/>
                      <w:szCs w:val="21"/>
                      <w14:textFill>
                        <w14:solidFill>
                          <w14:schemeClr w14:val="tx1"/>
                        </w14:solidFill>
                      </w14:textFill>
                    </w:rPr>
                    <w:t>绿色</w:t>
                  </w:r>
                </w:p>
              </w:tc>
            </w:tr>
            <w:tr w14:paraId="7D5F3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143" w:type="dxa"/>
                  <w:tcBorders>
                    <w:tl2br w:val="nil"/>
                    <w:tr2bl w:val="nil"/>
                  </w:tcBorders>
                  <w:vAlign w:val="center"/>
                </w:tcPr>
                <w:p w14:paraId="402BC08F">
                  <w:pPr>
                    <w:wordWrap w:val="0"/>
                    <w:topLinePunct/>
                    <w:adjustRightInd w:val="0"/>
                    <w:spacing w:line="240" w:lineRule="exact"/>
                    <w:jc w:val="center"/>
                    <w:textAlignment w:val="baseline"/>
                    <w:rPr>
                      <w:rFonts w:hint="eastAsia" w:asciiTheme="minorEastAsia" w:hAnsiTheme="minorEastAsia" w:cstheme="minorEastAsia"/>
                      <w:color w:val="FF0000"/>
                      <w:szCs w:val="21"/>
                    </w:rPr>
                  </w:pPr>
                  <w:r>
                    <w:rPr>
                      <w:rFonts w:hint="eastAsia" w:asciiTheme="minorEastAsia" w:hAnsiTheme="minorEastAsia" w:cstheme="minorEastAsia"/>
                      <w:color w:val="000000" w:themeColor="text1"/>
                      <w:szCs w:val="21"/>
                      <w14:textFill>
                        <w14:solidFill>
                          <w14:schemeClr w14:val="tx1"/>
                        </w14:solidFill>
                      </w14:textFill>
                    </w:rPr>
                    <w:t>图形颜色</w:t>
                  </w:r>
                </w:p>
              </w:tc>
              <w:tc>
                <w:tcPr>
                  <w:tcW w:w="6296" w:type="dxa"/>
                  <w:gridSpan w:val="4"/>
                  <w:tcBorders>
                    <w:tl2br w:val="nil"/>
                    <w:tr2bl w:val="nil"/>
                  </w:tcBorders>
                  <w:vAlign w:val="center"/>
                </w:tcPr>
                <w:p w14:paraId="69870F34">
                  <w:pPr>
                    <w:wordWrap w:val="0"/>
                    <w:topLinePunct/>
                    <w:adjustRightInd w:val="0"/>
                    <w:spacing w:line="240" w:lineRule="exact"/>
                    <w:jc w:val="center"/>
                    <w:textAlignment w:val="baseline"/>
                    <w:rPr>
                      <w:rFonts w:hint="eastAsia" w:asciiTheme="minorEastAsia" w:hAnsiTheme="minorEastAsia" w:cstheme="minorEastAsia"/>
                      <w:color w:val="FF0000"/>
                      <w:szCs w:val="21"/>
                    </w:rPr>
                  </w:pPr>
                  <w:r>
                    <w:rPr>
                      <w:rFonts w:hint="eastAsia" w:asciiTheme="minorEastAsia" w:hAnsiTheme="minorEastAsia" w:cstheme="minorEastAsia"/>
                      <w:color w:val="000000" w:themeColor="text1"/>
                      <w:szCs w:val="21"/>
                      <w14:textFill>
                        <w14:solidFill>
                          <w14:schemeClr w14:val="tx1"/>
                        </w14:solidFill>
                      </w14:textFill>
                    </w:rPr>
                    <w:t>白色</w:t>
                  </w:r>
                </w:p>
              </w:tc>
            </w:tr>
          </w:tbl>
          <w:p w14:paraId="488ABFA7">
            <w:pPr>
              <w:wordWrap w:val="0"/>
              <w:topLinePunct/>
              <w:spacing w:line="360" w:lineRule="auto"/>
              <w:rPr>
                <w:rFonts w:ascii="Times New Roman" w:hAnsi="Times New Roman" w:eastAsia="宋体" w:cs="Times New Roman"/>
                <w:b/>
                <w:bCs/>
                <w:szCs w:val="21"/>
              </w:rPr>
            </w:pPr>
            <w:r>
              <w:rPr>
                <w:rFonts w:hint="eastAsia" w:ascii="Times New Roman" w:hAnsi="Times New Roman" w:eastAsia="宋体" w:cs="Times New Roman"/>
                <w:b/>
                <w:bCs/>
                <w:szCs w:val="21"/>
              </w:rPr>
              <w:t>3.排污口管理</w:t>
            </w:r>
          </w:p>
          <w:p w14:paraId="0DE7369F">
            <w:pPr>
              <w:wordWrap w:val="0"/>
              <w:topLinePunct/>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(1)根据排污口管理档案内容要求，项目运行期间应将主要污染物种类、数量、浓度、排放去向、达标情况及设施运转情况记录于档案，并如实向环保管理部门申报。(2)排污口规范化设置的有关设施属于环境保护设施，建设单位应将其纳入本 单位的设备管理中，并选派责任心强，有专业知识和技能的人员对排污口进行管 理。</w:t>
            </w:r>
          </w:p>
          <w:p w14:paraId="7A273A24">
            <w:pPr>
              <w:wordWrap w:val="0"/>
              <w:topLinePunct/>
              <w:spacing w:line="360" w:lineRule="auto"/>
              <w:rPr>
                <w:rFonts w:ascii="Times New Roman" w:hAnsi="Times New Roman" w:eastAsia="宋体" w:cs="Times New Roman"/>
                <w:b/>
                <w:bCs/>
                <w:szCs w:val="21"/>
              </w:rPr>
            </w:pPr>
            <w:r>
              <w:rPr>
                <w:rFonts w:hint="eastAsia" w:ascii="Times New Roman" w:hAnsi="Times New Roman" w:eastAsia="宋体" w:cs="Times New Roman"/>
                <w:b/>
                <w:bCs/>
                <w:szCs w:val="21"/>
              </w:rPr>
              <w:t xml:space="preserve"> 4.自行监测 </w:t>
            </w:r>
          </w:p>
          <w:p w14:paraId="4DEE62C0">
            <w:pPr>
              <w:wordWrap w:val="0"/>
              <w:topLinePunct/>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依法开展自行监测，安装或使用监测设备应符合国家有关环境监测、计量认证规定和技术规范，保障数据合法有效，保证设备正常运行，妥善保存原始记录，建立准确完整的环境管理台账。如实向生态环境部门报告排污许可证执行情况，依法向社会公开污染物排放数据并对数据真实性负责。排放情况与排污许可证要求不符的，应及时向生态环境部门报告。</w:t>
            </w:r>
          </w:p>
          <w:p w14:paraId="4D4F3A56">
            <w:pPr>
              <w:wordWrap w:val="0"/>
              <w:topLinePunct/>
              <w:spacing w:line="360" w:lineRule="auto"/>
              <w:rPr>
                <w:rFonts w:ascii="Times New Roman" w:hAnsi="Times New Roman" w:eastAsia="宋体" w:cs="Times New Roman"/>
                <w:b/>
                <w:bCs/>
                <w:szCs w:val="21"/>
              </w:rPr>
            </w:pPr>
            <w:r>
              <w:rPr>
                <w:rFonts w:hint="eastAsia" w:ascii="Times New Roman" w:hAnsi="Times New Roman" w:eastAsia="宋体" w:cs="Times New Roman"/>
                <w:b/>
                <w:bCs/>
                <w:szCs w:val="21"/>
              </w:rPr>
              <w:t xml:space="preserve"> 5.环境管理台账的要求 </w:t>
            </w:r>
          </w:p>
          <w:p w14:paraId="737DE63B">
            <w:pPr>
              <w:wordWrap w:val="0"/>
              <w:topLinePunct/>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根据《排污单位环境管理台账及排污许可证执行报告技术规范总则（试行）》（HJ944-2018）及相关法律法规和规范要求，本项目在运行过程中应落实环境管理台账记录制度，明确责任人和人员工作职责，包括台账的记录、整理、维护和管理等，并对台账的真实性、完整性和规范性负责。</w:t>
            </w:r>
          </w:p>
          <w:p w14:paraId="3FF66257">
            <w:pPr>
              <w:snapToGrid w:val="0"/>
              <w:spacing w:line="360" w:lineRule="auto"/>
              <w:ind w:firstLine="420" w:firstLineChars="200"/>
              <w:rPr>
                <w:rFonts w:ascii="Times New Roman" w:hAnsi="Times New Roman" w:eastAsia="宋体" w:cs="Times New Roman"/>
                <w:szCs w:val="21"/>
              </w:rPr>
            </w:pPr>
          </w:p>
          <w:p w14:paraId="6A2775A6">
            <w:pPr>
              <w:snapToGrid w:val="0"/>
              <w:spacing w:line="360" w:lineRule="auto"/>
              <w:ind w:firstLine="420" w:firstLineChars="200"/>
              <w:rPr>
                <w:rFonts w:ascii="Times New Roman" w:hAnsi="Times New Roman" w:eastAsia="宋体" w:cs="Times New Roman"/>
                <w:szCs w:val="21"/>
              </w:rPr>
            </w:pPr>
          </w:p>
          <w:p w14:paraId="06D95D8A">
            <w:pPr>
              <w:snapToGrid w:val="0"/>
              <w:spacing w:line="360" w:lineRule="auto"/>
              <w:ind w:firstLine="420" w:firstLineChars="200"/>
              <w:rPr>
                <w:rFonts w:ascii="Times New Roman" w:hAnsi="Times New Roman" w:eastAsia="宋体" w:cs="Times New Roman"/>
                <w:szCs w:val="21"/>
              </w:rPr>
            </w:pPr>
          </w:p>
          <w:p w14:paraId="5BE630C0">
            <w:pPr>
              <w:snapToGrid w:val="0"/>
              <w:spacing w:line="360" w:lineRule="auto"/>
              <w:ind w:firstLine="420" w:firstLineChars="200"/>
              <w:rPr>
                <w:rFonts w:ascii="Times New Roman" w:hAnsi="Times New Roman" w:eastAsia="宋体" w:cs="Times New Roman"/>
                <w:szCs w:val="21"/>
              </w:rPr>
            </w:pPr>
          </w:p>
          <w:p w14:paraId="28E929BE">
            <w:pPr>
              <w:snapToGrid w:val="0"/>
              <w:spacing w:line="360" w:lineRule="auto"/>
              <w:ind w:firstLine="420" w:firstLineChars="200"/>
              <w:rPr>
                <w:rFonts w:ascii="Times New Roman" w:hAnsi="Times New Roman" w:eastAsia="宋体" w:cs="Times New Roman"/>
                <w:szCs w:val="21"/>
              </w:rPr>
            </w:pPr>
          </w:p>
          <w:p w14:paraId="13F31865">
            <w:pPr>
              <w:snapToGrid w:val="0"/>
              <w:spacing w:line="360" w:lineRule="auto"/>
              <w:ind w:firstLine="420" w:firstLineChars="200"/>
              <w:rPr>
                <w:rFonts w:ascii="Times New Roman" w:hAnsi="Times New Roman" w:eastAsia="宋体" w:cs="Times New Roman"/>
                <w:szCs w:val="21"/>
              </w:rPr>
            </w:pPr>
          </w:p>
          <w:p w14:paraId="6FFBA145">
            <w:pPr>
              <w:snapToGrid w:val="0"/>
              <w:spacing w:line="360" w:lineRule="auto"/>
              <w:ind w:firstLine="420" w:firstLineChars="200"/>
              <w:rPr>
                <w:rFonts w:ascii="Times New Roman" w:hAnsi="Times New Roman" w:eastAsia="宋体" w:cs="Times New Roman"/>
                <w:szCs w:val="21"/>
              </w:rPr>
            </w:pPr>
          </w:p>
          <w:p w14:paraId="2366D851">
            <w:pPr>
              <w:snapToGrid w:val="0"/>
              <w:spacing w:line="360" w:lineRule="auto"/>
              <w:ind w:firstLine="420" w:firstLineChars="200"/>
              <w:rPr>
                <w:rFonts w:ascii="Times New Roman" w:hAnsi="Times New Roman" w:eastAsia="宋体" w:cs="Times New Roman"/>
                <w:szCs w:val="21"/>
              </w:rPr>
            </w:pPr>
          </w:p>
          <w:p w14:paraId="3B8565D5">
            <w:pPr>
              <w:snapToGrid w:val="0"/>
              <w:spacing w:line="360" w:lineRule="auto"/>
              <w:ind w:firstLine="420" w:firstLineChars="200"/>
              <w:rPr>
                <w:rFonts w:ascii="Times New Roman" w:hAnsi="Times New Roman" w:eastAsia="宋体" w:cs="Times New Roman"/>
                <w:szCs w:val="21"/>
              </w:rPr>
            </w:pPr>
          </w:p>
          <w:p w14:paraId="07A05E05">
            <w:pPr>
              <w:snapToGrid w:val="0"/>
              <w:spacing w:line="360" w:lineRule="auto"/>
              <w:ind w:firstLine="420" w:firstLineChars="200"/>
              <w:rPr>
                <w:rFonts w:ascii="Times New Roman" w:hAnsi="Times New Roman" w:eastAsia="宋体" w:cs="Times New Roman"/>
                <w:szCs w:val="21"/>
              </w:rPr>
            </w:pPr>
          </w:p>
          <w:p w14:paraId="2E439DCA">
            <w:pPr>
              <w:snapToGrid w:val="0"/>
              <w:spacing w:line="360" w:lineRule="auto"/>
              <w:ind w:firstLine="420" w:firstLineChars="200"/>
              <w:rPr>
                <w:rFonts w:ascii="Times New Roman" w:hAnsi="Times New Roman" w:eastAsia="宋体" w:cs="Times New Roman"/>
                <w:szCs w:val="21"/>
              </w:rPr>
            </w:pPr>
          </w:p>
          <w:p w14:paraId="73091C28">
            <w:pPr>
              <w:snapToGrid w:val="0"/>
              <w:spacing w:line="360" w:lineRule="auto"/>
              <w:ind w:firstLine="420" w:firstLineChars="200"/>
              <w:rPr>
                <w:rFonts w:ascii="Times New Roman" w:hAnsi="Times New Roman" w:eastAsia="宋体" w:cs="Times New Roman"/>
                <w:szCs w:val="21"/>
              </w:rPr>
            </w:pPr>
          </w:p>
          <w:p w14:paraId="3F8A1933">
            <w:pPr>
              <w:snapToGrid w:val="0"/>
              <w:spacing w:line="360" w:lineRule="auto"/>
              <w:ind w:firstLine="420" w:firstLineChars="200"/>
              <w:rPr>
                <w:rFonts w:ascii="Times New Roman" w:hAnsi="Times New Roman" w:eastAsia="宋体" w:cs="Times New Roman"/>
                <w:szCs w:val="21"/>
              </w:rPr>
            </w:pPr>
          </w:p>
          <w:p w14:paraId="2FF59E4F">
            <w:pPr>
              <w:snapToGrid w:val="0"/>
              <w:spacing w:line="360" w:lineRule="auto"/>
              <w:ind w:firstLine="420" w:firstLineChars="200"/>
              <w:rPr>
                <w:rFonts w:ascii="Times New Roman" w:hAnsi="Times New Roman" w:eastAsia="宋体" w:cs="Times New Roman"/>
                <w:szCs w:val="21"/>
              </w:rPr>
            </w:pPr>
          </w:p>
          <w:p w14:paraId="276D0C77">
            <w:pPr>
              <w:snapToGrid w:val="0"/>
              <w:spacing w:line="360" w:lineRule="auto"/>
              <w:rPr>
                <w:rFonts w:ascii="Times New Roman" w:hAnsi="Times New Roman" w:eastAsia="宋体" w:cs="Times New Roman"/>
                <w:szCs w:val="21"/>
              </w:rPr>
            </w:pPr>
          </w:p>
        </w:tc>
      </w:tr>
    </w:tbl>
    <w:p w14:paraId="68E6BA0B">
      <w:pPr>
        <w:adjustRightInd w:val="0"/>
        <w:spacing w:line="240" w:lineRule="exact"/>
        <w:jc w:val="center"/>
        <w:textAlignment w:val="baseline"/>
        <w:rPr>
          <w:rFonts w:ascii="黑体" w:eastAsia="黑体" w:cs="黑体"/>
          <w:snapToGrid w:val="0"/>
          <w:sz w:val="30"/>
          <w:szCs w:val="30"/>
        </w:rPr>
      </w:pPr>
      <w:r>
        <w:rPr>
          <w:rFonts w:hint="eastAsia" w:ascii="Times New Roman" w:hAnsi="Times New Roman" w:eastAsia="宋体" w:cs="Times New Roman"/>
          <w:szCs w:val="21"/>
        </w:rPr>
        <w:br w:type="page"/>
      </w:r>
    </w:p>
    <w:p w14:paraId="767C265D">
      <w:pPr>
        <w:pStyle w:val="25"/>
        <w:spacing w:beforeAutospacing="0" w:afterAutospacing="0"/>
        <w:jc w:val="center"/>
        <w:outlineLvl w:val="0"/>
        <w:rPr>
          <w:rFonts w:hint="default" w:ascii="黑体" w:eastAsia="黑体" w:cs="黑体"/>
          <w:sz w:val="30"/>
          <w:szCs w:val="30"/>
        </w:rPr>
      </w:pPr>
      <w:r>
        <w:rPr>
          <w:rFonts w:ascii="黑体" w:eastAsia="黑体" w:cs="黑体"/>
          <w:snapToGrid w:val="0"/>
          <w:sz w:val="30"/>
          <w:szCs w:val="30"/>
        </w:rPr>
        <w:t>六、结论</w:t>
      </w:r>
    </w:p>
    <w:tbl>
      <w:tblPr>
        <w:tblStyle w:val="28"/>
        <w:tblW w:w="8591" w:type="dxa"/>
        <w:jc w:val="center"/>
        <w:tblBorders>
          <w:top w:val="single" w:color="auto" w:sz="6" w:space="0"/>
          <w:left w:val="single" w:color="auto" w:sz="6" w:space="0"/>
          <w:bottom w:val="single" w:color="auto" w:sz="6" w:space="0"/>
          <w:right w:val="single" w:color="auto" w:sz="6" w:space="0"/>
          <w:insideH w:val="single" w:color="auto" w:sz="8" w:space="0"/>
          <w:insideV w:val="none" w:color="auto" w:sz="0" w:space="0"/>
        </w:tblBorders>
        <w:tblLayout w:type="fixed"/>
        <w:tblCellMar>
          <w:top w:w="0" w:type="dxa"/>
          <w:left w:w="108" w:type="dxa"/>
          <w:bottom w:w="0" w:type="dxa"/>
          <w:right w:w="108" w:type="dxa"/>
        </w:tblCellMar>
      </w:tblPr>
      <w:tblGrid>
        <w:gridCol w:w="8591"/>
      </w:tblGrid>
      <w:tr w14:paraId="2A782EAD">
        <w:tblPrEx>
          <w:tblBorders>
            <w:top w:val="single" w:color="auto" w:sz="6" w:space="0"/>
            <w:left w:val="single" w:color="auto" w:sz="6" w:space="0"/>
            <w:bottom w:val="single" w:color="auto" w:sz="6" w:space="0"/>
            <w:right w:val="single" w:color="auto" w:sz="6" w:space="0"/>
            <w:insideH w:val="single" w:color="auto" w:sz="8" w:space="0"/>
            <w:insideV w:val="none" w:color="auto" w:sz="0" w:space="0"/>
          </w:tblBorders>
          <w:tblCellMar>
            <w:top w:w="0" w:type="dxa"/>
            <w:left w:w="108" w:type="dxa"/>
            <w:bottom w:w="0" w:type="dxa"/>
            <w:right w:w="108" w:type="dxa"/>
          </w:tblCellMar>
        </w:tblPrEx>
        <w:trPr>
          <w:trHeight w:val="11991" w:hRule="atLeast"/>
          <w:jc w:val="center"/>
        </w:trPr>
        <w:tc>
          <w:tcPr>
            <w:tcW w:w="8591" w:type="dxa"/>
            <w:tcBorders>
              <w:tl2br w:val="nil"/>
              <w:tr2bl w:val="nil"/>
            </w:tcBorders>
          </w:tcPr>
          <w:p w14:paraId="13D8ACFB">
            <w:pPr>
              <w:widowControl/>
              <w:spacing w:line="360" w:lineRule="auto"/>
              <w:ind w:firstLine="480" w:firstLineChars="200"/>
              <w:rPr>
                <w:bCs/>
                <w:sz w:val="24"/>
                <w:szCs w:val="20"/>
              </w:rPr>
            </w:pPr>
            <w:r>
              <w:rPr>
                <w:rFonts w:hint="eastAsia"/>
                <w:bCs/>
                <w:sz w:val="24"/>
                <w:szCs w:val="20"/>
              </w:rPr>
              <w:t>本项目符合国家产业政策，具有较明显的社会、经济综合效益，本项目所在区域环境质量现状良好。项目建成投入使用后，在执行本环评提出的环境保护措施及环境保护“三同时”原则的基础上，严格进行环境管理、严格执行国家环保相关法律法规的要求，保证落实本环评中提出的各项污染防治设施并正常运行、确保污染物达标排放的条件下，从环境保护角度论证，项目建设是可行的。</w:t>
            </w:r>
          </w:p>
          <w:p w14:paraId="7A70E1F0">
            <w:pPr>
              <w:widowControl/>
              <w:spacing w:line="360" w:lineRule="auto"/>
              <w:ind w:firstLine="480" w:firstLineChars="200"/>
              <w:rPr>
                <w:bCs/>
                <w:sz w:val="24"/>
                <w:szCs w:val="20"/>
              </w:rPr>
            </w:pPr>
            <w:r>
              <w:rPr>
                <w:rFonts w:hint="eastAsia"/>
                <w:bCs/>
                <w:sz w:val="24"/>
                <w:szCs w:val="20"/>
              </w:rPr>
              <w:t>综上所述，从环境影响角度来说，本项目建设可行。除环评外本项目若涉及其他行政许可或审批事项的，应在开工建设前取得有关部门行政许可或准予手续。</w:t>
            </w:r>
          </w:p>
          <w:p w14:paraId="57989C56">
            <w:pPr>
              <w:widowControl/>
              <w:spacing w:line="360" w:lineRule="auto"/>
              <w:ind w:firstLine="480" w:firstLineChars="200"/>
              <w:rPr>
                <w:bCs/>
                <w:sz w:val="24"/>
                <w:szCs w:val="20"/>
              </w:rPr>
            </w:pPr>
          </w:p>
          <w:p w14:paraId="14B27BAB">
            <w:pPr>
              <w:spacing w:line="360" w:lineRule="auto"/>
              <w:ind w:firstLine="480" w:firstLineChars="200"/>
              <w:rPr>
                <w:rFonts w:ascii="宋体" w:hAnsi="Times New Roman" w:eastAsia="宋体" w:cs="宋体"/>
                <w:sz w:val="24"/>
              </w:rPr>
            </w:pPr>
          </w:p>
          <w:p w14:paraId="1E3EFC3B">
            <w:pPr>
              <w:spacing w:line="360" w:lineRule="auto"/>
              <w:rPr>
                <w:rFonts w:ascii="宋体" w:hAnsi="Times New Roman" w:eastAsia="宋体" w:cs="宋体"/>
                <w:sz w:val="24"/>
              </w:rPr>
            </w:pPr>
          </w:p>
          <w:p w14:paraId="715F243E">
            <w:pPr>
              <w:spacing w:line="360" w:lineRule="auto"/>
              <w:rPr>
                <w:rFonts w:ascii="宋体" w:hAnsi="Times New Roman" w:eastAsia="宋体" w:cs="宋体"/>
                <w:sz w:val="24"/>
              </w:rPr>
            </w:pPr>
          </w:p>
          <w:p w14:paraId="69FE634B">
            <w:pPr>
              <w:spacing w:line="360" w:lineRule="auto"/>
              <w:rPr>
                <w:rFonts w:ascii="宋体" w:hAnsi="Times New Roman" w:eastAsia="宋体" w:cs="宋体"/>
                <w:sz w:val="24"/>
              </w:rPr>
            </w:pPr>
          </w:p>
          <w:p w14:paraId="5F342F5A">
            <w:pPr>
              <w:spacing w:line="360" w:lineRule="auto"/>
              <w:rPr>
                <w:rFonts w:ascii="宋体" w:hAnsi="Times New Roman" w:eastAsia="宋体" w:cs="宋体"/>
                <w:sz w:val="24"/>
              </w:rPr>
            </w:pPr>
          </w:p>
          <w:p w14:paraId="70097A3E">
            <w:pPr>
              <w:spacing w:line="360" w:lineRule="auto"/>
              <w:rPr>
                <w:rFonts w:ascii="宋体" w:hAnsi="Times New Roman" w:eastAsia="宋体" w:cs="宋体"/>
                <w:sz w:val="24"/>
              </w:rPr>
            </w:pPr>
          </w:p>
          <w:p w14:paraId="36A3819A">
            <w:pPr>
              <w:spacing w:line="360" w:lineRule="auto"/>
              <w:rPr>
                <w:rFonts w:ascii="宋体" w:hAnsi="Times New Roman" w:eastAsia="宋体" w:cs="宋体"/>
                <w:sz w:val="24"/>
              </w:rPr>
            </w:pPr>
          </w:p>
          <w:p w14:paraId="39AFCC22">
            <w:pPr>
              <w:spacing w:line="360" w:lineRule="auto"/>
              <w:rPr>
                <w:rFonts w:ascii="宋体" w:hAnsi="Times New Roman" w:eastAsia="宋体" w:cs="宋体"/>
                <w:sz w:val="24"/>
              </w:rPr>
            </w:pPr>
          </w:p>
          <w:p w14:paraId="2837105E">
            <w:pPr>
              <w:spacing w:line="360" w:lineRule="auto"/>
              <w:rPr>
                <w:rFonts w:ascii="宋体" w:hAnsi="Times New Roman" w:eastAsia="宋体" w:cs="宋体"/>
                <w:sz w:val="24"/>
              </w:rPr>
            </w:pPr>
          </w:p>
          <w:p w14:paraId="637B9BB8">
            <w:pPr>
              <w:spacing w:line="360" w:lineRule="auto"/>
              <w:rPr>
                <w:rFonts w:ascii="宋体" w:hAnsi="Times New Roman" w:eastAsia="宋体" w:cs="宋体"/>
                <w:sz w:val="24"/>
              </w:rPr>
            </w:pPr>
          </w:p>
          <w:p w14:paraId="1811DD2E">
            <w:pPr>
              <w:spacing w:line="360" w:lineRule="auto"/>
              <w:rPr>
                <w:rFonts w:ascii="宋体" w:hAnsi="Times New Roman" w:eastAsia="宋体" w:cs="宋体"/>
                <w:sz w:val="24"/>
              </w:rPr>
            </w:pPr>
          </w:p>
          <w:p w14:paraId="005EE071">
            <w:pPr>
              <w:spacing w:line="360" w:lineRule="auto"/>
              <w:rPr>
                <w:rFonts w:ascii="宋体" w:hAnsi="Times New Roman" w:eastAsia="宋体" w:cs="宋体"/>
                <w:sz w:val="24"/>
              </w:rPr>
            </w:pPr>
          </w:p>
          <w:p w14:paraId="52D50167">
            <w:pPr>
              <w:spacing w:line="360" w:lineRule="auto"/>
              <w:rPr>
                <w:rFonts w:ascii="宋体" w:hAnsi="Times New Roman" w:eastAsia="宋体" w:cs="宋体"/>
                <w:sz w:val="24"/>
              </w:rPr>
            </w:pPr>
          </w:p>
          <w:p w14:paraId="50A3A8A8">
            <w:pPr>
              <w:spacing w:line="360" w:lineRule="auto"/>
              <w:rPr>
                <w:rFonts w:ascii="宋体" w:hAnsi="Times New Roman" w:eastAsia="宋体" w:cs="宋体"/>
                <w:sz w:val="24"/>
              </w:rPr>
            </w:pPr>
          </w:p>
          <w:p w14:paraId="318A0DE6">
            <w:pPr>
              <w:spacing w:line="360" w:lineRule="auto"/>
              <w:rPr>
                <w:rFonts w:ascii="宋体" w:hAnsi="Times New Roman" w:eastAsia="宋体" w:cs="宋体"/>
                <w:sz w:val="24"/>
              </w:rPr>
            </w:pPr>
          </w:p>
          <w:p w14:paraId="1843F45E">
            <w:pPr>
              <w:spacing w:line="360" w:lineRule="auto"/>
              <w:rPr>
                <w:rFonts w:ascii="宋体" w:hAnsi="Times New Roman" w:eastAsia="宋体" w:cs="宋体"/>
                <w:sz w:val="24"/>
              </w:rPr>
            </w:pPr>
          </w:p>
          <w:p w14:paraId="02027C64">
            <w:pPr>
              <w:spacing w:line="360" w:lineRule="auto"/>
              <w:rPr>
                <w:rFonts w:ascii="宋体" w:hAnsi="Times New Roman" w:eastAsia="宋体" w:cs="宋体"/>
                <w:sz w:val="24"/>
              </w:rPr>
            </w:pPr>
          </w:p>
          <w:p w14:paraId="346AAB52">
            <w:pPr>
              <w:spacing w:line="360" w:lineRule="auto"/>
              <w:rPr>
                <w:rFonts w:ascii="宋体" w:hAnsi="Times New Roman" w:eastAsia="宋体" w:cs="宋体"/>
                <w:sz w:val="24"/>
              </w:rPr>
            </w:pPr>
          </w:p>
          <w:p w14:paraId="7B3B3BF5">
            <w:pPr>
              <w:spacing w:line="360" w:lineRule="auto"/>
              <w:rPr>
                <w:rFonts w:ascii="宋体" w:hAnsi="Times New Roman" w:eastAsia="宋体" w:cs="宋体"/>
                <w:sz w:val="24"/>
              </w:rPr>
            </w:pPr>
          </w:p>
        </w:tc>
      </w:tr>
    </w:tbl>
    <w:p w14:paraId="5FA3624F">
      <w:pPr>
        <w:rPr>
          <w:rFonts w:ascii="宋体" w:hAnsi="Times New Roman" w:eastAsia="宋体" w:cs="Times New Roman"/>
          <w:lang w:bidi="ar"/>
        </w:rPr>
        <w:sectPr>
          <w:pgSz w:w="11906" w:h="16838"/>
          <w:pgMar w:top="1440" w:right="1797" w:bottom="1440" w:left="1797" w:header="851" w:footer="1417" w:gutter="0"/>
          <w:pgNumType w:fmt="decimal"/>
          <w:cols w:space="425" w:num="1"/>
          <w:docGrid w:type="lines" w:linePitch="312" w:charSpace="0"/>
        </w:sectPr>
      </w:pPr>
    </w:p>
    <w:p w14:paraId="19FF6B22">
      <w:pPr>
        <w:pStyle w:val="25"/>
        <w:adjustRightInd w:val="0"/>
        <w:snapToGrid w:val="0"/>
        <w:spacing w:beforeAutospacing="0" w:afterAutospacing="0"/>
        <w:outlineLvl w:val="0"/>
        <w:rPr>
          <w:rFonts w:hint="default" w:ascii="黑体" w:eastAsia="黑体" w:cs="黑体"/>
          <w:sz w:val="32"/>
          <w:szCs w:val="32"/>
        </w:rPr>
      </w:pPr>
      <w:r>
        <w:rPr>
          <w:rFonts w:ascii="黑体" w:eastAsia="黑体" w:cs="黑体"/>
          <w:snapToGrid w:val="0"/>
          <w:sz w:val="32"/>
          <w:szCs w:val="32"/>
        </w:rPr>
        <w:t>附表</w:t>
      </w:r>
    </w:p>
    <w:p w14:paraId="76BDC98B">
      <w:pPr>
        <w:pStyle w:val="25"/>
        <w:adjustRightInd w:val="0"/>
        <w:snapToGrid w:val="0"/>
        <w:spacing w:beforeAutospacing="0" w:afterAutospacing="0"/>
        <w:ind w:firstLine="760"/>
        <w:jc w:val="center"/>
        <w:outlineLvl w:val="0"/>
        <w:rPr>
          <w:rFonts w:ascii="方正小标宋_GBK" w:eastAsia="方正小标宋_GBK" w:cs="方正小标宋_GBK"/>
          <w:snapToGrid w:val="0"/>
          <w:sz w:val="38"/>
          <w:szCs w:val="38"/>
        </w:rPr>
      </w:pPr>
      <w:r>
        <w:rPr>
          <w:rFonts w:hint="default" w:ascii="方正小标宋_GBK" w:eastAsia="方正小标宋_GBK" w:cs="方正小标宋_GBK"/>
          <w:snapToGrid w:val="0"/>
          <w:sz w:val="38"/>
          <w:szCs w:val="38"/>
        </w:rPr>
        <w:t xml:space="preserve">   </w:t>
      </w:r>
      <w:r>
        <w:rPr>
          <w:rFonts w:ascii="方正小标宋_GBK" w:eastAsia="方正小标宋_GBK" w:cs="方正小标宋_GBK"/>
          <w:snapToGrid w:val="0"/>
          <w:sz w:val="38"/>
          <w:szCs w:val="38"/>
        </w:rPr>
        <w:t>建设项目污染物排放量汇总表</w:t>
      </w:r>
    </w:p>
    <w:tbl>
      <w:tblPr>
        <w:tblStyle w:val="28"/>
        <w:tblW w:w="13944"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69"/>
        <w:gridCol w:w="2136"/>
        <w:gridCol w:w="1702"/>
        <w:gridCol w:w="1276"/>
        <w:gridCol w:w="1702"/>
        <w:gridCol w:w="1559"/>
        <w:gridCol w:w="1761"/>
        <w:gridCol w:w="1959"/>
        <w:gridCol w:w="980"/>
      </w:tblGrid>
      <w:tr w14:paraId="41FF823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tcBorders>
              <w:tl2br w:val="nil"/>
              <w:tr2bl w:val="nil"/>
            </w:tcBorders>
            <w:tcMar>
              <w:left w:w="28" w:type="dxa"/>
              <w:right w:w="28" w:type="dxa"/>
            </w:tcMar>
            <w:vAlign w:val="center"/>
          </w:tcPr>
          <w:p w14:paraId="69E9E3A9">
            <w:pPr>
              <w:widowControl/>
              <w:adjustRightInd w:val="0"/>
              <w:snapToGrid w:val="0"/>
              <w:spacing w:before="31" w:beforeLines="10"/>
              <w:jc w:val="center"/>
              <w:rPr>
                <w:rFonts w:ascii="Times New Roman" w:hAnsi="Times New Roman" w:cs="Times New Roman" w:eastAsiaTheme="majorEastAsia"/>
                <w:spacing w:val="-6"/>
                <w:kern w:val="21"/>
                <w:szCs w:val="21"/>
              </w:rPr>
            </w:pPr>
            <w:r>
              <w:rPr>
                <w:rFonts w:ascii="Times New Roman" w:hAnsi="Times New Roman" w:cs="Times New Roman" w:eastAsiaTheme="majorEastAsia"/>
                <w:snapToGrid w:val="0"/>
                <w:spacing w:val="-6"/>
                <w:kern w:val="21"/>
                <w:szCs w:val="21"/>
              </w:rPr>
              <w:t>项目</w:t>
            </w:r>
          </w:p>
          <w:p w14:paraId="4CCFC880">
            <w:pPr>
              <w:widowControl/>
              <w:adjustRightInd w:val="0"/>
              <w:snapToGrid w:val="0"/>
              <w:spacing w:before="31" w:beforeLines="10"/>
              <w:jc w:val="center"/>
              <w:rPr>
                <w:rFonts w:ascii="Times New Roman" w:hAnsi="Times New Roman" w:cs="Times New Roman" w:eastAsiaTheme="majorEastAsia"/>
                <w:spacing w:val="-6"/>
                <w:kern w:val="21"/>
                <w:szCs w:val="21"/>
              </w:rPr>
            </w:pPr>
            <w:r>
              <w:rPr>
                <w:rFonts w:ascii="Times New Roman" w:hAnsi="Times New Roman" w:cs="Times New Roman" w:eastAsiaTheme="majorEastAsia"/>
                <w:snapToGrid w:val="0"/>
                <w:spacing w:val="-6"/>
                <w:kern w:val="21"/>
                <w:szCs w:val="21"/>
              </w:rPr>
              <w:t>分类</w:t>
            </w:r>
          </w:p>
        </w:tc>
        <w:tc>
          <w:tcPr>
            <w:tcW w:w="2136" w:type="dxa"/>
            <w:tcBorders>
              <w:tl2br w:val="nil"/>
              <w:tr2bl w:val="nil"/>
            </w:tcBorders>
            <w:tcMar>
              <w:left w:w="28" w:type="dxa"/>
              <w:right w:w="28" w:type="dxa"/>
            </w:tcMar>
            <w:vAlign w:val="center"/>
          </w:tcPr>
          <w:p w14:paraId="5A4BA4E0">
            <w:pPr>
              <w:widowControl/>
              <w:adjustRightInd w:val="0"/>
              <w:snapToGrid w:val="0"/>
              <w:spacing w:before="31" w:beforeLines="10"/>
              <w:jc w:val="center"/>
              <w:rPr>
                <w:rFonts w:ascii="Times New Roman" w:hAnsi="Times New Roman" w:cs="Times New Roman" w:eastAsiaTheme="majorEastAsia"/>
                <w:spacing w:val="-6"/>
                <w:kern w:val="21"/>
                <w:szCs w:val="21"/>
              </w:rPr>
            </w:pPr>
            <w:r>
              <w:rPr>
                <w:rFonts w:ascii="Times New Roman" w:hAnsi="Times New Roman" w:cs="Times New Roman" w:eastAsiaTheme="majorEastAsia"/>
                <w:snapToGrid w:val="0"/>
                <w:spacing w:val="-6"/>
                <w:kern w:val="21"/>
                <w:szCs w:val="21"/>
              </w:rPr>
              <w:t>污染物名称</w:t>
            </w:r>
          </w:p>
        </w:tc>
        <w:tc>
          <w:tcPr>
            <w:tcW w:w="1702" w:type="dxa"/>
            <w:tcBorders>
              <w:tl2br w:val="nil"/>
              <w:tr2bl w:val="nil"/>
            </w:tcBorders>
            <w:tcMar>
              <w:left w:w="28" w:type="dxa"/>
              <w:right w:w="28" w:type="dxa"/>
            </w:tcMar>
            <w:vAlign w:val="center"/>
          </w:tcPr>
          <w:p w14:paraId="2300FF11">
            <w:pPr>
              <w:widowControl/>
              <w:adjustRightInd w:val="0"/>
              <w:snapToGrid w:val="0"/>
              <w:spacing w:before="31" w:beforeLines="10"/>
              <w:jc w:val="center"/>
              <w:rPr>
                <w:rFonts w:ascii="Times New Roman" w:hAnsi="Times New Roman" w:cs="Times New Roman" w:eastAsiaTheme="majorEastAsia"/>
                <w:spacing w:val="-6"/>
                <w:kern w:val="21"/>
                <w:szCs w:val="21"/>
              </w:rPr>
            </w:pPr>
            <w:r>
              <w:rPr>
                <w:rFonts w:ascii="Times New Roman" w:hAnsi="Times New Roman" w:cs="Times New Roman" w:eastAsiaTheme="majorEastAsia"/>
                <w:snapToGrid w:val="0"/>
                <w:spacing w:val="-6"/>
                <w:kern w:val="21"/>
                <w:szCs w:val="21"/>
              </w:rPr>
              <w:t>现有工程</w:t>
            </w:r>
          </w:p>
          <w:p w14:paraId="7845F2E8">
            <w:pPr>
              <w:widowControl/>
              <w:adjustRightInd w:val="0"/>
              <w:snapToGrid w:val="0"/>
              <w:spacing w:before="31" w:beforeLines="10"/>
              <w:jc w:val="center"/>
              <w:rPr>
                <w:rFonts w:ascii="Times New Roman" w:hAnsi="Times New Roman" w:cs="Times New Roman" w:eastAsiaTheme="majorEastAsia"/>
                <w:snapToGrid w:val="0"/>
                <w:spacing w:val="-6"/>
                <w:kern w:val="21"/>
                <w:szCs w:val="21"/>
              </w:rPr>
            </w:pPr>
            <w:r>
              <w:rPr>
                <w:rFonts w:ascii="Times New Roman" w:hAnsi="Times New Roman" w:cs="Times New Roman" w:eastAsiaTheme="majorEastAsia"/>
                <w:snapToGrid w:val="0"/>
                <w:spacing w:val="-6"/>
                <w:kern w:val="21"/>
                <w:szCs w:val="21"/>
              </w:rPr>
              <w:t>排放量（固体废物产生量）</w:t>
            </w:r>
            <w:r>
              <w:rPr>
                <w:rFonts w:ascii="Times New Roman" w:hAnsi="Times New Roman" w:cs="Times New Roman" w:eastAsiaTheme="majorEastAsia"/>
                <w:spacing w:val="-6"/>
                <w:kern w:val="21"/>
                <w:szCs w:val="21"/>
              </w:rPr>
              <w:fldChar w:fldCharType="begin"/>
            </w:r>
            <w:r>
              <w:rPr>
                <w:rFonts w:ascii="Times New Roman" w:hAnsi="Times New Roman" w:cs="Times New Roman" w:eastAsiaTheme="majorEastAsia"/>
                <w:snapToGrid w:val="0"/>
                <w:spacing w:val="-6"/>
                <w:kern w:val="21"/>
                <w:szCs w:val="21"/>
              </w:rPr>
              <w:instrText xml:space="preserve"> = 1 \* GB3 \* MERGEFORMAT </w:instrText>
            </w:r>
            <w:r>
              <w:rPr>
                <w:rFonts w:ascii="Times New Roman" w:hAnsi="Times New Roman" w:cs="Times New Roman" w:eastAsiaTheme="majorEastAsia"/>
                <w:spacing w:val="-6"/>
                <w:kern w:val="21"/>
                <w:szCs w:val="21"/>
              </w:rPr>
              <w:fldChar w:fldCharType="separate"/>
            </w:r>
            <w:r>
              <w:rPr>
                <w:rFonts w:ascii="Times New Roman" w:hAnsi="Times New Roman" w:cs="Times New Roman" w:eastAsiaTheme="majorEastAsia"/>
                <w:szCs w:val="21"/>
              </w:rPr>
              <w:t>①</w:t>
            </w:r>
            <w:r>
              <w:rPr>
                <w:rFonts w:ascii="Times New Roman" w:hAnsi="Times New Roman" w:cs="Times New Roman" w:eastAsiaTheme="majorEastAsia"/>
                <w:spacing w:val="-6"/>
                <w:kern w:val="21"/>
                <w:szCs w:val="21"/>
              </w:rPr>
              <w:fldChar w:fldCharType="end"/>
            </w:r>
          </w:p>
        </w:tc>
        <w:tc>
          <w:tcPr>
            <w:tcW w:w="1276" w:type="dxa"/>
            <w:tcBorders>
              <w:tl2br w:val="nil"/>
              <w:tr2bl w:val="nil"/>
            </w:tcBorders>
            <w:tcMar>
              <w:left w:w="28" w:type="dxa"/>
              <w:right w:w="28" w:type="dxa"/>
            </w:tcMar>
            <w:vAlign w:val="center"/>
          </w:tcPr>
          <w:p w14:paraId="2E84B647">
            <w:pPr>
              <w:widowControl/>
              <w:adjustRightInd w:val="0"/>
              <w:snapToGrid w:val="0"/>
              <w:spacing w:before="31" w:beforeLines="10"/>
              <w:jc w:val="center"/>
              <w:rPr>
                <w:rFonts w:ascii="Times New Roman" w:hAnsi="Times New Roman" w:cs="Times New Roman" w:eastAsiaTheme="majorEastAsia"/>
                <w:spacing w:val="-6"/>
                <w:kern w:val="21"/>
                <w:szCs w:val="21"/>
              </w:rPr>
            </w:pPr>
            <w:r>
              <w:rPr>
                <w:rFonts w:ascii="Times New Roman" w:hAnsi="Times New Roman" w:cs="Times New Roman" w:eastAsiaTheme="majorEastAsia"/>
                <w:snapToGrid w:val="0"/>
                <w:spacing w:val="-6"/>
                <w:kern w:val="21"/>
                <w:szCs w:val="21"/>
              </w:rPr>
              <w:t>现有工程</w:t>
            </w:r>
          </w:p>
          <w:p w14:paraId="34518F58">
            <w:pPr>
              <w:widowControl/>
              <w:adjustRightInd w:val="0"/>
              <w:snapToGrid w:val="0"/>
              <w:spacing w:before="31" w:beforeLines="10"/>
              <w:jc w:val="center"/>
              <w:rPr>
                <w:rFonts w:ascii="Times New Roman" w:hAnsi="Times New Roman" w:cs="Times New Roman" w:eastAsiaTheme="majorEastAsia"/>
                <w:spacing w:val="-6"/>
                <w:kern w:val="21"/>
                <w:szCs w:val="21"/>
              </w:rPr>
            </w:pPr>
            <w:r>
              <w:rPr>
                <w:rFonts w:ascii="Times New Roman" w:hAnsi="Times New Roman" w:cs="Times New Roman" w:eastAsiaTheme="majorEastAsia"/>
                <w:snapToGrid w:val="0"/>
                <w:spacing w:val="-6"/>
                <w:kern w:val="21"/>
                <w:szCs w:val="21"/>
              </w:rPr>
              <w:t>许可排放量</w:t>
            </w:r>
          </w:p>
          <w:p w14:paraId="37F4FCBC">
            <w:pPr>
              <w:widowControl/>
              <w:adjustRightInd w:val="0"/>
              <w:snapToGrid w:val="0"/>
              <w:spacing w:before="31" w:beforeLines="10" w:line="256" w:lineRule="auto"/>
              <w:jc w:val="center"/>
              <w:rPr>
                <w:rFonts w:ascii="Times New Roman" w:hAnsi="Times New Roman" w:cs="Times New Roman" w:eastAsiaTheme="majorEastAsia"/>
                <w:snapToGrid w:val="0"/>
                <w:spacing w:val="-6"/>
                <w:kern w:val="21"/>
                <w:szCs w:val="21"/>
              </w:rPr>
            </w:pPr>
            <w:r>
              <w:rPr>
                <w:rFonts w:ascii="Times New Roman" w:hAnsi="Times New Roman" w:cs="Times New Roman" w:eastAsiaTheme="majorEastAsia"/>
                <w:spacing w:val="-6"/>
                <w:kern w:val="21"/>
                <w:szCs w:val="21"/>
              </w:rPr>
              <w:fldChar w:fldCharType="begin"/>
            </w:r>
            <w:r>
              <w:rPr>
                <w:rFonts w:ascii="Times New Roman" w:hAnsi="Times New Roman" w:cs="Times New Roman" w:eastAsiaTheme="majorEastAsia"/>
                <w:spacing w:val="-6"/>
                <w:kern w:val="21"/>
                <w:szCs w:val="21"/>
              </w:rPr>
              <w:instrText xml:space="preserve"> </w:instrText>
            </w:r>
            <w:r>
              <w:rPr>
                <w:rFonts w:ascii="Times New Roman" w:hAnsi="Times New Roman" w:cs="Times New Roman" w:eastAsiaTheme="majorEastAsia"/>
                <w:snapToGrid w:val="0"/>
                <w:spacing w:val="-6"/>
                <w:kern w:val="21"/>
                <w:szCs w:val="21"/>
              </w:rPr>
              <w:instrText xml:space="preserve">= 2 \* GB3 \* MERGEFORMAT </w:instrText>
            </w:r>
            <w:r>
              <w:rPr>
                <w:rFonts w:ascii="Times New Roman" w:hAnsi="Times New Roman" w:cs="Times New Roman" w:eastAsiaTheme="majorEastAsia"/>
                <w:spacing w:val="-6"/>
                <w:kern w:val="21"/>
                <w:szCs w:val="21"/>
              </w:rPr>
              <w:fldChar w:fldCharType="separate"/>
            </w:r>
            <w:r>
              <w:rPr>
                <w:rFonts w:ascii="Times New Roman" w:hAnsi="Times New Roman" w:cs="Times New Roman" w:eastAsiaTheme="majorEastAsia"/>
                <w:snapToGrid w:val="0"/>
                <w:spacing w:val="-6"/>
                <w:kern w:val="21"/>
                <w:szCs w:val="21"/>
              </w:rPr>
              <w:t>②</w:t>
            </w:r>
            <w:r>
              <w:rPr>
                <w:rFonts w:ascii="Times New Roman" w:hAnsi="Times New Roman" w:cs="Times New Roman" w:eastAsiaTheme="majorEastAsia"/>
                <w:spacing w:val="-6"/>
                <w:kern w:val="21"/>
                <w:szCs w:val="21"/>
              </w:rPr>
              <w:fldChar w:fldCharType="end"/>
            </w:r>
          </w:p>
        </w:tc>
        <w:tc>
          <w:tcPr>
            <w:tcW w:w="1702" w:type="dxa"/>
            <w:tcBorders>
              <w:tl2br w:val="nil"/>
              <w:tr2bl w:val="nil"/>
            </w:tcBorders>
            <w:tcMar>
              <w:left w:w="28" w:type="dxa"/>
              <w:right w:w="28" w:type="dxa"/>
            </w:tcMar>
            <w:vAlign w:val="center"/>
          </w:tcPr>
          <w:p w14:paraId="4C908300">
            <w:pPr>
              <w:widowControl/>
              <w:adjustRightInd w:val="0"/>
              <w:snapToGrid w:val="0"/>
              <w:spacing w:before="31" w:beforeLines="10"/>
              <w:jc w:val="center"/>
              <w:rPr>
                <w:rFonts w:ascii="Times New Roman" w:hAnsi="Times New Roman" w:cs="Times New Roman" w:eastAsiaTheme="majorEastAsia"/>
                <w:spacing w:val="-6"/>
                <w:kern w:val="21"/>
                <w:szCs w:val="21"/>
              </w:rPr>
            </w:pPr>
            <w:r>
              <w:rPr>
                <w:rFonts w:ascii="Times New Roman" w:hAnsi="Times New Roman" w:cs="Times New Roman" w:eastAsiaTheme="majorEastAsia"/>
                <w:snapToGrid w:val="0"/>
                <w:spacing w:val="-6"/>
                <w:kern w:val="21"/>
                <w:szCs w:val="21"/>
              </w:rPr>
              <w:t>在建工程</w:t>
            </w:r>
          </w:p>
          <w:p w14:paraId="5EFE7482">
            <w:pPr>
              <w:widowControl/>
              <w:adjustRightInd w:val="0"/>
              <w:snapToGrid w:val="0"/>
              <w:spacing w:before="31" w:beforeLines="10"/>
              <w:jc w:val="center"/>
              <w:rPr>
                <w:rFonts w:ascii="Times New Roman" w:hAnsi="Times New Roman" w:cs="Times New Roman" w:eastAsiaTheme="majorEastAsia"/>
                <w:snapToGrid w:val="0"/>
                <w:spacing w:val="-6"/>
                <w:kern w:val="21"/>
                <w:szCs w:val="21"/>
              </w:rPr>
            </w:pPr>
            <w:r>
              <w:rPr>
                <w:rFonts w:ascii="Times New Roman" w:hAnsi="Times New Roman" w:cs="Times New Roman" w:eastAsiaTheme="majorEastAsia"/>
                <w:snapToGrid w:val="0"/>
                <w:spacing w:val="-6"/>
                <w:kern w:val="21"/>
                <w:szCs w:val="21"/>
              </w:rPr>
              <w:t>排放量（固体废物产生量）</w:t>
            </w:r>
            <w:r>
              <w:rPr>
                <w:rFonts w:ascii="Times New Roman" w:hAnsi="Times New Roman" w:cs="Times New Roman" w:eastAsiaTheme="majorEastAsia"/>
                <w:spacing w:val="-6"/>
                <w:kern w:val="21"/>
                <w:szCs w:val="21"/>
              </w:rPr>
              <w:fldChar w:fldCharType="begin"/>
            </w:r>
            <w:r>
              <w:rPr>
                <w:rFonts w:ascii="Times New Roman" w:hAnsi="Times New Roman" w:cs="Times New Roman" w:eastAsiaTheme="majorEastAsia"/>
                <w:snapToGrid w:val="0"/>
                <w:spacing w:val="-6"/>
                <w:kern w:val="21"/>
                <w:szCs w:val="21"/>
              </w:rPr>
              <w:instrText xml:space="preserve"> = 3 \* GB3 \* MERGEFORMAT </w:instrText>
            </w:r>
            <w:r>
              <w:rPr>
                <w:rFonts w:ascii="Times New Roman" w:hAnsi="Times New Roman" w:cs="Times New Roman" w:eastAsiaTheme="majorEastAsia"/>
                <w:spacing w:val="-6"/>
                <w:kern w:val="21"/>
                <w:szCs w:val="21"/>
              </w:rPr>
              <w:fldChar w:fldCharType="separate"/>
            </w:r>
            <w:r>
              <w:rPr>
                <w:rFonts w:ascii="Times New Roman" w:hAnsi="Times New Roman" w:cs="Times New Roman" w:eastAsiaTheme="majorEastAsia"/>
                <w:szCs w:val="21"/>
              </w:rPr>
              <w:t>③</w:t>
            </w:r>
            <w:r>
              <w:rPr>
                <w:rFonts w:ascii="Times New Roman" w:hAnsi="Times New Roman" w:cs="Times New Roman" w:eastAsiaTheme="majorEastAsia"/>
                <w:spacing w:val="-6"/>
                <w:kern w:val="21"/>
                <w:szCs w:val="21"/>
              </w:rPr>
              <w:fldChar w:fldCharType="end"/>
            </w:r>
          </w:p>
        </w:tc>
        <w:tc>
          <w:tcPr>
            <w:tcW w:w="1559" w:type="dxa"/>
            <w:tcBorders>
              <w:tl2br w:val="nil"/>
              <w:tr2bl w:val="nil"/>
            </w:tcBorders>
            <w:tcMar>
              <w:left w:w="28" w:type="dxa"/>
              <w:right w:w="28" w:type="dxa"/>
            </w:tcMar>
            <w:vAlign w:val="center"/>
          </w:tcPr>
          <w:p w14:paraId="62C89370">
            <w:pPr>
              <w:widowControl/>
              <w:adjustRightInd w:val="0"/>
              <w:snapToGrid w:val="0"/>
              <w:spacing w:before="31" w:beforeLines="10"/>
              <w:jc w:val="center"/>
              <w:rPr>
                <w:rFonts w:ascii="Times New Roman" w:hAnsi="Times New Roman" w:cs="Times New Roman" w:eastAsiaTheme="majorEastAsia"/>
                <w:spacing w:val="-6"/>
                <w:kern w:val="21"/>
                <w:szCs w:val="21"/>
              </w:rPr>
            </w:pPr>
            <w:r>
              <w:rPr>
                <w:rFonts w:ascii="Times New Roman" w:hAnsi="Times New Roman" w:cs="Times New Roman" w:eastAsiaTheme="majorEastAsia"/>
                <w:snapToGrid w:val="0"/>
                <w:spacing w:val="-6"/>
                <w:kern w:val="21"/>
                <w:szCs w:val="21"/>
              </w:rPr>
              <w:t>本项目</w:t>
            </w:r>
          </w:p>
          <w:p w14:paraId="43CD2553">
            <w:pPr>
              <w:widowControl/>
              <w:adjustRightInd w:val="0"/>
              <w:snapToGrid w:val="0"/>
              <w:spacing w:before="31" w:beforeLines="10"/>
              <w:jc w:val="center"/>
              <w:rPr>
                <w:rFonts w:ascii="Times New Roman" w:hAnsi="Times New Roman" w:cs="Times New Roman" w:eastAsiaTheme="majorEastAsia"/>
                <w:snapToGrid w:val="0"/>
                <w:spacing w:val="-6"/>
                <w:kern w:val="21"/>
                <w:szCs w:val="21"/>
              </w:rPr>
            </w:pPr>
            <w:r>
              <w:rPr>
                <w:rFonts w:ascii="Times New Roman" w:hAnsi="Times New Roman" w:cs="Times New Roman" w:eastAsiaTheme="majorEastAsia"/>
                <w:snapToGrid w:val="0"/>
                <w:spacing w:val="-6"/>
                <w:kern w:val="21"/>
                <w:szCs w:val="21"/>
              </w:rPr>
              <w:t>排放量（固体废物产生量）</w:t>
            </w:r>
            <w:r>
              <w:rPr>
                <w:rFonts w:ascii="Times New Roman" w:hAnsi="Times New Roman" w:cs="Times New Roman" w:eastAsiaTheme="majorEastAsia"/>
                <w:spacing w:val="-6"/>
                <w:kern w:val="21"/>
                <w:szCs w:val="21"/>
              </w:rPr>
              <w:fldChar w:fldCharType="begin"/>
            </w:r>
            <w:r>
              <w:rPr>
                <w:rFonts w:ascii="Times New Roman" w:hAnsi="Times New Roman" w:cs="Times New Roman" w:eastAsiaTheme="majorEastAsia"/>
                <w:snapToGrid w:val="0"/>
                <w:spacing w:val="-6"/>
                <w:kern w:val="21"/>
                <w:szCs w:val="21"/>
              </w:rPr>
              <w:instrText xml:space="preserve"> = 4 \* GB3 \* MERGEFORMAT </w:instrText>
            </w:r>
            <w:r>
              <w:rPr>
                <w:rFonts w:ascii="Times New Roman" w:hAnsi="Times New Roman" w:cs="Times New Roman" w:eastAsiaTheme="majorEastAsia"/>
                <w:spacing w:val="-6"/>
                <w:kern w:val="21"/>
                <w:szCs w:val="21"/>
              </w:rPr>
              <w:fldChar w:fldCharType="separate"/>
            </w:r>
            <w:r>
              <w:rPr>
                <w:rFonts w:ascii="Times New Roman" w:hAnsi="Times New Roman" w:cs="Times New Roman" w:eastAsiaTheme="majorEastAsia"/>
                <w:szCs w:val="21"/>
              </w:rPr>
              <w:t>④</w:t>
            </w:r>
            <w:r>
              <w:rPr>
                <w:rFonts w:ascii="Times New Roman" w:hAnsi="Times New Roman" w:cs="Times New Roman" w:eastAsiaTheme="majorEastAsia"/>
                <w:spacing w:val="-6"/>
                <w:kern w:val="21"/>
                <w:szCs w:val="21"/>
              </w:rPr>
              <w:fldChar w:fldCharType="end"/>
            </w:r>
          </w:p>
        </w:tc>
        <w:tc>
          <w:tcPr>
            <w:tcW w:w="1761" w:type="dxa"/>
            <w:tcBorders>
              <w:tl2br w:val="nil"/>
              <w:tr2bl w:val="nil"/>
            </w:tcBorders>
            <w:tcMar>
              <w:left w:w="28" w:type="dxa"/>
              <w:right w:w="28" w:type="dxa"/>
            </w:tcMar>
            <w:vAlign w:val="center"/>
          </w:tcPr>
          <w:p w14:paraId="301DC1BC">
            <w:pPr>
              <w:widowControl/>
              <w:adjustRightInd w:val="0"/>
              <w:snapToGrid w:val="0"/>
              <w:spacing w:before="31" w:beforeLines="10"/>
              <w:jc w:val="center"/>
              <w:rPr>
                <w:rFonts w:ascii="Times New Roman" w:hAnsi="Times New Roman" w:cs="Times New Roman" w:eastAsiaTheme="majorEastAsia"/>
                <w:spacing w:val="-16"/>
                <w:kern w:val="21"/>
                <w:szCs w:val="21"/>
              </w:rPr>
            </w:pPr>
            <w:r>
              <w:rPr>
                <w:rFonts w:ascii="Times New Roman" w:hAnsi="Times New Roman" w:cs="Times New Roman" w:eastAsiaTheme="majorEastAsia"/>
                <w:snapToGrid w:val="0"/>
                <w:spacing w:val="-16"/>
                <w:kern w:val="21"/>
                <w:szCs w:val="21"/>
              </w:rPr>
              <w:t>以新带老削减量</w:t>
            </w:r>
          </w:p>
          <w:p w14:paraId="009E284F">
            <w:pPr>
              <w:widowControl/>
              <w:adjustRightInd w:val="0"/>
              <w:snapToGrid w:val="0"/>
              <w:spacing w:before="31" w:beforeLines="10"/>
              <w:jc w:val="center"/>
              <w:rPr>
                <w:rFonts w:ascii="Times New Roman" w:hAnsi="Times New Roman" w:cs="Times New Roman" w:eastAsiaTheme="majorEastAsia"/>
                <w:snapToGrid w:val="0"/>
                <w:spacing w:val="-16"/>
                <w:kern w:val="21"/>
                <w:szCs w:val="21"/>
              </w:rPr>
            </w:pPr>
            <w:r>
              <w:rPr>
                <w:rFonts w:ascii="Times New Roman" w:hAnsi="Times New Roman" w:cs="Times New Roman" w:eastAsiaTheme="majorEastAsia"/>
                <w:snapToGrid w:val="0"/>
                <w:spacing w:val="-16"/>
                <w:kern w:val="21"/>
                <w:szCs w:val="21"/>
              </w:rPr>
              <w:t>（新建项目不填）</w:t>
            </w:r>
            <w:r>
              <w:rPr>
                <w:rFonts w:ascii="Times New Roman" w:hAnsi="Times New Roman" w:cs="Times New Roman" w:eastAsiaTheme="majorEastAsia"/>
                <w:spacing w:val="-16"/>
                <w:kern w:val="21"/>
                <w:szCs w:val="21"/>
              </w:rPr>
              <w:fldChar w:fldCharType="begin"/>
            </w:r>
            <w:r>
              <w:rPr>
                <w:rFonts w:ascii="Times New Roman" w:hAnsi="Times New Roman" w:cs="Times New Roman" w:eastAsiaTheme="majorEastAsia"/>
                <w:snapToGrid w:val="0"/>
                <w:spacing w:val="-16"/>
                <w:kern w:val="21"/>
                <w:szCs w:val="21"/>
              </w:rPr>
              <w:instrText xml:space="preserve"> = 5 \* GB3 \* MERGEFORMAT </w:instrText>
            </w:r>
            <w:r>
              <w:rPr>
                <w:rFonts w:ascii="Times New Roman" w:hAnsi="Times New Roman" w:cs="Times New Roman" w:eastAsiaTheme="majorEastAsia"/>
                <w:spacing w:val="-16"/>
                <w:kern w:val="21"/>
                <w:szCs w:val="21"/>
              </w:rPr>
              <w:fldChar w:fldCharType="separate"/>
            </w:r>
            <w:r>
              <w:rPr>
                <w:rFonts w:ascii="Times New Roman" w:hAnsi="Times New Roman" w:cs="Times New Roman" w:eastAsiaTheme="majorEastAsia"/>
                <w:szCs w:val="21"/>
              </w:rPr>
              <w:t>⑤</w:t>
            </w:r>
            <w:r>
              <w:rPr>
                <w:rFonts w:ascii="Times New Roman" w:hAnsi="Times New Roman" w:cs="Times New Roman" w:eastAsiaTheme="majorEastAsia"/>
                <w:spacing w:val="-16"/>
                <w:kern w:val="21"/>
                <w:szCs w:val="21"/>
              </w:rPr>
              <w:fldChar w:fldCharType="end"/>
            </w:r>
          </w:p>
        </w:tc>
        <w:tc>
          <w:tcPr>
            <w:tcW w:w="1959" w:type="dxa"/>
            <w:tcBorders>
              <w:tl2br w:val="nil"/>
              <w:tr2bl w:val="nil"/>
            </w:tcBorders>
            <w:tcMar>
              <w:left w:w="28" w:type="dxa"/>
              <w:right w:w="28" w:type="dxa"/>
            </w:tcMar>
            <w:vAlign w:val="center"/>
          </w:tcPr>
          <w:p w14:paraId="4E7D1E76">
            <w:pPr>
              <w:widowControl/>
              <w:adjustRightInd w:val="0"/>
              <w:snapToGrid w:val="0"/>
              <w:spacing w:before="31" w:beforeLines="10"/>
              <w:jc w:val="center"/>
              <w:rPr>
                <w:rFonts w:ascii="Times New Roman" w:hAnsi="Times New Roman" w:cs="Times New Roman" w:eastAsiaTheme="majorEastAsia"/>
                <w:spacing w:val="-16"/>
                <w:kern w:val="21"/>
                <w:szCs w:val="21"/>
              </w:rPr>
            </w:pPr>
            <w:r>
              <w:rPr>
                <w:rFonts w:ascii="Times New Roman" w:hAnsi="Times New Roman" w:cs="Times New Roman" w:eastAsiaTheme="majorEastAsia"/>
                <w:snapToGrid w:val="0"/>
                <w:spacing w:val="-16"/>
                <w:kern w:val="21"/>
                <w:szCs w:val="21"/>
              </w:rPr>
              <w:t>本项目建成后</w:t>
            </w:r>
          </w:p>
          <w:p w14:paraId="310684D0">
            <w:pPr>
              <w:widowControl/>
              <w:adjustRightInd w:val="0"/>
              <w:snapToGrid w:val="0"/>
              <w:spacing w:before="31" w:beforeLines="10"/>
              <w:jc w:val="center"/>
              <w:rPr>
                <w:rFonts w:ascii="Times New Roman" w:hAnsi="Times New Roman" w:cs="Times New Roman" w:eastAsiaTheme="majorEastAsia"/>
                <w:snapToGrid w:val="0"/>
                <w:spacing w:val="-16"/>
                <w:kern w:val="21"/>
                <w:szCs w:val="21"/>
              </w:rPr>
            </w:pPr>
            <w:r>
              <w:rPr>
                <w:rFonts w:ascii="Times New Roman" w:hAnsi="Times New Roman" w:cs="Times New Roman" w:eastAsiaTheme="majorEastAsia"/>
                <w:snapToGrid w:val="0"/>
                <w:spacing w:val="-16"/>
                <w:kern w:val="21"/>
                <w:szCs w:val="21"/>
              </w:rPr>
              <w:t>全厂排放量（固体废物产生量）</w:t>
            </w:r>
            <w:r>
              <w:rPr>
                <w:rFonts w:ascii="Times New Roman" w:hAnsi="Times New Roman" w:cs="Times New Roman" w:eastAsiaTheme="majorEastAsia"/>
                <w:spacing w:val="-16"/>
                <w:kern w:val="21"/>
                <w:szCs w:val="21"/>
              </w:rPr>
              <w:fldChar w:fldCharType="begin"/>
            </w:r>
            <w:r>
              <w:rPr>
                <w:rFonts w:ascii="Times New Roman" w:hAnsi="Times New Roman" w:cs="Times New Roman" w:eastAsiaTheme="majorEastAsia"/>
                <w:snapToGrid w:val="0"/>
                <w:spacing w:val="-16"/>
                <w:kern w:val="21"/>
                <w:szCs w:val="21"/>
              </w:rPr>
              <w:instrText xml:space="preserve"> = 6 \* GB3 \* MERGEFORMAT </w:instrText>
            </w:r>
            <w:r>
              <w:rPr>
                <w:rFonts w:ascii="Times New Roman" w:hAnsi="Times New Roman" w:cs="Times New Roman" w:eastAsiaTheme="majorEastAsia"/>
                <w:spacing w:val="-16"/>
                <w:kern w:val="21"/>
                <w:szCs w:val="21"/>
              </w:rPr>
              <w:fldChar w:fldCharType="separate"/>
            </w:r>
            <w:r>
              <w:rPr>
                <w:rFonts w:ascii="Times New Roman" w:hAnsi="Times New Roman" w:cs="Times New Roman" w:eastAsiaTheme="majorEastAsia"/>
                <w:szCs w:val="21"/>
              </w:rPr>
              <w:t>⑥</w:t>
            </w:r>
            <w:r>
              <w:rPr>
                <w:rFonts w:ascii="Times New Roman" w:hAnsi="Times New Roman" w:cs="Times New Roman" w:eastAsiaTheme="majorEastAsia"/>
                <w:spacing w:val="-16"/>
                <w:kern w:val="21"/>
                <w:szCs w:val="21"/>
              </w:rPr>
              <w:fldChar w:fldCharType="end"/>
            </w:r>
          </w:p>
        </w:tc>
        <w:tc>
          <w:tcPr>
            <w:tcW w:w="980" w:type="dxa"/>
            <w:tcBorders>
              <w:tl2br w:val="nil"/>
              <w:tr2bl w:val="nil"/>
            </w:tcBorders>
            <w:tcMar>
              <w:left w:w="28" w:type="dxa"/>
              <w:right w:w="28" w:type="dxa"/>
            </w:tcMar>
            <w:vAlign w:val="center"/>
          </w:tcPr>
          <w:p w14:paraId="6221ECBD">
            <w:pPr>
              <w:widowControl/>
              <w:adjustRightInd w:val="0"/>
              <w:snapToGrid w:val="0"/>
              <w:spacing w:before="31" w:beforeLines="10"/>
              <w:jc w:val="center"/>
              <w:rPr>
                <w:rFonts w:ascii="Times New Roman" w:hAnsi="Times New Roman" w:cs="Times New Roman" w:eastAsiaTheme="majorEastAsia"/>
                <w:spacing w:val="-6"/>
                <w:kern w:val="21"/>
                <w:szCs w:val="21"/>
              </w:rPr>
            </w:pPr>
            <w:r>
              <w:rPr>
                <w:rFonts w:ascii="Times New Roman" w:hAnsi="Times New Roman" w:cs="Times New Roman" w:eastAsiaTheme="majorEastAsia"/>
                <w:snapToGrid w:val="0"/>
                <w:spacing w:val="-6"/>
                <w:kern w:val="21"/>
                <w:szCs w:val="21"/>
              </w:rPr>
              <w:t>变化量</w:t>
            </w:r>
          </w:p>
          <w:p w14:paraId="4A83EBF2">
            <w:pPr>
              <w:widowControl/>
              <w:adjustRightInd w:val="0"/>
              <w:snapToGrid w:val="0"/>
              <w:spacing w:before="31" w:beforeLines="10"/>
              <w:jc w:val="center"/>
              <w:rPr>
                <w:rFonts w:ascii="Times New Roman" w:hAnsi="Times New Roman" w:cs="Times New Roman" w:eastAsiaTheme="majorEastAsia"/>
                <w:snapToGrid w:val="0"/>
                <w:spacing w:val="-6"/>
                <w:kern w:val="21"/>
                <w:szCs w:val="21"/>
              </w:rPr>
            </w:pPr>
            <w:r>
              <w:rPr>
                <w:rFonts w:ascii="Times New Roman" w:hAnsi="Times New Roman" w:cs="Times New Roman" w:eastAsiaTheme="majorEastAsia"/>
                <w:spacing w:val="-6"/>
                <w:kern w:val="21"/>
                <w:szCs w:val="21"/>
              </w:rPr>
              <w:fldChar w:fldCharType="begin"/>
            </w:r>
            <w:r>
              <w:rPr>
                <w:rFonts w:ascii="Times New Roman" w:hAnsi="Times New Roman" w:cs="Times New Roman" w:eastAsiaTheme="majorEastAsia"/>
                <w:spacing w:val="-6"/>
                <w:kern w:val="21"/>
                <w:szCs w:val="21"/>
              </w:rPr>
              <w:instrText xml:space="preserve"> </w:instrText>
            </w:r>
            <w:r>
              <w:rPr>
                <w:rFonts w:ascii="Times New Roman" w:hAnsi="Times New Roman" w:cs="Times New Roman" w:eastAsiaTheme="majorEastAsia"/>
                <w:snapToGrid w:val="0"/>
                <w:spacing w:val="-6"/>
                <w:kern w:val="21"/>
                <w:szCs w:val="21"/>
              </w:rPr>
              <w:instrText xml:space="preserve">= 7 \* GB3 \* MERGEFORMAT </w:instrText>
            </w:r>
            <w:r>
              <w:rPr>
                <w:rFonts w:ascii="Times New Roman" w:hAnsi="Times New Roman" w:cs="Times New Roman" w:eastAsiaTheme="majorEastAsia"/>
                <w:spacing w:val="-6"/>
                <w:kern w:val="21"/>
                <w:szCs w:val="21"/>
              </w:rPr>
              <w:fldChar w:fldCharType="separate"/>
            </w:r>
            <w:r>
              <w:rPr>
                <w:rFonts w:ascii="Times New Roman" w:hAnsi="Times New Roman" w:cs="Times New Roman" w:eastAsiaTheme="majorEastAsia"/>
                <w:szCs w:val="21"/>
              </w:rPr>
              <w:t>⑦</w:t>
            </w:r>
            <w:r>
              <w:rPr>
                <w:rFonts w:ascii="Times New Roman" w:hAnsi="Times New Roman" w:cs="Times New Roman" w:eastAsiaTheme="majorEastAsia"/>
                <w:spacing w:val="-6"/>
                <w:kern w:val="21"/>
                <w:szCs w:val="21"/>
              </w:rPr>
              <w:fldChar w:fldCharType="end"/>
            </w:r>
          </w:p>
        </w:tc>
      </w:tr>
      <w:tr w14:paraId="42F779D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restart"/>
            <w:tcBorders>
              <w:tl2br w:val="nil"/>
              <w:tr2bl w:val="nil"/>
            </w:tcBorders>
            <w:vAlign w:val="center"/>
          </w:tcPr>
          <w:p w14:paraId="0233A059">
            <w:pPr>
              <w:jc w:val="center"/>
              <w:rPr>
                <w:rFonts w:ascii="Times New Roman" w:hAnsi="Times New Roman" w:cs="Times New Roman"/>
                <w:szCs w:val="21"/>
              </w:rPr>
            </w:pPr>
            <w:r>
              <w:rPr>
                <w:rFonts w:ascii="Times New Roman" w:hAnsi="Times New Roman" w:cs="Times New Roman"/>
                <w:szCs w:val="21"/>
              </w:rPr>
              <w:t>废气</w:t>
            </w:r>
          </w:p>
        </w:tc>
        <w:tc>
          <w:tcPr>
            <w:tcW w:w="2136" w:type="dxa"/>
            <w:tcBorders>
              <w:tl2br w:val="nil"/>
              <w:tr2bl w:val="nil"/>
            </w:tcBorders>
            <w:vAlign w:val="center"/>
          </w:tcPr>
          <w:p w14:paraId="119B2F6E">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颗粒物</w:t>
            </w:r>
          </w:p>
        </w:tc>
        <w:tc>
          <w:tcPr>
            <w:tcW w:w="1702" w:type="dxa"/>
            <w:tcBorders>
              <w:tl2br w:val="nil"/>
              <w:tr2bl w:val="nil"/>
            </w:tcBorders>
            <w:vAlign w:val="center"/>
          </w:tcPr>
          <w:p w14:paraId="0977522D">
            <w:pPr>
              <w:jc w:val="center"/>
              <w:rPr>
                <w:rFonts w:ascii="Times New Roman" w:hAnsi="Times New Roman" w:cs="Times New Roman"/>
                <w:szCs w:val="21"/>
              </w:rPr>
            </w:pPr>
          </w:p>
        </w:tc>
        <w:tc>
          <w:tcPr>
            <w:tcW w:w="1276" w:type="dxa"/>
            <w:tcBorders>
              <w:tl2br w:val="nil"/>
              <w:tr2bl w:val="nil"/>
            </w:tcBorders>
            <w:vAlign w:val="center"/>
          </w:tcPr>
          <w:p w14:paraId="41985034">
            <w:pPr>
              <w:jc w:val="center"/>
              <w:rPr>
                <w:rFonts w:ascii="Times New Roman" w:hAnsi="Times New Roman" w:cs="Times New Roman"/>
                <w:szCs w:val="21"/>
              </w:rPr>
            </w:pPr>
          </w:p>
        </w:tc>
        <w:tc>
          <w:tcPr>
            <w:tcW w:w="1702" w:type="dxa"/>
            <w:tcBorders>
              <w:tl2br w:val="nil"/>
              <w:tr2bl w:val="nil"/>
            </w:tcBorders>
            <w:vAlign w:val="center"/>
          </w:tcPr>
          <w:p w14:paraId="0B49BC27">
            <w:pPr>
              <w:jc w:val="center"/>
              <w:rPr>
                <w:rFonts w:ascii="Times New Roman" w:hAnsi="Times New Roman" w:cs="Times New Roman"/>
                <w:szCs w:val="21"/>
              </w:rPr>
            </w:pPr>
          </w:p>
        </w:tc>
        <w:tc>
          <w:tcPr>
            <w:tcW w:w="1559" w:type="dxa"/>
            <w:tcBorders>
              <w:tl2br w:val="nil"/>
              <w:tr2bl w:val="nil"/>
            </w:tcBorders>
            <w:vAlign w:val="center"/>
          </w:tcPr>
          <w:p w14:paraId="26C3CECE">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2.77869t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40E175E0">
            <w:pPr>
              <w:jc w:val="center"/>
              <w:rPr>
                <w:rFonts w:ascii="Times New Roman" w:hAnsi="Times New Roman" w:cs="Times New Roman"/>
                <w:szCs w:val="21"/>
              </w:rPr>
            </w:pPr>
          </w:p>
        </w:tc>
        <w:tc>
          <w:tcPr>
            <w:tcW w:w="1959" w:type="dxa"/>
            <w:tcBorders>
              <w:tl2br w:val="nil"/>
              <w:tr2bl w:val="nil"/>
            </w:tcBorders>
            <w:vAlign w:val="center"/>
          </w:tcPr>
          <w:p w14:paraId="2473DF54">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2.77869t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0C4B61E6">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1A594D9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2B0AEDCD">
            <w:pPr>
              <w:jc w:val="center"/>
              <w:rPr>
                <w:rFonts w:ascii="Times New Roman" w:hAnsi="Times New Roman" w:cs="Times New Roman"/>
                <w:szCs w:val="21"/>
              </w:rPr>
            </w:pPr>
          </w:p>
        </w:tc>
        <w:tc>
          <w:tcPr>
            <w:tcW w:w="2136" w:type="dxa"/>
            <w:tcBorders>
              <w:tl2br w:val="nil"/>
              <w:tr2bl w:val="nil"/>
            </w:tcBorders>
            <w:vAlign w:val="center"/>
          </w:tcPr>
          <w:p w14:paraId="5D519522">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SO</w:t>
            </w:r>
            <w:r>
              <w:rPr>
                <w:rFonts w:hint="eastAsia" w:ascii="Times New Roman" w:hAnsi="Times New Roman" w:eastAsia="宋体" w:cs="Times New Roman"/>
                <w:szCs w:val="21"/>
                <w:vertAlign w:val="subscript"/>
              </w:rPr>
              <w:t>2</w:t>
            </w:r>
          </w:p>
        </w:tc>
        <w:tc>
          <w:tcPr>
            <w:tcW w:w="1702" w:type="dxa"/>
            <w:tcBorders>
              <w:tl2br w:val="nil"/>
              <w:tr2bl w:val="nil"/>
            </w:tcBorders>
            <w:vAlign w:val="center"/>
          </w:tcPr>
          <w:p w14:paraId="1DD31404">
            <w:pPr>
              <w:jc w:val="center"/>
              <w:rPr>
                <w:rFonts w:ascii="Times New Roman" w:hAnsi="Times New Roman" w:cs="Times New Roman"/>
                <w:szCs w:val="21"/>
              </w:rPr>
            </w:pPr>
          </w:p>
        </w:tc>
        <w:tc>
          <w:tcPr>
            <w:tcW w:w="1276" w:type="dxa"/>
            <w:tcBorders>
              <w:tl2br w:val="nil"/>
              <w:tr2bl w:val="nil"/>
            </w:tcBorders>
            <w:vAlign w:val="center"/>
          </w:tcPr>
          <w:p w14:paraId="45B3AF0D">
            <w:pPr>
              <w:jc w:val="center"/>
              <w:rPr>
                <w:rFonts w:ascii="Times New Roman" w:hAnsi="Times New Roman" w:cs="Times New Roman"/>
                <w:szCs w:val="21"/>
              </w:rPr>
            </w:pPr>
          </w:p>
        </w:tc>
        <w:tc>
          <w:tcPr>
            <w:tcW w:w="1702" w:type="dxa"/>
            <w:tcBorders>
              <w:tl2br w:val="nil"/>
              <w:tr2bl w:val="nil"/>
            </w:tcBorders>
            <w:vAlign w:val="center"/>
          </w:tcPr>
          <w:p w14:paraId="194F5825">
            <w:pPr>
              <w:jc w:val="center"/>
              <w:rPr>
                <w:rFonts w:ascii="Times New Roman" w:hAnsi="Times New Roman" w:cs="Times New Roman"/>
                <w:szCs w:val="21"/>
              </w:rPr>
            </w:pPr>
          </w:p>
        </w:tc>
        <w:tc>
          <w:tcPr>
            <w:tcW w:w="1559" w:type="dxa"/>
            <w:tcBorders>
              <w:tl2br w:val="nil"/>
              <w:tr2bl w:val="nil"/>
            </w:tcBorders>
            <w:vAlign w:val="center"/>
          </w:tcPr>
          <w:p w14:paraId="13F555CA">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0.00347t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45E8F1C3">
            <w:pPr>
              <w:jc w:val="center"/>
              <w:rPr>
                <w:rFonts w:ascii="Times New Roman" w:hAnsi="Times New Roman" w:cs="Times New Roman"/>
                <w:szCs w:val="21"/>
              </w:rPr>
            </w:pPr>
          </w:p>
        </w:tc>
        <w:tc>
          <w:tcPr>
            <w:tcW w:w="1959" w:type="dxa"/>
            <w:tcBorders>
              <w:tl2br w:val="nil"/>
              <w:tr2bl w:val="nil"/>
            </w:tcBorders>
            <w:vAlign w:val="center"/>
          </w:tcPr>
          <w:p w14:paraId="148F9557">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0.00347t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6360F9BA">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718FC6D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6F020E04">
            <w:pPr>
              <w:jc w:val="center"/>
              <w:rPr>
                <w:rFonts w:ascii="Times New Roman" w:hAnsi="Times New Roman" w:cs="Times New Roman"/>
                <w:szCs w:val="21"/>
              </w:rPr>
            </w:pPr>
          </w:p>
        </w:tc>
        <w:tc>
          <w:tcPr>
            <w:tcW w:w="2136" w:type="dxa"/>
            <w:tcBorders>
              <w:tl2br w:val="nil"/>
              <w:tr2bl w:val="nil"/>
            </w:tcBorders>
            <w:vAlign w:val="center"/>
          </w:tcPr>
          <w:p w14:paraId="3CE094D5">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color w:val="FF0000"/>
                <w:szCs w:val="21"/>
              </w:rPr>
              <w:t>NO</w:t>
            </w:r>
            <w:r>
              <w:rPr>
                <w:rFonts w:hint="eastAsia" w:ascii="Times New Roman" w:hAnsi="Times New Roman" w:eastAsia="宋体" w:cs="Times New Roman"/>
                <w:color w:val="FF0000"/>
                <w:szCs w:val="21"/>
                <w:vertAlign w:val="subscript"/>
              </w:rPr>
              <w:t>X</w:t>
            </w:r>
          </w:p>
        </w:tc>
        <w:tc>
          <w:tcPr>
            <w:tcW w:w="1702" w:type="dxa"/>
            <w:tcBorders>
              <w:tl2br w:val="nil"/>
              <w:tr2bl w:val="nil"/>
            </w:tcBorders>
            <w:vAlign w:val="center"/>
          </w:tcPr>
          <w:p w14:paraId="0EBA8014">
            <w:pPr>
              <w:jc w:val="center"/>
              <w:rPr>
                <w:rFonts w:ascii="Times New Roman" w:hAnsi="Times New Roman" w:cs="Times New Roman"/>
                <w:szCs w:val="21"/>
              </w:rPr>
            </w:pPr>
          </w:p>
        </w:tc>
        <w:tc>
          <w:tcPr>
            <w:tcW w:w="1276" w:type="dxa"/>
            <w:tcBorders>
              <w:tl2br w:val="nil"/>
              <w:tr2bl w:val="nil"/>
            </w:tcBorders>
            <w:vAlign w:val="center"/>
          </w:tcPr>
          <w:p w14:paraId="23D04ACC">
            <w:pPr>
              <w:jc w:val="center"/>
              <w:rPr>
                <w:rFonts w:ascii="Times New Roman" w:hAnsi="Times New Roman" w:cs="Times New Roman"/>
                <w:szCs w:val="21"/>
              </w:rPr>
            </w:pPr>
          </w:p>
        </w:tc>
        <w:tc>
          <w:tcPr>
            <w:tcW w:w="1702" w:type="dxa"/>
            <w:tcBorders>
              <w:tl2br w:val="nil"/>
              <w:tr2bl w:val="nil"/>
            </w:tcBorders>
            <w:vAlign w:val="center"/>
          </w:tcPr>
          <w:p w14:paraId="08D22B2F">
            <w:pPr>
              <w:jc w:val="center"/>
              <w:rPr>
                <w:rFonts w:ascii="Times New Roman" w:hAnsi="Times New Roman" w:cs="Times New Roman"/>
                <w:szCs w:val="21"/>
              </w:rPr>
            </w:pPr>
          </w:p>
        </w:tc>
        <w:tc>
          <w:tcPr>
            <w:tcW w:w="1559" w:type="dxa"/>
            <w:tcBorders>
              <w:tl2br w:val="nil"/>
              <w:tr2bl w:val="nil"/>
            </w:tcBorders>
            <w:vAlign w:val="center"/>
          </w:tcPr>
          <w:p w14:paraId="01CF70F6">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color w:val="FF0000"/>
                <w:szCs w:val="21"/>
              </w:rPr>
              <w:t>0.4945</w:t>
            </w:r>
            <w:r>
              <w:rPr>
                <w:rFonts w:hint="eastAsia" w:ascii="Times New Roman" w:hAnsi="Times New Roman" w:eastAsia="宋体" w:cs="Times New Roman"/>
                <w:szCs w:val="21"/>
              </w:rPr>
              <w:t>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0E2D3A67">
            <w:pPr>
              <w:jc w:val="center"/>
              <w:rPr>
                <w:rFonts w:ascii="Times New Roman" w:hAnsi="Times New Roman" w:cs="Times New Roman"/>
                <w:szCs w:val="21"/>
              </w:rPr>
            </w:pPr>
          </w:p>
        </w:tc>
        <w:tc>
          <w:tcPr>
            <w:tcW w:w="1959" w:type="dxa"/>
            <w:tcBorders>
              <w:tl2br w:val="nil"/>
              <w:tr2bl w:val="nil"/>
            </w:tcBorders>
            <w:vAlign w:val="center"/>
          </w:tcPr>
          <w:p w14:paraId="78263B43">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color w:val="FF0000"/>
                <w:szCs w:val="21"/>
              </w:rPr>
              <w:t>0.4945</w:t>
            </w:r>
            <w:r>
              <w:rPr>
                <w:rFonts w:hint="eastAsia" w:ascii="Times New Roman" w:hAnsi="Times New Roman" w:eastAsia="宋体" w:cs="Times New Roman"/>
                <w:szCs w:val="21"/>
              </w:rPr>
              <w:t>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6DBC72DF">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3765C47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33CB898F">
            <w:pPr>
              <w:jc w:val="center"/>
              <w:rPr>
                <w:rFonts w:ascii="Times New Roman" w:hAnsi="Times New Roman" w:cs="Times New Roman"/>
                <w:szCs w:val="21"/>
              </w:rPr>
            </w:pPr>
          </w:p>
        </w:tc>
        <w:tc>
          <w:tcPr>
            <w:tcW w:w="2136" w:type="dxa"/>
            <w:tcBorders>
              <w:tl2br w:val="nil"/>
              <w:tr2bl w:val="nil"/>
            </w:tcBorders>
            <w:vAlign w:val="center"/>
          </w:tcPr>
          <w:p w14:paraId="226904FF">
            <w:pPr>
              <w:jc w:val="center"/>
              <w:rPr>
                <w:rFonts w:ascii="Times New Roman" w:hAnsi="Times New Roman" w:cs="Times New Roman"/>
                <w:szCs w:val="21"/>
              </w:rPr>
            </w:pPr>
            <w:r>
              <w:rPr>
                <w:rFonts w:hint="eastAsia" w:ascii="Times New Roman" w:hAnsi="Times New Roman" w:cs="Times New Roman"/>
                <w:szCs w:val="21"/>
              </w:rPr>
              <w:t>沥青烟</w:t>
            </w:r>
          </w:p>
        </w:tc>
        <w:tc>
          <w:tcPr>
            <w:tcW w:w="1702" w:type="dxa"/>
            <w:tcBorders>
              <w:tl2br w:val="nil"/>
              <w:tr2bl w:val="nil"/>
            </w:tcBorders>
            <w:vAlign w:val="center"/>
          </w:tcPr>
          <w:p w14:paraId="31F18081">
            <w:pPr>
              <w:jc w:val="center"/>
              <w:rPr>
                <w:rFonts w:ascii="Times New Roman" w:hAnsi="Times New Roman" w:cs="Times New Roman"/>
                <w:szCs w:val="21"/>
              </w:rPr>
            </w:pPr>
          </w:p>
        </w:tc>
        <w:tc>
          <w:tcPr>
            <w:tcW w:w="1276" w:type="dxa"/>
            <w:tcBorders>
              <w:tl2br w:val="nil"/>
              <w:tr2bl w:val="nil"/>
            </w:tcBorders>
            <w:vAlign w:val="center"/>
          </w:tcPr>
          <w:p w14:paraId="18DBB4D9">
            <w:pPr>
              <w:jc w:val="center"/>
              <w:rPr>
                <w:rFonts w:ascii="Times New Roman" w:hAnsi="Times New Roman" w:cs="Times New Roman"/>
                <w:szCs w:val="21"/>
              </w:rPr>
            </w:pPr>
          </w:p>
        </w:tc>
        <w:tc>
          <w:tcPr>
            <w:tcW w:w="1702" w:type="dxa"/>
            <w:tcBorders>
              <w:tl2br w:val="nil"/>
              <w:tr2bl w:val="nil"/>
            </w:tcBorders>
            <w:vAlign w:val="center"/>
          </w:tcPr>
          <w:p w14:paraId="3FB5B675">
            <w:pPr>
              <w:jc w:val="center"/>
              <w:rPr>
                <w:rFonts w:ascii="Times New Roman" w:hAnsi="Times New Roman" w:cs="Times New Roman"/>
                <w:szCs w:val="21"/>
              </w:rPr>
            </w:pPr>
          </w:p>
        </w:tc>
        <w:tc>
          <w:tcPr>
            <w:tcW w:w="1559" w:type="dxa"/>
            <w:tcBorders>
              <w:tl2br w:val="nil"/>
              <w:tr2bl w:val="nil"/>
            </w:tcBorders>
            <w:vAlign w:val="center"/>
          </w:tcPr>
          <w:p w14:paraId="3925873D">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0.03905t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6FC1F5BD">
            <w:pPr>
              <w:jc w:val="center"/>
              <w:rPr>
                <w:rFonts w:ascii="Times New Roman" w:hAnsi="Times New Roman" w:cs="Times New Roman"/>
                <w:szCs w:val="21"/>
              </w:rPr>
            </w:pPr>
          </w:p>
        </w:tc>
        <w:tc>
          <w:tcPr>
            <w:tcW w:w="1959" w:type="dxa"/>
            <w:tcBorders>
              <w:tl2br w:val="nil"/>
              <w:tr2bl w:val="nil"/>
            </w:tcBorders>
            <w:vAlign w:val="center"/>
          </w:tcPr>
          <w:p w14:paraId="7EFD57E8">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0.03905t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5822500C">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5CB17DE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562DBBA0">
            <w:pPr>
              <w:jc w:val="center"/>
              <w:rPr>
                <w:rFonts w:ascii="Times New Roman" w:hAnsi="Times New Roman" w:cs="Times New Roman"/>
                <w:szCs w:val="21"/>
              </w:rPr>
            </w:pPr>
          </w:p>
        </w:tc>
        <w:tc>
          <w:tcPr>
            <w:tcW w:w="2136" w:type="dxa"/>
            <w:tcBorders>
              <w:tl2br w:val="nil"/>
              <w:tr2bl w:val="nil"/>
            </w:tcBorders>
            <w:vAlign w:val="center"/>
          </w:tcPr>
          <w:p w14:paraId="3383D925">
            <w:pPr>
              <w:jc w:val="center"/>
              <w:rPr>
                <w:rFonts w:ascii="Times New Roman" w:hAnsi="Times New Roman" w:cs="Times New Roman"/>
                <w:szCs w:val="21"/>
              </w:rPr>
            </w:pPr>
            <w:r>
              <w:rPr>
                <w:rFonts w:ascii="Times New Roman" w:hAnsi="Times New Roman" w:cs="Times New Roman"/>
                <w:szCs w:val="21"/>
              </w:rPr>
              <w:t>苯并[a]芘</w:t>
            </w:r>
          </w:p>
        </w:tc>
        <w:tc>
          <w:tcPr>
            <w:tcW w:w="1702" w:type="dxa"/>
            <w:tcBorders>
              <w:tl2br w:val="nil"/>
              <w:tr2bl w:val="nil"/>
            </w:tcBorders>
            <w:vAlign w:val="center"/>
          </w:tcPr>
          <w:p w14:paraId="642E291F">
            <w:pPr>
              <w:jc w:val="center"/>
              <w:rPr>
                <w:rFonts w:ascii="Times New Roman" w:hAnsi="Times New Roman" w:cs="Times New Roman"/>
                <w:szCs w:val="21"/>
              </w:rPr>
            </w:pPr>
          </w:p>
        </w:tc>
        <w:tc>
          <w:tcPr>
            <w:tcW w:w="1276" w:type="dxa"/>
            <w:tcBorders>
              <w:tl2br w:val="nil"/>
              <w:tr2bl w:val="nil"/>
            </w:tcBorders>
            <w:vAlign w:val="center"/>
          </w:tcPr>
          <w:p w14:paraId="59EC6B71">
            <w:pPr>
              <w:jc w:val="center"/>
              <w:rPr>
                <w:rFonts w:ascii="Times New Roman" w:hAnsi="Times New Roman" w:cs="Times New Roman"/>
                <w:szCs w:val="21"/>
              </w:rPr>
            </w:pPr>
          </w:p>
        </w:tc>
        <w:tc>
          <w:tcPr>
            <w:tcW w:w="1702" w:type="dxa"/>
            <w:tcBorders>
              <w:tl2br w:val="nil"/>
              <w:tr2bl w:val="nil"/>
            </w:tcBorders>
            <w:vAlign w:val="center"/>
          </w:tcPr>
          <w:p w14:paraId="5DE2BE71">
            <w:pPr>
              <w:jc w:val="center"/>
              <w:rPr>
                <w:rFonts w:ascii="Times New Roman" w:hAnsi="Times New Roman" w:cs="Times New Roman"/>
                <w:szCs w:val="21"/>
              </w:rPr>
            </w:pPr>
          </w:p>
        </w:tc>
        <w:tc>
          <w:tcPr>
            <w:tcW w:w="1559" w:type="dxa"/>
            <w:tcBorders>
              <w:tl2br w:val="nil"/>
              <w:tr2bl w:val="nil"/>
            </w:tcBorders>
            <w:vAlign w:val="center"/>
          </w:tcPr>
          <w:p w14:paraId="5EB0E092">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0.000005799t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42A433FB">
            <w:pPr>
              <w:jc w:val="center"/>
              <w:rPr>
                <w:rFonts w:ascii="Times New Roman" w:hAnsi="Times New Roman" w:cs="Times New Roman"/>
                <w:szCs w:val="21"/>
              </w:rPr>
            </w:pPr>
          </w:p>
        </w:tc>
        <w:tc>
          <w:tcPr>
            <w:tcW w:w="1959" w:type="dxa"/>
            <w:tcBorders>
              <w:tl2br w:val="nil"/>
              <w:tr2bl w:val="nil"/>
            </w:tcBorders>
            <w:vAlign w:val="center"/>
          </w:tcPr>
          <w:p w14:paraId="306AF016">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0.000005799t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118955E9">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0D4D4B7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20389C01">
            <w:pPr>
              <w:jc w:val="center"/>
              <w:rPr>
                <w:rFonts w:ascii="Times New Roman" w:hAnsi="Times New Roman" w:cs="Times New Roman"/>
                <w:szCs w:val="21"/>
              </w:rPr>
            </w:pPr>
          </w:p>
        </w:tc>
        <w:tc>
          <w:tcPr>
            <w:tcW w:w="2136" w:type="dxa"/>
            <w:tcBorders>
              <w:bottom w:val="single" w:color="000000" w:sz="4" w:space="0"/>
              <w:tl2br w:val="nil"/>
              <w:tr2bl w:val="nil"/>
            </w:tcBorders>
            <w:vAlign w:val="center"/>
          </w:tcPr>
          <w:p w14:paraId="36C5A0F7">
            <w:pPr>
              <w:jc w:val="center"/>
              <w:rPr>
                <w:rFonts w:ascii="Times New Roman" w:hAnsi="Times New Roman" w:cs="Times New Roman"/>
                <w:szCs w:val="21"/>
              </w:rPr>
            </w:pPr>
            <w:r>
              <w:rPr>
                <w:rFonts w:hint="eastAsia" w:ascii="Times New Roman" w:hAnsi="Times New Roman" w:cs="Times New Roman"/>
                <w:szCs w:val="21"/>
              </w:rPr>
              <w:t>非甲烷总烃</w:t>
            </w:r>
          </w:p>
        </w:tc>
        <w:tc>
          <w:tcPr>
            <w:tcW w:w="1702" w:type="dxa"/>
            <w:tcBorders>
              <w:bottom w:val="single" w:color="000000" w:sz="4" w:space="0"/>
              <w:tl2br w:val="nil"/>
              <w:tr2bl w:val="nil"/>
            </w:tcBorders>
            <w:vAlign w:val="center"/>
          </w:tcPr>
          <w:p w14:paraId="56BCEBF6">
            <w:pPr>
              <w:jc w:val="center"/>
              <w:rPr>
                <w:rFonts w:ascii="Times New Roman" w:hAnsi="Times New Roman" w:cs="Times New Roman"/>
                <w:szCs w:val="21"/>
              </w:rPr>
            </w:pPr>
          </w:p>
        </w:tc>
        <w:tc>
          <w:tcPr>
            <w:tcW w:w="1276" w:type="dxa"/>
            <w:tcBorders>
              <w:bottom w:val="single" w:color="000000" w:sz="4" w:space="0"/>
              <w:tl2br w:val="nil"/>
              <w:tr2bl w:val="nil"/>
            </w:tcBorders>
            <w:vAlign w:val="center"/>
          </w:tcPr>
          <w:p w14:paraId="28B51A1B">
            <w:pPr>
              <w:jc w:val="center"/>
              <w:rPr>
                <w:rFonts w:ascii="Times New Roman" w:hAnsi="Times New Roman" w:cs="Times New Roman"/>
                <w:szCs w:val="21"/>
              </w:rPr>
            </w:pPr>
          </w:p>
        </w:tc>
        <w:tc>
          <w:tcPr>
            <w:tcW w:w="1702" w:type="dxa"/>
            <w:tcBorders>
              <w:bottom w:val="single" w:color="000000" w:sz="4" w:space="0"/>
              <w:tl2br w:val="nil"/>
              <w:tr2bl w:val="nil"/>
            </w:tcBorders>
            <w:vAlign w:val="center"/>
          </w:tcPr>
          <w:p w14:paraId="46B73A33">
            <w:pPr>
              <w:jc w:val="center"/>
              <w:rPr>
                <w:rFonts w:ascii="Times New Roman" w:hAnsi="Times New Roman" w:cs="Times New Roman"/>
                <w:szCs w:val="21"/>
              </w:rPr>
            </w:pPr>
          </w:p>
        </w:tc>
        <w:tc>
          <w:tcPr>
            <w:tcW w:w="1559" w:type="dxa"/>
            <w:tcBorders>
              <w:bottom w:val="single" w:color="000000" w:sz="4" w:space="0"/>
              <w:tl2br w:val="nil"/>
              <w:tr2bl w:val="nil"/>
            </w:tcBorders>
            <w:vAlign w:val="center"/>
          </w:tcPr>
          <w:p w14:paraId="7E409FCC">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0.08t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bottom w:val="single" w:color="000000" w:sz="4" w:space="0"/>
              <w:tl2br w:val="nil"/>
              <w:tr2bl w:val="nil"/>
            </w:tcBorders>
            <w:vAlign w:val="center"/>
          </w:tcPr>
          <w:p w14:paraId="103F5D2F">
            <w:pPr>
              <w:jc w:val="center"/>
              <w:rPr>
                <w:rFonts w:ascii="Times New Roman" w:hAnsi="Times New Roman" w:cs="Times New Roman"/>
                <w:szCs w:val="21"/>
              </w:rPr>
            </w:pPr>
          </w:p>
        </w:tc>
        <w:tc>
          <w:tcPr>
            <w:tcW w:w="1959" w:type="dxa"/>
            <w:tcBorders>
              <w:bottom w:val="single" w:color="000000" w:sz="4" w:space="0"/>
              <w:tl2br w:val="nil"/>
              <w:tr2bl w:val="nil"/>
            </w:tcBorders>
            <w:vAlign w:val="center"/>
          </w:tcPr>
          <w:p w14:paraId="69E68227">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0.08t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bottom w:val="single" w:color="000000" w:sz="4" w:space="0"/>
              <w:tl2br w:val="nil"/>
              <w:tr2bl w:val="nil"/>
            </w:tcBorders>
            <w:vAlign w:val="center"/>
          </w:tcPr>
          <w:p w14:paraId="4B1C0735">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4525540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69547AC1">
            <w:pPr>
              <w:jc w:val="center"/>
              <w:rPr>
                <w:rFonts w:ascii="Times New Roman" w:hAnsi="Times New Roman" w:cs="Times New Roman"/>
                <w:szCs w:val="21"/>
              </w:rPr>
            </w:pPr>
          </w:p>
        </w:tc>
        <w:tc>
          <w:tcPr>
            <w:tcW w:w="2136" w:type="dxa"/>
            <w:tcBorders>
              <w:top w:val="single" w:color="000000" w:sz="4" w:space="0"/>
              <w:bottom w:val="single" w:color="000000" w:sz="6" w:space="0"/>
              <w:tl2br w:val="nil"/>
              <w:tr2bl w:val="nil"/>
            </w:tcBorders>
            <w:vAlign w:val="center"/>
          </w:tcPr>
          <w:p w14:paraId="68F6213E">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油烟</w:t>
            </w:r>
          </w:p>
        </w:tc>
        <w:tc>
          <w:tcPr>
            <w:tcW w:w="1702" w:type="dxa"/>
            <w:tcBorders>
              <w:top w:val="single" w:color="000000" w:sz="4" w:space="0"/>
              <w:bottom w:val="single" w:color="000000" w:sz="6" w:space="0"/>
              <w:tl2br w:val="nil"/>
              <w:tr2bl w:val="nil"/>
            </w:tcBorders>
            <w:vAlign w:val="center"/>
          </w:tcPr>
          <w:p w14:paraId="45662D47">
            <w:pPr>
              <w:jc w:val="center"/>
              <w:rPr>
                <w:rFonts w:ascii="Times New Roman" w:hAnsi="Times New Roman" w:cs="Times New Roman"/>
                <w:szCs w:val="21"/>
              </w:rPr>
            </w:pPr>
          </w:p>
        </w:tc>
        <w:tc>
          <w:tcPr>
            <w:tcW w:w="1276" w:type="dxa"/>
            <w:tcBorders>
              <w:top w:val="single" w:color="000000" w:sz="4" w:space="0"/>
              <w:bottom w:val="single" w:color="000000" w:sz="6" w:space="0"/>
              <w:tl2br w:val="nil"/>
              <w:tr2bl w:val="nil"/>
            </w:tcBorders>
            <w:vAlign w:val="center"/>
          </w:tcPr>
          <w:p w14:paraId="7BE3C9E4">
            <w:pPr>
              <w:jc w:val="center"/>
              <w:rPr>
                <w:rFonts w:ascii="Times New Roman" w:hAnsi="Times New Roman" w:cs="Times New Roman"/>
                <w:szCs w:val="21"/>
              </w:rPr>
            </w:pPr>
          </w:p>
        </w:tc>
        <w:tc>
          <w:tcPr>
            <w:tcW w:w="1702" w:type="dxa"/>
            <w:tcBorders>
              <w:top w:val="single" w:color="000000" w:sz="4" w:space="0"/>
              <w:bottom w:val="single" w:color="000000" w:sz="6" w:space="0"/>
              <w:tl2br w:val="nil"/>
              <w:tr2bl w:val="nil"/>
            </w:tcBorders>
            <w:vAlign w:val="center"/>
          </w:tcPr>
          <w:p w14:paraId="6CC52C82">
            <w:pPr>
              <w:jc w:val="center"/>
              <w:rPr>
                <w:rFonts w:ascii="Times New Roman" w:hAnsi="Times New Roman" w:cs="Times New Roman"/>
                <w:szCs w:val="21"/>
              </w:rPr>
            </w:pPr>
          </w:p>
        </w:tc>
        <w:tc>
          <w:tcPr>
            <w:tcW w:w="1559" w:type="dxa"/>
            <w:tcBorders>
              <w:top w:val="single" w:color="000000" w:sz="4" w:space="0"/>
              <w:bottom w:val="single" w:color="000000" w:sz="6" w:space="0"/>
              <w:tl2br w:val="nil"/>
              <w:tr2bl w:val="nil"/>
            </w:tcBorders>
            <w:vAlign w:val="center"/>
          </w:tcPr>
          <w:p w14:paraId="63495AA8">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0.00324t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op w:val="single" w:color="000000" w:sz="4" w:space="0"/>
              <w:bottom w:val="single" w:color="000000" w:sz="6" w:space="0"/>
              <w:tl2br w:val="nil"/>
              <w:tr2bl w:val="nil"/>
            </w:tcBorders>
            <w:vAlign w:val="center"/>
          </w:tcPr>
          <w:p w14:paraId="1027BA5F">
            <w:pPr>
              <w:jc w:val="center"/>
              <w:rPr>
                <w:rFonts w:ascii="Times New Roman" w:hAnsi="Times New Roman" w:cs="Times New Roman"/>
                <w:szCs w:val="21"/>
              </w:rPr>
            </w:pPr>
          </w:p>
        </w:tc>
        <w:tc>
          <w:tcPr>
            <w:tcW w:w="1959" w:type="dxa"/>
            <w:tcBorders>
              <w:top w:val="single" w:color="000000" w:sz="4" w:space="0"/>
              <w:bottom w:val="single" w:color="000000" w:sz="6" w:space="0"/>
              <w:tl2br w:val="nil"/>
              <w:tr2bl w:val="nil"/>
            </w:tcBorders>
            <w:vAlign w:val="center"/>
          </w:tcPr>
          <w:p w14:paraId="5F259218">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0.00324t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op w:val="single" w:color="000000" w:sz="4" w:space="0"/>
              <w:bottom w:val="single" w:color="000000" w:sz="6" w:space="0"/>
              <w:tl2br w:val="nil"/>
              <w:tr2bl w:val="nil"/>
            </w:tcBorders>
            <w:vAlign w:val="center"/>
          </w:tcPr>
          <w:p w14:paraId="3F629CC7">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5CDC378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restart"/>
            <w:tcBorders>
              <w:tl2br w:val="nil"/>
              <w:tr2bl w:val="nil"/>
            </w:tcBorders>
            <w:vAlign w:val="center"/>
          </w:tcPr>
          <w:p w14:paraId="4414C923">
            <w:pPr>
              <w:jc w:val="center"/>
              <w:rPr>
                <w:rFonts w:ascii="Times New Roman" w:hAnsi="Times New Roman" w:cs="Times New Roman"/>
                <w:szCs w:val="21"/>
              </w:rPr>
            </w:pPr>
            <w:r>
              <w:rPr>
                <w:rFonts w:ascii="Times New Roman" w:hAnsi="Times New Roman" w:cs="Times New Roman"/>
                <w:szCs w:val="21"/>
              </w:rPr>
              <w:t>废水</w:t>
            </w:r>
          </w:p>
        </w:tc>
        <w:tc>
          <w:tcPr>
            <w:tcW w:w="2136" w:type="dxa"/>
            <w:tcBorders>
              <w:tl2br w:val="nil"/>
              <w:tr2bl w:val="nil"/>
            </w:tcBorders>
            <w:vAlign w:val="center"/>
          </w:tcPr>
          <w:p w14:paraId="6C751995">
            <w:pPr>
              <w:jc w:val="center"/>
              <w:rPr>
                <w:rFonts w:ascii="Times New Roman" w:hAnsi="Times New Roman" w:cs="Times New Roman"/>
                <w:szCs w:val="21"/>
              </w:rPr>
            </w:pPr>
            <w:r>
              <w:rPr>
                <w:rFonts w:hint="eastAsia" w:ascii="Times New Roman" w:hAnsi="Times New Roman" w:cs="Times New Roman"/>
                <w:szCs w:val="21"/>
              </w:rPr>
              <w:t>废水量</w:t>
            </w:r>
          </w:p>
        </w:tc>
        <w:tc>
          <w:tcPr>
            <w:tcW w:w="1702" w:type="dxa"/>
            <w:tcBorders>
              <w:tl2br w:val="nil"/>
              <w:tr2bl w:val="nil"/>
            </w:tcBorders>
            <w:vAlign w:val="center"/>
          </w:tcPr>
          <w:p w14:paraId="6363491C">
            <w:pPr>
              <w:jc w:val="center"/>
              <w:rPr>
                <w:rFonts w:ascii="Times New Roman" w:hAnsi="Times New Roman" w:cs="Times New Roman"/>
                <w:szCs w:val="21"/>
              </w:rPr>
            </w:pPr>
          </w:p>
        </w:tc>
        <w:tc>
          <w:tcPr>
            <w:tcW w:w="1276" w:type="dxa"/>
            <w:tcBorders>
              <w:tl2br w:val="nil"/>
              <w:tr2bl w:val="nil"/>
            </w:tcBorders>
            <w:vAlign w:val="center"/>
          </w:tcPr>
          <w:p w14:paraId="72F8AB3C">
            <w:pPr>
              <w:jc w:val="center"/>
              <w:rPr>
                <w:rFonts w:ascii="Times New Roman" w:hAnsi="Times New Roman" w:cs="Times New Roman"/>
                <w:szCs w:val="21"/>
              </w:rPr>
            </w:pPr>
          </w:p>
        </w:tc>
        <w:tc>
          <w:tcPr>
            <w:tcW w:w="1702" w:type="dxa"/>
            <w:tcBorders>
              <w:tl2br w:val="nil"/>
              <w:tr2bl w:val="nil"/>
            </w:tcBorders>
            <w:vAlign w:val="center"/>
          </w:tcPr>
          <w:p w14:paraId="48CE047F">
            <w:pPr>
              <w:jc w:val="center"/>
              <w:rPr>
                <w:rFonts w:ascii="Times New Roman" w:hAnsi="Times New Roman" w:cs="Times New Roman"/>
                <w:szCs w:val="21"/>
              </w:rPr>
            </w:pPr>
          </w:p>
        </w:tc>
        <w:tc>
          <w:tcPr>
            <w:tcW w:w="1559" w:type="dxa"/>
            <w:tcBorders>
              <w:tl2br w:val="nil"/>
              <w:tr2bl w:val="nil"/>
            </w:tcBorders>
            <w:vAlign w:val="center"/>
          </w:tcPr>
          <w:p w14:paraId="228F64F7">
            <w:pPr>
              <w:jc w:val="center"/>
            </w:pPr>
            <w:r>
              <w:rPr>
                <w:rFonts w:hint="eastAsia" w:ascii="Times New Roman" w:hAnsi="Times New Roman" w:cs="Times New Roman"/>
                <w:szCs w:val="21"/>
              </w:rPr>
              <w:t>68.4m</w:t>
            </w:r>
            <w:r>
              <w:rPr>
                <w:rFonts w:hint="eastAsia" w:ascii="Times New Roman" w:hAnsi="Times New Roman" w:cs="Times New Roman"/>
                <w:szCs w:val="21"/>
                <w:vertAlign w:val="superscript"/>
              </w:rPr>
              <w:t>3</w:t>
            </w:r>
            <w:r>
              <w:rPr>
                <w:rFonts w:hint="eastAsia" w:ascii="Times New Roman" w:hAnsi="Times New Roman" w:cs="Times New Roman"/>
                <w:szCs w:val="21"/>
              </w:rPr>
              <w:t>/</w:t>
            </w:r>
            <w:r>
              <w:rPr>
                <w:rFonts w:ascii="Times New Roman" w:hAnsi="Times New Roman" w:cs="Times New Roman"/>
                <w:szCs w:val="21"/>
              </w:rPr>
              <w:t>a</w:t>
            </w:r>
          </w:p>
        </w:tc>
        <w:tc>
          <w:tcPr>
            <w:tcW w:w="1761" w:type="dxa"/>
            <w:tcBorders>
              <w:tl2br w:val="nil"/>
              <w:tr2bl w:val="nil"/>
            </w:tcBorders>
            <w:vAlign w:val="center"/>
          </w:tcPr>
          <w:p w14:paraId="72210FA0">
            <w:pPr>
              <w:jc w:val="center"/>
              <w:rPr>
                <w:rFonts w:ascii="Times New Roman" w:hAnsi="Times New Roman" w:cs="Times New Roman"/>
                <w:szCs w:val="21"/>
              </w:rPr>
            </w:pPr>
          </w:p>
        </w:tc>
        <w:tc>
          <w:tcPr>
            <w:tcW w:w="1959" w:type="dxa"/>
            <w:tcBorders>
              <w:tl2br w:val="nil"/>
              <w:tr2bl w:val="nil"/>
            </w:tcBorders>
            <w:vAlign w:val="center"/>
          </w:tcPr>
          <w:p w14:paraId="79615A4B">
            <w:pPr>
              <w:jc w:val="center"/>
              <w:rPr>
                <w:rFonts w:ascii="Times New Roman" w:hAnsi="Times New Roman" w:cs="Times New Roman"/>
                <w:szCs w:val="21"/>
              </w:rPr>
            </w:pPr>
            <w:r>
              <w:rPr>
                <w:rFonts w:hint="eastAsia" w:ascii="Times New Roman" w:hAnsi="Times New Roman" w:cs="Times New Roman"/>
                <w:szCs w:val="21"/>
              </w:rPr>
              <w:t>68.4m</w:t>
            </w:r>
            <w:r>
              <w:rPr>
                <w:rFonts w:hint="eastAsia" w:ascii="Times New Roman" w:hAnsi="Times New Roman" w:cs="Times New Roman"/>
                <w:szCs w:val="21"/>
                <w:vertAlign w:val="superscript"/>
              </w:rPr>
              <w:t>3</w:t>
            </w:r>
            <w:r>
              <w:rPr>
                <w:rFonts w:hint="eastAsia" w:ascii="Times New Roman" w:hAnsi="Times New Roman" w:cs="Times New Roman"/>
                <w:szCs w:val="21"/>
              </w:rPr>
              <w:t>/</w:t>
            </w:r>
            <w:r>
              <w:rPr>
                <w:rFonts w:ascii="Times New Roman" w:hAnsi="Times New Roman" w:cs="Times New Roman"/>
                <w:szCs w:val="21"/>
              </w:rPr>
              <w:t>a</w:t>
            </w:r>
          </w:p>
        </w:tc>
        <w:tc>
          <w:tcPr>
            <w:tcW w:w="980" w:type="dxa"/>
            <w:tcBorders>
              <w:tl2br w:val="nil"/>
              <w:tr2bl w:val="nil"/>
            </w:tcBorders>
            <w:vAlign w:val="center"/>
          </w:tcPr>
          <w:p w14:paraId="26D1E21D">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6CE496F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074BB481">
            <w:pPr>
              <w:jc w:val="center"/>
              <w:rPr>
                <w:rFonts w:ascii="Times New Roman" w:hAnsi="Times New Roman" w:cs="Times New Roman"/>
                <w:szCs w:val="21"/>
              </w:rPr>
            </w:pPr>
          </w:p>
        </w:tc>
        <w:tc>
          <w:tcPr>
            <w:tcW w:w="2136" w:type="dxa"/>
            <w:tcBorders>
              <w:bottom w:val="single" w:color="000000" w:sz="4" w:space="0"/>
              <w:tl2br w:val="nil"/>
              <w:tr2bl w:val="nil"/>
            </w:tcBorders>
            <w:vAlign w:val="center"/>
          </w:tcPr>
          <w:p w14:paraId="7E5866A4">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COD</w:t>
            </w:r>
          </w:p>
        </w:tc>
        <w:tc>
          <w:tcPr>
            <w:tcW w:w="1702" w:type="dxa"/>
            <w:tcBorders>
              <w:bottom w:val="single" w:color="000000" w:sz="4" w:space="0"/>
              <w:tl2br w:val="nil"/>
              <w:tr2bl w:val="nil"/>
            </w:tcBorders>
            <w:vAlign w:val="center"/>
          </w:tcPr>
          <w:p w14:paraId="2066A11C">
            <w:pPr>
              <w:jc w:val="center"/>
              <w:rPr>
                <w:rFonts w:ascii="Times New Roman" w:hAnsi="Times New Roman" w:cs="Times New Roman"/>
                <w:szCs w:val="21"/>
              </w:rPr>
            </w:pPr>
          </w:p>
        </w:tc>
        <w:tc>
          <w:tcPr>
            <w:tcW w:w="1276" w:type="dxa"/>
            <w:tcBorders>
              <w:bottom w:val="single" w:color="000000" w:sz="4" w:space="0"/>
              <w:tl2br w:val="nil"/>
              <w:tr2bl w:val="nil"/>
            </w:tcBorders>
            <w:vAlign w:val="center"/>
          </w:tcPr>
          <w:p w14:paraId="1C3F68A5">
            <w:pPr>
              <w:jc w:val="center"/>
              <w:rPr>
                <w:rFonts w:ascii="Times New Roman" w:hAnsi="Times New Roman" w:cs="Times New Roman"/>
                <w:szCs w:val="21"/>
              </w:rPr>
            </w:pPr>
          </w:p>
        </w:tc>
        <w:tc>
          <w:tcPr>
            <w:tcW w:w="1702" w:type="dxa"/>
            <w:tcBorders>
              <w:bottom w:val="single" w:color="000000" w:sz="4" w:space="0"/>
              <w:tl2br w:val="nil"/>
              <w:tr2bl w:val="nil"/>
            </w:tcBorders>
            <w:vAlign w:val="center"/>
          </w:tcPr>
          <w:p w14:paraId="479E41A1">
            <w:pPr>
              <w:jc w:val="center"/>
              <w:rPr>
                <w:rFonts w:ascii="Times New Roman" w:hAnsi="Times New Roman" w:cs="Times New Roman"/>
                <w:szCs w:val="21"/>
              </w:rPr>
            </w:pPr>
          </w:p>
        </w:tc>
        <w:tc>
          <w:tcPr>
            <w:tcW w:w="1559" w:type="dxa"/>
            <w:tcBorders>
              <w:bottom w:val="single" w:color="000000" w:sz="4" w:space="0"/>
              <w:tl2br w:val="nil"/>
              <w:tr2bl w:val="nil"/>
            </w:tcBorders>
            <w:vAlign w:val="center"/>
          </w:tcPr>
          <w:p w14:paraId="1D48A677">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0.0252t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bottom w:val="single" w:color="000000" w:sz="4" w:space="0"/>
              <w:tl2br w:val="nil"/>
              <w:tr2bl w:val="nil"/>
            </w:tcBorders>
            <w:vAlign w:val="center"/>
          </w:tcPr>
          <w:p w14:paraId="0726E911">
            <w:pPr>
              <w:jc w:val="center"/>
              <w:rPr>
                <w:rFonts w:ascii="Times New Roman" w:hAnsi="Times New Roman" w:cs="Times New Roman"/>
                <w:szCs w:val="21"/>
              </w:rPr>
            </w:pPr>
          </w:p>
        </w:tc>
        <w:tc>
          <w:tcPr>
            <w:tcW w:w="1959" w:type="dxa"/>
            <w:tcBorders>
              <w:bottom w:val="single" w:color="000000" w:sz="4" w:space="0"/>
              <w:tl2br w:val="nil"/>
              <w:tr2bl w:val="nil"/>
            </w:tcBorders>
            <w:vAlign w:val="center"/>
          </w:tcPr>
          <w:p w14:paraId="7AC7EFBD">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0.0252t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bottom w:val="single" w:color="000000" w:sz="4" w:space="0"/>
              <w:tl2br w:val="nil"/>
              <w:tr2bl w:val="nil"/>
            </w:tcBorders>
            <w:vAlign w:val="center"/>
          </w:tcPr>
          <w:p w14:paraId="63451933">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3A70724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1880489E">
            <w:pPr>
              <w:jc w:val="center"/>
              <w:rPr>
                <w:rFonts w:ascii="Times New Roman" w:hAnsi="Times New Roman" w:cs="Times New Roman"/>
                <w:szCs w:val="21"/>
              </w:rPr>
            </w:pPr>
          </w:p>
        </w:tc>
        <w:tc>
          <w:tcPr>
            <w:tcW w:w="2136" w:type="dxa"/>
            <w:tcBorders>
              <w:top w:val="single" w:color="000000" w:sz="4" w:space="0"/>
              <w:bottom w:val="single" w:color="000000" w:sz="4" w:space="0"/>
              <w:tl2br w:val="nil"/>
              <w:tr2bl w:val="nil"/>
            </w:tcBorders>
            <w:vAlign w:val="center"/>
          </w:tcPr>
          <w:p w14:paraId="0C6E8295">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SS</w:t>
            </w:r>
          </w:p>
        </w:tc>
        <w:tc>
          <w:tcPr>
            <w:tcW w:w="1702" w:type="dxa"/>
            <w:tcBorders>
              <w:top w:val="single" w:color="000000" w:sz="4" w:space="0"/>
              <w:bottom w:val="single" w:color="000000" w:sz="4" w:space="0"/>
              <w:tl2br w:val="nil"/>
              <w:tr2bl w:val="nil"/>
            </w:tcBorders>
            <w:vAlign w:val="center"/>
          </w:tcPr>
          <w:p w14:paraId="069455EA">
            <w:pPr>
              <w:jc w:val="center"/>
              <w:rPr>
                <w:rFonts w:ascii="Times New Roman" w:hAnsi="Times New Roman" w:cs="Times New Roman"/>
                <w:szCs w:val="21"/>
              </w:rPr>
            </w:pPr>
          </w:p>
        </w:tc>
        <w:tc>
          <w:tcPr>
            <w:tcW w:w="1276" w:type="dxa"/>
            <w:tcBorders>
              <w:top w:val="single" w:color="000000" w:sz="4" w:space="0"/>
              <w:bottom w:val="single" w:color="000000" w:sz="4" w:space="0"/>
              <w:tl2br w:val="nil"/>
              <w:tr2bl w:val="nil"/>
            </w:tcBorders>
            <w:vAlign w:val="center"/>
          </w:tcPr>
          <w:p w14:paraId="03B0A5F0">
            <w:pPr>
              <w:jc w:val="center"/>
              <w:rPr>
                <w:rFonts w:ascii="Times New Roman" w:hAnsi="Times New Roman" w:cs="Times New Roman"/>
                <w:szCs w:val="21"/>
              </w:rPr>
            </w:pPr>
          </w:p>
        </w:tc>
        <w:tc>
          <w:tcPr>
            <w:tcW w:w="1702" w:type="dxa"/>
            <w:tcBorders>
              <w:top w:val="single" w:color="000000" w:sz="4" w:space="0"/>
              <w:bottom w:val="single" w:color="000000" w:sz="4" w:space="0"/>
              <w:tl2br w:val="nil"/>
              <w:tr2bl w:val="nil"/>
            </w:tcBorders>
            <w:vAlign w:val="center"/>
          </w:tcPr>
          <w:p w14:paraId="2ADA96F2">
            <w:pPr>
              <w:jc w:val="center"/>
              <w:rPr>
                <w:rFonts w:ascii="Times New Roman" w:hAnsi="Times New Roman" w:cs="Times New Roman"/>
                <w:szCs w:val="21"/>
              </w:rPr>
            </w:pPr>
          </w:p>
        </w:tc>
        <w:tc>
          <w:tcPr>
            <w:tcW w:w="1559" w:type="dxa"/>
            <w:tcBorders>
              <w:top w:val="single" w:color="000000" w:sz="4" w:space="0"/>
              <w:bottom w:val="single" w:color="000000" w:sz="4" w:space="0"/>
              <w:tl2br w:val="nil"/>
              <w:tr2bl w:val="nil"/>
            </w:tcBorders>
            <w:vAlign w:val="center"/>
          </w:tcPr>
          <w:p w14:paraId="1EDD8294">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0.0075t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op w:val="single" w:color="000000" w:sz="4" w:space="0"/>
              <w:bottom w:val="single" w:color="000000" w:sz="4" w:space="0"/>
              <w:tl2br w:val="nil"/>
              <w:tr2bl w:val="nil"/>
            </w:tcBorders>
            <w:vAlign w:val="center"/>
          </w:tcPr>
          <w:p w14:paraId="32E7383D">
            <w:pPr>
              <w:jc w:val="center"/>
              <w:rPr>
                <w:rFonts w:ascii="Times New Roman" w:hAnsi="Times New Roman" w:cs="Times New Roman"/>
                <w:szCs w:val="21"/>
              </w:rPr>
            </w:pPr>
          </w:p>
        </w:tc>
        <w:tc>
          <w:tcPr>
            <w:tcW w:w="1959" w:type="dxa"/>
            <w:tcBorders>
              <w:top w:val="single" w:color="000000" w:sz="4" w:space="0"/>
              <w:bottom w:val="single" w:color="000000" w:sz="4" w:space="0"/>
              <w:tl2br w:val="nil"/>
              <w:tr2bl w:val="nil"/>
            </w:tcBorders>
            <w:vAlign w:val="center"/>
          </w:tcPr>
          <w:p w14:paraId="6B655925">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0.0075t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op w:val="single" w:color="000000" w:sz="4" w:space="0"/>
              <w:bottom w:val="single" w:color="000000" w:sz="4" w:space="0"/>
              <w:tl2br w:val="nil"/>
              <w:tr2bl w:val="nil"/>
            </w:tcBorders>
            <w:vAlign w:val="center"/>
          </w:tcPr>
          <w:p w14:paraId="2A19CA3E">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5CCB805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06DD121F">
            <w:pPr>
              <w:jc w:val="center"/>
              <w:rPr>
                <w:rFonts w:ascii="Times New Roman" w:hAnsi="Times New Roman" w:cs="Times New Roman"/>
                <w:szCs w:val="21"/>
              </w:rPr>
            </w:pPr>
          </w:p>
        </w:tc>
        <w:tc>
          <w:tcPr>
            <w:tcW w:w="2136" w:type="dxa"/>
            <w:tcBorders>
              <w:top w:val="single" w:color="000000" w:sz="4" w:space="0"/>
              <w:bottom w:val="single" w:color="000000" w:sz="4" w:space="0"/>
              <w:tl2br w:val="nil"/>
              <w:tr2bl w:val="nil"/>
            </w:tcBorders>
            <w:vAlign w:val="center"/>
          </w:tcPr>
          <w:p w14:paraId="6A0CDA32">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NH</w:t>
            </w:r>
            <w:r>
              <w:rPr>
                <w:rFonts w:hint="eastAsia" w:ascii="Times New Roman" w:hAnsi="Times New Roman" w:eastAsia="宋体" w:cs="Times New Roman"/>
                <w:szCs w:val="21"/>
                <w:vertAlign w:val="subscript"/>
              </w:rPr>
              <w:t>3</w:t>
            </w:r>
            <w:r>
              <w:rPr>
                <w:rFonts w:hint="eastAsia" w:ascii="Times New Roman" w:hAnsi="Times New Roman" w:eastAsia="宋体" w:cs="Times New Roman"/>
                <w:szCs w:val="21"/>
              </w:rPr>
              <w:t>-N</w:t>
            </w:r>
          </w:p>
        </w:tc>
        <w:tc>
          <w:tcPr>
            <w:tcW w:w="1702" w:type="dxa"/>
            <w:tcBorders>
              <w:top w:val="single" w:color="000000" w:sz="4" w:space="0"/>
              <w:bottom w:val="single" w:color="000000" w:sz="4" w:space="0"/>
              <w:tl2br w:val="nil"/>
              <w:tr2bl w:val="nil"/>
            </w:tcBorders>
            <w:vAlign w:val="center"/>
          </w:tcPr>
          <w:p w14:paraId="0A1B8D14">
            <w:pPr>
              <w:jc w:val="center"/>
              <w:rPr>
                <w:rFonts w:ascii="Times New Roman" w:hAnsi="Times New Roman" w:cs="Times New Roman"/>
                <w:szCs w:val="21"/>
              </w:rPr>
            </w:pPr>
          </w:p>
        </w:tc>
        <w:tc>
          <w:tcPr>
            <w:tcW w:w="1276" w:type="dxa"/>
            <w:tcBorders>
              <w:top w:val="single" w:color="000000" w:sz="4" w:space="0"/>
              <w:bottom w:val="single" w:color="000000" w:sz="4" w:space="0"/>
              <w:tl2br w:val="nil"/>
              <w:tr2bl w:val="nil"/>
            </w:tcBorders>
            <w:vAlign w:val="center"/>
          </w:tcPr>
          <w:p w14:paraId="5DFFF4BB">
            <w:pPr>
              <w:jc w:val="center"/>
              <w:rPr>
                <w:rFonts w:ascii="Times New Roman" w:hAnsi="Times New Roman" w:cs="Times New Roman"/>
                <w:szCs w:val="21"/>
              </w:rPr>
            </w:pPr>
          </w:p>
        </w:tc>
        <w:tc>
          <w:tcPr>
            <w:tcW w:w="1702" w:type="dxa"/>
            <w:tcBorders>
              <w:top w:val="single" w:color="000000" w:sz="4" w:space="0"/>
              <w:bottom w:val="single" w:color="000000" w:sz="4" w:space="0"/>
              <w:tl2br w:val="nil"/>
              <w:tr2bl w:val="nil"/>
            </w:tcBorders>
            <w:vAlign w:val="center"/>
          </w:tcPr>
          <w:p w14:paraId="3F5C9A2D">
            <w:pPr>
              <w:jc w:val="center"/>
              <w:rPr>
                <w:rFonts w:ascii="Times New Roman" w:hAnsi="Times New Roman" w:cs="Times New Roman"/>
                <w:szCs w:val="21"/>
              </w:rPr>
            </w:pPr>
          </w:p>
        </w:tc>
        <w:tc>
          <w:tcPr>
            <w:tcW w:w="1559" w:type="dxa"/>
            <w:tcBorders>
              <w:top w:val="single" w:color="000000" w:sz="4" w:space="0"/>
              <w:bottom w:val="single" w:color="000000" w:sz="4" w:space="0"/>
              <w:tl2br w:val="nil"/>
              <w:tr2bl w:val="nil"/>
            </w:tcBorders>
            <w:vAlign w:val="center"/>
          </w:tcPr>
          <w:p w14:paraId="5E938DEE">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0.003t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op w:val="single" w:color="000000" w:sz="4" w:space="0"/>
              <w:bottom w:val="single" w:color="000000" w:sz="4" w:space="0"/>
              <w:tl2br w:val="nil"/>
              <w:tr2bl w:val="nil"/>
            </w:tcBorders>
            <w:vAlign w:val="center"/>
          </w:tcPr>
          <w:p w14:paraId="5DB8DEA4">
            <w:pPr>
              <w:jc w:val="center"/>
              <w:rPr>
                <w:rFonts w:ascii="Times New Roman" w:hAnsi="Times New Roman" w:cs="Times New Roman"/>
                <w:szCs w:val="21"/>
              </w:rPr>
            </w:pPr>
          </w:p>
        </w:tc>
        <w:tc>
          <w:tcPr>
            <w:tcW w:w="1959" w:type="dxa"/>
            <w:tcBorders>
              <w:top w:val="single" w:color="000000" w:sz="4" w:space="0"/>
              <w:bottom w:val="single" w:color="000000" w:sz="4" w:space="0"/>
              <w:tl2br w:val="nil"/>
              <w:tr2bl w:val="nil"/>
            </w:tcBorders>
            <w:vAlign w:val="center"/>
          </w:tcPr>
          <w:p w14:paraId="18422B19">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0.003t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op w:val="single" w:color="000000" w:sz="4" w:space="0"/>
              <w:bottom w:val="single" w:color="000000" w:sz="4" w:space="0"/>
              <w:tl2br w:val="nil"/>
              <w:tr2bl w:val="nil"/>
            </w:tcBorders>
            <w:vAlign w:val="center"/>
          </w:tcPr>
          <w:p w14:paraId="3D7C18AD">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70C9257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060734C5">
            <w:pPr>
              <w:jc w:val="center"/>
              <w:rPr>
                <w:rFonts w:ascii="Times New Roman" w:hAnsi="Times New Roman" w:cs="Times New Roman"/>
                <w:szCs w:val="21"/>
              </w:rPr>
            </w:pPr>
          </w:p>
        </w:tc>
        <w:tc>
          <w:tcPr>
            <w:tcW w:w="2136" w:type="dxa"/>
            <w:tcBorders>
              <w:top w:val="single" w:color="000000" w:sz="4" w:space="0"/>
              <w:bottom w:val="single" w:color="000000" w:sz="4" w:space="0"/>
              <w:tl2br w:val="nil"/>
              <w:tr2bl w:val="nil"/>
            </w:tcBorders>
            <w:vAlign w:val="center"/>
          </w:tcPr>
          <w:p w14:paraId="5D800EA8">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szCs w:val="21"/>
              </w:rPr>
              <w:t>TN</w:t>
            </w:r>
          </w:p>
        </w:tc>
        <w:tc>
          <w:tcPr>
            <w:tcW w:w="1702" w:type="dxa"/>
            <w:tcBorders>
              <w:top w:val="single" w:color="000000" w:sz="4" w:space="0"/>
              <w:bottom w:val="single" w:color="000000" w:sz="4" w:space="0"/>
              <w:tl2br w:val="nil"/>
              <w:tr2bl w:val="nil"/>
            </w:tcBorders>
            <w:vAlign w:val="center"/>
          </w:tcPr>
          <w:p w14:paraId="14BF1980">
            <w:pPr>
              <w:jc w:val="center"/>
              <w:rPr>
                <w:rFonts w:ascii="Times New Roman" w:hAnsi="Times New Roman" w:cs="Times New Roman"/>
                <w:szCs w:val="21"/>
              </w:rPr>
            </w:pPr>
          </w:p>
        </w:tc>
        <w:tc>
          <w:tcPr>
            <w:tcW w:w="1276" w:type="dxa"/>
            <w:tcBorders>
              <w:top w:val="single" w:color="000000" w:sz="4" w:space="0"/>
              <w:bottom w:val="single" w:color="000000" w:sz="4" w:space="0"/>
              <w:tl2br w:val="nil"/>
              <w:tr2bl w:val="nil"/>
            </w:tcBorders>
            <w:vAlign w:val="center"/>
          </w:tcPr>
          <w:p w14:paraId="02420E82">
            <w:pPr>
              <w:jc w:val="center"/>
              <w:rPr>
                <w:rFonts w:ascii="Times New Roman" w:hAnsi="Times New Roman" w:cs="Times New Roman"/>
                <w:szCs w:val="21"/>
              </w:rPr>
            </w:pPr>
          </w:p>
        </w:tc>
        <w:tc>
          <w:tcPr>
            <w:tcW w:w="1702" w:type="dxa"/>
            <w:tcBorders>
              <w:top w:val="single" w:color="000000" w:sz="4" w:space="0"/>
              <w:bottom w:val="single" w:color="000000" w:sz="4" w:space="0"/>
              <w:tl2br w:val="nil"/>
              <w:tr2bl w:val="nil"/>
            </w:tcBorders>
            <w:vAlign w:val="center"/>
          </w:tcPr>
          <w:p w14:paraId="3B333DE2">
            <w:pPr>
              <w:jc w:val="center"/>
              <w:rPr>
                <w:rFonts w:ascii="Times New Roman" w:hAnsi="Times New Roman" w:cs="Times New Roman"/>
                <w:szCs w:val="21"/>
              </w:rPr>
            </w:pPr>
          </w:p>
        </w:tc>
        <w:tc>
          <w:tcPr>
            <w:tcW w:w="1559" w:type="dxa"/>
            <w:tcBorders>
              <w:top w:val="single" w:color="000000" w:sz="4" w:space="0"/>
              <w:bottom w:val="single" w:color="000000" w:sz="4" w:space="0"/>
              <w:tl2br w:val="nil"/>
              <w:tr2bl w:val="nil"/>
            </w:tcBorders>
            <w:vAlign w:val="center"/>
          </w:tcPr>
          <w:p w14:paraId="37D9EAD6">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0.0043t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op w:val="single" w:color="000000" w:sz="4" w:space="0"/>
              <w:bottom w:val="single" w:color="000000" w:sz="4" w:space="0"/>
              <w:tl2br w:val="nil"/>
              <w:tr2bl w:val="nil"/>
            </w:tcBorders>
            <w:vAlign w:val="center"/>
          </w:tcPr>
          <w:p w14:paraId="3E12D528">
            <w:pPr>
              <w:jc w:val="center"/>
              <w:rPr>
                <w:rFonts w:ascii="Times New Roman" w:hAnsi="Times New Roman" w:cs="Times New Roman"/>
                <w:szCs w:val="21"/>
              </w:rPr>
            </w:pPr>
          </w:p>
        </w:tc>
        <w:tc>
          <w:tcPr>
            <w:tcW w:w="1959" w:type="dxa"/>
            <w:tcBorders>
              <w:top w:val="single" w:color="000000" w:sz="4" w:space="0"/>
              <w:bottom w:val="single" w:color="000000" w:sz="4" w:space="0"/>
              <w:tl2br w:val="nil"/>
              <w:tr2bl w:val="nil"/>
            </w:tcBorders>
            <w:vAlign w:val="center"/>
          </w:tcPr>
          <w:p w14:paraId="738828F5">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0.0043t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op w:val="single" w:color="000000" w:sz="4" w:space="0"/>
              <w:bottom w:val="single" w:color="000000" w:sz="4" w:space="0"/>
              <w:tl2br w:val="nil"/>
              <w:tr2bl w:val="nil"/>
            </w:tcBorders>
            <w:vAlign w:val="center"/>
          </w:tcPr>
          <w:p w14:paraId="49983F81">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1286ABC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6FAFD5EB">
            <w:pPr>
              <w:jc w:val="center"/>
              <w:rPr>
                <w:rFonts w:ascii="Times New Roman" w:hAnsi="Times New Roman" w:cs="Times New Roman"/>
                <w:szCs w:val="21"/>
              </w:rPr>
            </w:pPr>
          </w:p>
        </w:tc>
        <w:tc>
          <w:tcPr>
            <w:tcW w:w="2136" w:type="dxa"/>
            <w:tcBorders>
              <w:top w:val="single" w:color="000000" w:sz="4" w:space="0"/>
              <w:bottom w:val="single" w:color="000000" w:sz="4" w:space="0"/>
              <w:tl2br w:val="nil"/>
              <w:tr2bl w:val="nil"/>
            </w:tcBorders>
            <w:vAlign w:val="center"/>
          </w:tcPr>
          <w:p w14:paraId="47AE8A7D">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TP</w:t>
            </w:r>
          </w:p>
        </w:tc>
        <w:tc>
          <w:tcPr>
            <w:tcW w:w="1702" w:type="dxa"/>
            <w:tcBorders>
              <w:top w:val="single" w:color="000000" w:sz="4" w:space="0"/>
              <w:bottom w:val="single" w:color="000000" w:sz="4" w:space="0"/>
              <w:tl2br w:val="nil"/>
              <w:tr2bl w:val="nil"/>
            </w:tcBorders>
            <w:vAlign w:val="center"/>
          </w:tcPr>
          <w:p w14:paraId="0E03A977">
            <w:pPr>
              <w:jc w:val="center"/>
              <w:rPr>
                <w:rFonts w:ascii="Times New Roman" w:hAnsi="Times New Roman" w:cs="Times New Roman"/>
                <w:szCs w:val="21"/>
              </w:rPr>
            </w:pPr>
          </w:p>
        </w:tc>
        <w:tc>
          <w:tcPr>
            <w:tcW w:w="1276" w:type="dxa"/>
            <w:tcBorders>
              <w:top w:val="single" w:color="000000" w:sz="4" w:space="0"/>
              <w:bottom w:val="single" w:color="000000" w:sz="4" w:space="0"/>
              <w:tl2br w:val="nil"/>
              <w:tr2bl w:val="nil"/>
            </w:tcBorders>
            <w:vAlign w:val="center"/>
          </w:tcPr>
          <w:p w14:paraId="3D88FBB8">
            <w:pPr>
              <w:jc w:val="center"/>
              <w:rPr>
                <w:rFonts w:ascii="Times New Roman" w:hAnsi="Times New Roman" w:cs="Times New Roman"/>
                <w:szCs w:val="21"/>
              </w:rPr>
            </w:pPr>
          </w:p>
        </w:tc>
        <w:tc>
          <w:tcPr>
            <w:tcW w:w="1702" w:type="dxa"/>
            <w:tcBorders>
              <w:top w:val="single" w:color="000000" w:sz="4" w:space="0"/>
              <w:bottom w:val="single" w:color="000000" w:sz="4" w:space="0"/>
              <w:tl2br w:val="nil"/>
              <w:tr2bl w:val="nil"/>
            </w:tcBorders>
            <w:vAlign w:val="center"/>
          </w:tcPr>
          <w:p w14:paraId="4B2D923E">
            <w:pPr>
              <w:jc w:val="center"/>
              <w:rPr>
                <w:rFonts w:ascii="Times New Roman" w:hAnsi="Times New Roman" w:cs="Times New Roman"/>
                <w:szCs w:val="21"/>
              </w:rPr>
            </w:pPr>
          </w:p>
        </w:tc>
        <w:tc>
          <w:tcPr>
            <w:tcW w:w="1559" w:type="dxa"/>
            <w:tcBorders>
              <w:top w:val="single" w:color="000000" w:sz="4" w:space="0"/>
              <w:bottom w:val="single" w:color="000000" w:sz="4" w:space="0"/>
              <w:tl2br w:val="nil"/>
              <w:tr2bl w:val="nil"/>
            </w:tcBorders>
            <w:vAlign w:val="center"/>
          </w:tcPr>
          <w:p w14:paraId="2E502A8B">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0.00035t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op w:val="single" w:color="000000" w:sz="4" w:space="0"/>
              <w:bottom w:val="single" w:color="000000" w:sz="4" w:space="0"/>
              <w:tl2br w:val="nil"/>
              <w:tr2bl w:val="nil"/>
            </w:tcBorders>
            <w:vAlign w:val="center"/>
          </w:tcPr>
          <w:p w14:paraId="547CDE0D">
            <w:pPr>
              <w:jc w:val="center"/>
              <w:rPr>
                <w:rFonts w:ascii="Times New Roman" w:hAnsi="Times New Roman" w:cs="Times New Roman"/>
                <w:szCs w:val="21"/>
              </w:rPr>
            </w:pPr>
          </w:p>
        </w:tc>
        <w:tc>
          <w:tcPr>
            <w:tcW w:w="1959" w:type="dxa"/>
            <w:tcBorders>
              <w:top w:val="single" w:color="000000" w:sz="4" w:space="0"/>
              <w:bottom w:val="single" w:color="000000" w:sz="4" w:space="0"/>
              <w:tl2br w:val="nil"/>
              <w:tr2bl w:val="nil"/>
            </w:tcBorders>
            <w:vAlign w:val="center"/>
          </w:tcPr>
          <w:p w14:paraId="555F8478">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0.00035t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op w:val="single" w:color="000000" w:sz="4" w:space="0"/>
              <w:bottom w:val="single" w:color="000000" w:sz="4" w:space="0"/>
              <w:tl2br w:val="nil"/>
              <w:tr2bl w:val="nil"/>
            </w:tcBorders>
            <w:vAlign w:val="center"/>
          </w:tcPr>
          <w:p w14:paraId="4C69D113">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119723C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5379D8DF">
            <w:pPr>
              <w:jc w:val="center"/>
              <w:rPr>
                <w:rFonts w:ascii="Times New Roman" w:hAnsi="Times New Roman" w:cs="Times New Roman"/>
                <w:szCs w:val="21"/>
              </w:rPr>
            </w:pPr>
          </w:p>
        </w:tc>
        <w:tc>
          <w:tcPr>
            <w:tcW w:w="2136" w:type="dxa"/>
            <w:tcBorders>
              <w:top w:val="single" w:color="000000" w:sz="4" w:space="0"/>
              <w:bottom w:val="single" w:color="000000" w:sz="4" w:space="0"/>
              <w:tl2br w:val="nil"/>
              <w:tr2bl w:val="nil"/>
            </w:tcBorders>
            <w:vAlign w:val="center"/>
          </w:tcPr>
          <w:p w14:paraId="0481D774">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LAS</w:t>
            </w:r>
          </w:p>
        </w:tc>
        <w:tc>
          <w:tcPr>
            <w:tcW w:w="1702" w:type="dxa"/>
            <w:tcBorders>
              <w:top w:val="single" w:color="000000" w:sz="4" w:space="0"/>
              <w:bottom w:val="single" w:color="000000" w:sz="4" w:space="0"/>
              <w:tl2br w:val="nil"/>
              <w:tr2bl w:val="nil"/>
            </w:tcBorders>
            <w:vAlign w:val="center"/>
          </w:tcPr>
          <w:p w14:paraId="04333AF6">
            <w:pPr>
              <w:jc w:val="center"/>
              <w:rPr>
                <w:rFonts w:ascii="Times New Roman" w:hAnsi="Times New Roman" w:cs="Times New Roman"/>
                <w:szCs w:val="21"/>
              </w:rPr>
            </w:pPr>
          </w:p>
        </w:tc>
        <w:tc>
          <w:tcPr>
            <w:tcW w:w="1276" w:type="dxa"/>
            <w:tcBorders>
              <w:top w:val="single" w:color="000000" w:sz="4" w:space="0"/>
              <w:bottom w:val="single" w:color="000000" w:sz="4" w:space="0"/>
              <w:tl2br w:val="nil"/>
              <w:tr2bl w:val="nil"/>
            </w:tcBorders>
            <w:vAlign w:val="center"/>
          </w:tcPr>
          <w:p w14:paraId="3C699D39">
            <w:pPr>
              <w:jc w:val="center"/>
              <w:rPr>
                <w:rFonts w:ascii="Times New Roman" w:hAnsi="Times New Roman" w:cs="Times New Roman"/>
                <w:szCs w:val="21"/>
              </w:rPr>
            </w:pPr>
          </w:p>
        </w:tc>
        <w:tc>
          <w:tcPr>
            <w:tcW w:w="1702" w:type="dxa"/>
            <w:tcBorders>
              <w:top w:val="single" w:color="000000" w:sz="4" w:space="0"/>
              <w:bottom w:val="single" w:color="000000" w:sz="4" w:space="0"/>
              <w:tl2br w:val="nil"/>
              <w:tr2bl w:val="nil"/>
            </w:tcBorders>
            <w:vAlign w:val="center"/>
          </w:tcPr>
          <w:p w14:paraId="3AC173D7">
            <w:pPr>
              <w:jc w:val="center"/>
              <w:rPr>
                <w:rFonts w:ascii="Times New Roman" w:hAnsi="Times New Roman" w:cs="Times New Roman"/>
                <w:szCs w:val="21"/>
              </w:rPr>
            </w:pPr>
          </w:p>
        </w:tc>
        <w:tc>
          <w:tcPr>
            <w:tcW w:w="1559" w:type="dxa"/>
            <w:tcBorders>
              <w:top w:val="single" w:color="000000" w:sz="4" w:space="0"/>
              <w:bottom w:val="single" w:color="000000" w:sz="4" w:space="0"/>
              <w:tl2br w:val="nil"/>
              <w:tr2bl w:val="nil"/>
            </w:tcBorders>
            <w:vAlign w:val="center"/>
          </w:tcPr>
          <w:p w14:paraId="2A85DAAB">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0.001t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op w:val="single" w:color="000000" w:sz="4" w:space="0"/>
              <w:bottom w:val="single" w:color="000000" w:sz="4" w:space="0"/>
              <w:tl2br w:val="nil"/>
              <w:tr2bl w:val="nil"/>
            </w:tcBorders>
            <w:vAlign w:val="center"/>
          </w:tcPr>
          <w:p w14:paraId="6C22AA9C">
            <w:pPr>
              <w:jc w:val="center"/>
              <w:rPr>
                <w:rFonts w:ascii="Times New Roman" w:hAnsi="Times New Roman" w:cs="Times New Roman"/>
                <w:szCs w:val="21"/>
              </w:rPr>
            </w:pPr>
          </w:p>
        </w:tc>
        <w:tc>
          <w:tcPr>
            <w:tcW w:w="1959" w:type="dxa"/>
            <w:tcBorders>
              <w:top w:val="single" w:color="000000" w:sz="4" w:space="0"/>
              <w:bottom w:val="single" w:color="000000" w:sz="4" w:space="0"/>
              <w:tl2br w:val="nil"/>
              <w:tr2bl w:val="nil"/>
            </w:tcBorders>
            <w:vAlign w:val="center"/>
          </w:tcPr>
          <w:p w14:paraId="08F8105F">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0.001t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op w:val="single" w:color="000000" w:sz="4" w:space="0"/>
              <w:bottom w:val="single" w:color="000000" w:sz="4" w:space="0"/>
              <w:tl2br w:val="nil"/>
              <w:tr2bl w:val="nil"/>
            </w:tcBorders>
            <w:vAlign w:val="center"/>
          </w:tcPr>
          <w:p w14:paraId="2F98BCFE">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1E15E9D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6E4387E4">
            <w:pPr>
              <w:jc w:val="center"/>
              <w:rPr>
                <w:rFonts w:ascii="Times New Roman" w:hAnsi="Times New Roman" w:cs="Times New Roman"/>
                <w:szCs w:val="21"/>
              </w:rPr>
            </w:pPr>
          </w:p>
        </w:tc>
        <w:tc>
          <w:tcPr>
            <w:tcW w:w="2136" w:type="dxa"/>
            <w:tcBorders>
              <w:top w:val="single" w:color="000000" w:sz="4" w:space="0"/>
              <w:bottom w:val="single" w:color="000000" w:sz="4" w:space="0"/>
              <w:tl2br w:val="nil"/>
              <w:tr2bl w:val="nil"/>
            </w:tcBorders>
            <w:vAlign w:val="center"/>
          </w:tcPr>
          <w:p w14:paraId="2FC11B6F">
            <w:pPr>
              <w:adjustRightInd w:val="0"/>
              <w:spacing w:line="24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动植</w:t>
            </w:r>
          </w:p>
          <w:p w14:paraId="1E46307E">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物油</w:t>
            </w:r>
          </w:p>
        </w:tc>
        <w:tc>
          <w:tcPr>
            <w:tcW w:w="1702" w:type="dxa"/>
            <w:tcBorders>
              <w:top w:val="single" w:color="000000" w:sz="4" w:space="0"/>
              <w:bottom w:val="single" w:color="000000" w:sz="4" w:space="0"/>
              <w:tl2br w:val="nil"/>
              <w:tr2bl w:val="nil"/>
            </w:tcBorders>
            <w:vAlign w:val="center"/>
          </w:tcPr>
          <w:p w14:paraId="05BF09F9">
            <w:pPr>
              <w:jc w:val="center"/>
              <w:rPr>
                <w:rFonts w:ascii="Times New Roman" w:hAnsi="Times New Roman" w:cs="Times New Roman"/>
                <w:szCs w:val="21"/>
              </w:rPr>
            </w:pPr>
          </w:p>
        </w:tc>
        <w:tc>
          <w:tcPr>
            <w:tcW w:w="1276" w:type="dxa"/>
            <w:tcBorders>
              <w:top w:val="single" w:color="000000" w:sz="4" w:space="0"/>
              <w:bottom w:val="single" w:color="000000" w:sz="4" w:space="0"/>
              <w:tl2br w:val="nil"/>
              <w:tr2bl w:val="nil"/>
            </w:tcBorders>
            <w:vAlign w:val="center"/>
          </w:tcPr>
          <w:p w14:paraId="0CEE51C7">
            <w:pPr>
              <w:jc w:val="center"/>
              <w:rPr>
                <w:rFonts w:ascii="Times New Roman" w:hAnsi="Times New Roman" w:cs="Times New Roman"/>
                <w:szCs w:val="21"/>
              </w:rPr>
            </w:pPr>
          </w:p>
        </w:tc>
        <w:tc>
          <w:tcPr>
            <w:tcW w:w="1702" w:type="dxa"/>
            <w:tcBorders>
              <w:top w:val="single" w:color="000000" w:sz="4" w:space="0"/>
              <w:bottom w:val="single" w:color="000000" w:sz="4" w:space="0"/>
              <w:tl2br w:val="nil"/>
              <w:tr2bl w:val="nil"/>
            </w:tcBorders>
            <w:vAlign w:val="center"/>
          </w:tcPr>
          <w:p w14:paraId="2DC3FB3D">
            <w:pPr>
              <w:jc w:val="center"/>
              <w:rPr>
                <w:rFonts w:ascii="Times New Roman" w:hAnsi="Times New Roman" w:cs="Times New Roman"/>
                <w:szCs w:val="21"/>
              </w:rPr>
            </w:pPr>
          </w:p>
        </w:tc>
        <w:tc>
          <w:tcPr>
            <w:tcW w:w="1559" w:type="dxa"/>
            <w:tcBorders>
              <w:top w:val="single" w:color="000000" w:sz="4" w:space="0"/>
              <w:bottom w:val="single" w:color="000000" w:sz="4" w:space="0"/>
              <w:tl2br w:val="nil"/>
              <w:tr2bl w:val="nil"/>
            </w:tcBorders>
            <w:vAlign w:val="center"/>
          </w:tcPr>
          <w:p w14:paraId="528A12A0">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0.0034t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op w:val="single" w:color="000000" w:sz="4" w:space="0"/>
              <w:bottom w:val="single" w:color="000000" w:sz="4" w:space="0"/>
              <w:tl2br w:val="nil"/>
              <w:tr2bl w:val="nil"/>
            </w:tcBorders>
            <w:vAlign w:val="center"/>
          </w:tcPr>
          <w:p w14:paraId="15F95833">
            <w:pPr>
              <w:jc w:val="center"/>
              <w:rPr>
                <w:rFonts w:ascii="Times New Roman" w:hAnsi="Times New Roman" w:cs="Times New Roman"/>
                <w:szCs w:val="21"/>
              </w:rPr>
            </w:pPr>
          </w:p>
        </w:tc>
        <w:tc>
          <w:tcPr>
            <w:tcW w:w="1959" w:type="dxa"/>
            <w:tcBorders>
              <w:top w:val="single" w:color="000000" w:sz="4" w:space="0"/>
              <w:bottom w:val="single" w:color="000000" w:sz="4" w:space="0"/>
              <w:tl2br w:val="nil"/>
              <w:tr2bl w:val="nil"/>
            </w:tcBorders>
            <w:vAlign w:val="center"/>
          </w:tcPr>
          <w:p w14:paraId="19B9485D">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0.0034t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op w:val="single" w:color="000000" w:sz="4" w:space="0"/>
              <w:bottom w:val="single" w:color="000000" w:sz="4" w:space="0"/>
              <w:tl2br w:val="nil"/>
              <w:tr2bl w:val="nil"/>
            </w:tcBorders>
            <w:vAlign w:val="center"/>
          </w:tcPr>
          <w:p w14:paraId="7419D539">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7304530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49B79F03">
            <w:pPr>
              <w:jc w:val="center"/>
              <w:rPr>
                <w:rFonts w:ascii="Times New Roman" w:hAnsi="Times New Roman" w:cs="Times New Roman"/>
                <w:szCs w:val="21"/>
              </w:rPr>
            </w:pPr>
          </w:p>
        </w:tc>
        <w:tc>
          <w:tcPr>
            <w:tcW w:w="2136" w:type="dxa"/>
            <w:tcBorders>
              <w:top w:val="single" w:color="000000" w:sz="4" w:space="0"/>
              <w:tl2br w:val="nil"/>
              <w:tr2bl w:val="nil"/>
            </w:tcBorders>
            <w:vAlign w:val="center"/>
          </w:tcPr>
          <w:p w14:paraId="245C16C0">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BOD</w:t>
            </w:r>
            <w:r>
              <w:rPr>
                <w:rFonts w:hint="eastAsia" w:ascii="Times New Roman" w:hAnsi="Times New Roman" w:eastAsia="宋体" w:cs="Times New Roman"/>
                <w:szCs w:val="21"/>
                <w:vertAlign w:val="subscript"/>
              </w:rPr>
              <w:t>5</w:t>
            </w:r>
          </w:p>
        </w:tc>
        <w:tc>
          <w:tcPr>
            <w:tcW w:w="1702" w:type="dxa"/>
            <w:tcBorders>
              <w:top w:val="single" w:color="000000" w:sz="4" w:space="0"/>
              <w:tl2br w:val="nil"/>
              <w:tr2bl w:val="nil"/>
            </w:tcBorders>
            <w:vAlign w:val="center"/>
          </w:tcPr>
          <w:p w14:paraId="7BE1835C">
            <w:pPr>
              <w:jc w:val="center"/>
              <w:rPr>
                <w:rFonts w:ascii="Times New Roman" w:hAnsi="Times New Roman" w:cs="Times New Roman"/>
                <w:szCs w:val="21"/>
              </w:rPr>
            </w:pPr>
          </w:p>
        </w:tc>
        <w:tc>
          <w:tcPr>
            <w:tcW w:w="1276" w:type="dxa"/>
            <w:tcBorders>
              <w:top w:val="single" w:color="000000" w:sz="4" w:space="0"/>
              <w:tl2br w:val="nil"/>
              <w:tr2bl w:val="nil"/>
            </w:tcBorders>
            <w:vAlign w:val="center"/>
          </w:tcPr>
          <w:p w14:paraId="157968CB">
            <w:pPr>
              <w:jc w:val="center"/>
              <w:rPr>
                <w:rFonts w:ascii="Times New Roman" w:hAnsi="Times New Roman" w:cs="Times New Roman"/>
                <w:szCs w:val="21"/>
              </w:rPr>
            </w:pPr>
          </w:p>
        </w:tc>
        <w:tc>
          <w:tcPr>
            <w:tcW w:w="1702" w:type="dxa"/>
            <w:tcBorders>
              <w:top w:val="single" w:color="000000" w:sz="4" w:space="0"/>
              <w:tl2br w:val="nil"/>
              <w:tr2bl w:val="nil"/>
            </w:tcBorders>
            <w:vAlign w:val="center"/>
          </w:tcPr>
          <w:p w14:paraId="6DB5FDB3">
            <w:pPr>
              <w:jc w:val="center"/>
              <w:rPr>
                <w:rFonts w:ascii="Times New Roman" w:hAnsi="Times New Roman" w:cs="Times New Roman"/>
                <w:szCs w:val="21"/>
              </w:rPr>
            </w:pPr>
          </w:p>
        </w:tc>
        <w:tc>
          <w:tcPr>
            <w:tcW w:w="1559" w:type="dxa"/>
            <w:tcBorders>
              <w:top w:val="single" w:color="000000" w:sz="4" w:space="0"/>
              <w:tl2br w:val="nil"/>
              <w:tr2bl w:val="nil"/>
            </w:tcBorders>
            <w:vAlign w:val="center"/>
          </w:tcPr>
          <w:p w14:paraId="79D2A094">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0.0120t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op w:val="single" w:color="000000" w:sz="4" w:space="0"/>
              <w:tl2br w:val="nil"/>
              <w:tr2bl w:val="nil"/>
            </w:tcBorders>
            <w:vAlign w:val="center"/>
          </w:tcPr>
          <w:p w14:paraId="206744FB">
            <w:pPr>
              <w:jc w:val="center"/>
              <w:rPr>
                <w:rFonts w:ascii="Times New Roman" w:hAnsi="Times New Roman" w:cs="Times New Roman"/>
                <w:szCs w:val="21"/>
              </w:rPr>
            </w:pPr>
          </w:p>
        </w:tc>
        <w:tc>
          <w:tcPr>
            <w:tcW w:w="1959" w:type="dxa"/>
            <w:tcBorders>
              <w:top w:val="single" w:color="000000" w:sz="4" w:space="0"/>
              <w:tl2br w:val="nil"/>
              <w:tr2bl w:val="nil"/>
            </w:tcBorders>
            <w:vAlign w:val="center"/>
          </w:tcPr>
          <w:p w14:paraId="34CE045C">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0.0120t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op w:val="single" w:color="000000" w:sz="4" w:space="0"/>
              <w:tl2br w:val="nil"/>
              <w:tr2bl w:val="nil"/>
            </w:tcBorders>
            <w:vAlign w:val="center"/>
          </w:tcPr>
          <w:p w14:paraId="5E8A1995">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052A7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restart"/>
            <w:tcBorders>
              <w:tl2br w:val="nil"/>
              <w:tr2bl w:val="nil"/>
            </w:tcBorders>
            <w:vAlign w:val="center"/>
          </w:tcPr>
          <w:p w14:paraId="07F11A18">
            <w:pPr>
              <w:jc w:val="center"/>
              <w:rPr>
                <w:rFonts w:ascii="Times New Roman" w:hAnsi="Times New Roman" w:cs="Times New Roman"/>
                <w:szCs w:val="21"/>
              </w:rPr>
            </w:pPr>
            <w:r>
              <w:rPr>
                <w:rFonts w:ascii="Times New Roman" w:hAnsi="Times New Roman" w:cs="Times New Roman"/>
                <w:szCs w:val="21"/>
              </w:rPr>
              <w:t>一般工业固体废物</w:t>
            </w:r>
          </w:p>
          <w:p w14:paraId="4782BE32">
            <w:pPr>
              <w:jc w:val="center"/>
              <w:rPr>
                <w:rFonts w:ascii="Times New Roman" w:hAnsi="Times New Roman" w:cs="Times New Roman"/>
                <w:szCs w:val="21"/>
              </w:rPr>
            </w:pPr>
          </w:p>
        </w:tc>
        <w:tc>
          <w:tcPr>
            <w:tcW w:w="2136" w:type="dxa"/>
            <w:tcBorders>
              <w:bottom w:val="single" w:color="auto" w:sz="4" w:space="0"/>
              <w:tl2br w:val="nil"/>
              <w:tr2bl w:val="nil"/>
            </w:tcBorders>
            <w:vAlign w:val="center"/>
          </w:tcPr>
          <w:p w14:paraId="7DC755D5">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除尘灰</w:t>
            </w:r>
          </w:p>
        </w:tc>
        <w:tc>
          <w:tcPr>
            <w:tcW w:w="1702" w:type="dxa"/>
            <w:tcBorders>
              <w:bottom w:val="single" w:color="auto" w:sz="4" w:space="0"/>
              <w:tl2br w:val="nil"/>
              <w:tr2bl w:val="nil"/>
            </w:tcBorders>
            <w:vAlign w:val="center"/>
          </w:tcPr>
          <w:p w14:paraId="6334CC21">
            <w:pPr>
              <w:jc w:val="center"/>
              <w:rPr>
                <w:rFonts w:ascii="Times New Roman" w:hAnsi="Times New Roman" w:cs="Times New Roman"/>
                <w:szCs w:val="21"/>
              </w:rPr>
            </w:pPr>
          </w:p>
        </w:tc>
        <w:tc>
          <w:tcPr>
            <w:tcW w:w="1276" w:type="dxa"/>
            <w:tcBorders>
              <w:bottom w:val="single" w:color="auto" w:sz="4" w:space="0"/>
              <w:tl2br w:val="nil"/>
              <w:tr2bl w:val="nil"/>
            </w:tcBorders>
            <w:vAlign w:val="center"/>
          </w:tcPr>
          <w:p w14:paraId="7B8802A6">
            <w:pPr>
              <w:jc w:val="center"/>
              <w:rPr>
                <w:rFonts w:ascii="Times New Roman" w:hAnsi="Times New Roman" w:cs="Times New Roman"/>
                <w:szCs w:val="21"/>
              </w:rPr>
            </w:pPr>
          </w:p>
        </w:tc>
        <w:tc>
          <w:tcPr>
            <w:tcW w:w="1702" w:type="dxa"/>
            <w:tcBorders>
              <w:bottom w:val="single" w:color="auto" w:sz="4" w:space="0"/>
              <w:tl2br w:val="nil"/>
              <w:tr2bl w:val="nil"/>
            </w:tcBorders>
            <w:vAlign w:val="center"/>
          </w:tcPr>
          <w:p w14:paraId="2BDA9364">
            <w:pPr>
              <w:jc w:val="center"/>
              <w:rPr>
                <w:rFonts w:ascii="Times New Roman" w:hAnsi="Times New Roman" w:cs="Times New Roman"/>
                <w:szCs w:val="21"/>
              </w:rPr>
            </w:pPr>
          </w:p>
        </w:tc>
        <w:tc>
          <w:tcPr>
            <w:tcW w:w="1559" w:type="dxa"/>
            <w:tcBorders>
              <w:bottom w:val="single" w:color="auto" w:sz="4" w:space="0"/>
              <w:tl2br w:val="nil"/>
              <w:tr2bl w:val="nil"/>
            </w:tcBorders>
            <w:vAlign w:val="center"/>
          </w:tcPr>
          <w:p w14:paraId="7B552B2E">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40.689t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bottom w:val="single" w:color="auto" w:sz="4" w:space="0"/>
              <w:tl2br w:val="nil"/>
              <w:tr2bl w:val="nil"/>
            </w:tcBorders>
            <w:vAlign w:val="center"/>
          </w:tcPr>
          <w:p w14:paraId="0D668B56">
            <w:pPr>
              <w:jc w:val="center"/>
              <w:rPr>
                <w:rFonts w:ascii="Times New Roman" w:hAnsi="Times New Roman" w:cs="Times New Roman"/>
                <w:szCs w:val="21"/>
              </w:rPr>
            </w:pPr>
          </w:p>
        </w:tc>
        <w:tc>
          <w:tcPr>
            <w:tcW w:w="1959" w:type="dxa"/>
            <w:tcBorders>
              <w:bottom w:val="single" w:color="auto" w:sz="4" w:space="0"/>
              <w:tl2br w:val="nil"/>
              <w:tr2bl w:val="nil"/>
            </w:tcBorders>
            <w:vAlign w:val="center"/>
          </w:tcPr>
          <w:p w14:paraId="31FC0D07">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40.689t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bottom w:val="single" w:color="auto" w:sz="4" w:space="0"/>
              <w:tl2br w:val="nil"/>
              <w:tr2bl w:val="nil"/>
            </w:tcBorders>
            <w:vAlign w:val="center"/>
          </w:tcPr>
          <w:p w14:paraId="2D8C9485">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3C3B24A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492510AC">
            <w:pPr>
              <w:jc w:val="center"/>
              <w:rPr>
                <w:rFonts w:ascii="Times New Roman" w:hAnsi="Times New Roman" w:cs="Times New Roman"/>
                <w:szCs w:val="21"/>
              </w:rPr>
            </w:pPr>
          </w:p>
        </w:tc>
        <w:tc>
          <w:tcPr>
            <w:tcW w:w="2136" w:type="dxa"/>
            <w:tcBorders>
              <w:top w:val="single" w:color="auto" w:sz="4" w:space="0"/>
              <w:tl2br w:val="nil"/>
              <w:tr2bl w:val="nil"/>
            </w:tcBorders>
            <w:vAlign w:val="center"/>
          </w:tcPr>
          <w:p w14:paraId="2DFD7B1D">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不合格石料</w:t>
            </w:r>
          </w:p>
        </w:tc>
        <w:tc>
          <w:tcPr>
            <w:tcW w:w="1702" w:type="dxa"/>
            <w:tcBorders>
              <w:top w:val="single" w:color="auto" w:sz="4" w:space="0"/>
              <w:tl2br w:val="nil"/>
              <w:tr2bl w:val="nil"/>
            </w:tcBorders>
            <w:vAlign w:val="center"/>
          </w:tcPr>
          <w:p w14:paraId="7068DF33">
            <w:pPr>
              <w:jc w:val="center"/>
              <w:rPr>
                <w:rFonts w:ascii="Times New Roman" w:hAnsi="Times New Roman" w:cs="Times New Roman"/>
                <w:szCs w:val="21"/>
              </w:rPr>
            </w:pPr>
          </w:p>
        </w:tc>
        <w:tc>
          <w:tcPr>
            <w:tcW w:w="1276" w:type="dxa"/>
            <w:tcBorders>
              <w:top w:val="single" w:color="auto" w:sz="4" w:space="0"/>
              <w:tl2br w:val="nil"/>
              <w:tr2bl w:val="nil"/>
            </w:tcBorders>
            <w:vAlign w:val="center"/>
          </w:tcPr>
          <w:p w14:paraId="0247954D">
            <w:pPr>
              <w:jc w:val="center"/>
              <w:rPr>
                <w:rFonts w:ascii="Times New Roman" w:hAnsi="Times New Roman" w:cs="Times New Roman"/>
                <w:szCs w:val="21"/>
              </w:rPr>
            </w:pPr>
          </w:p>
        </w:tc>
        <w:tc>
          <w:tcPr>
            <w:tcW w:w="1702" w:type="dxa"/>
            <w:tcBorders>
              <w:top w:val="single" w:color="auto" w:sz="4" w:space="0"/>
              <w:tl2br w:val="nil"/>
              <w:tr2bl w:val="nil"/>
            </w:tcBorders>
            <w:vAlign w:val="center"/>
          </w:tcPr>
          <w:p w14:paraId="0F37627F">
            <w:pPr>
              <w:jc w:val="center"/>
              <w:rPr>
                <w:rFonts w:ascii="Times New Roman" w:hAnsi="Times New Roman" w:cs="Times New Roman"/>
                <w:szCs w:val="21"/>
              </w:rPr>
            </w:pPr>
          </w:p>
        </w:tc>
        <w:tc>
          <w:tcPr>
            <w:tcW w:w="1559" w:type="dxa"/>
            <w:tcBorders>
              <w:top w:val="single" w:color="auto" w:sz="4" w:space="0"/>
              <w:tl2br w:val="nil"/>
              <w:tr2bl w:val="nil"/>
            </w:tcBorders>
            <w:vAlign w:val="center"/>
          </w:tcPr>
          <w:p w14:paraId="5ACA6C77">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szCs w:val="21"/>
              </w:rPr>
              <w:t>24716.981</w:t>
            </w:r>
            <w:r>
              <w:rPr>
                <w:rFonts w:hint="eastAsia" w:ascii="Times New Roman" w:hAnsi="Times New Roman" w:eastAsia="宋体" w:cs="Times New Roman"/>
                <w:szCs w:val="21"/>
              </w:rPr>
              <w:t>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op w:val="single" w:color="auto" w:sz="4" w:space="0"/>
              <w:tl2br w:val="nil"/>
              <w:tr2bl w:val="nil"/>
            </w:tcBorders>
            <w:vAlign w:val="center"/>
          </w:tcPr>
          <w:p w14:paraId="22B00945">
            <w:pPr>
              <w:jc w:val="center"/>
              <w:rPr>
                <w:rFonts w:ascii="Times New Roman" w:hAnsi="Times New Roman" w:cs="Times New Roman"/>
                <w:szCs w:val="21"/>
              </w:rPr>
            </w:pPr>
          </w:p>
        </w:tc>
        <w:tc>
          <w:tcPr>
            <w:tcW w:w="1959" w:type="dxa"/>
            <w:tcBorders>
              <w:top w:val="single" w:color="auto" w:sz="4" w:space="0"/>
              <w:tl2br w:val="nil"/>
              <w:tr2bl w:val="nil"/>
            </w:tcBorders>
            <w:vAlign w:val="center"/>
          </w:tcPr>
          <w:p w14:paraId="56604F17">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szCs w:val="21"/>
              </w:rPr>
              <w:t>24716.981</w:t>
            </w:r>
            <w:r>
              <w:rPr>
                <w:rFonts w:hint="eastAsia" w:ascii="Times New Roman" w:hAnsi="Times New Roman" w:eastAsia="宋体" w:cs="Times New Roman"/>
                <w:szCs w:val="21"/>
              </w:rPr>
              <w:t>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op w:val="single" w:color="auto" w:sz="4" w:space="0"/>
              <w:tl2br w:val="nil"/>
              <w:tr2bl w:val="nil"/>
            </w:tcBorders>
            <w:vAlign w:val="center"/>
          </w:tcPr>
          <w:p w14:paraId="47C719F2">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038DABF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43FA8019">
            <w:pPr>
              <w:jc w:val="center"/>
              <w:rPr>
                <w:rFonts w:ascii="Times New Roman" w:hAnsi="Times New Roman" w:cs="Times New Roman"/>
                <w:szCs w:val="21"/>
              </w:rPr>
            </w:pPr>
          </w:p>
        </w:tc>
        <w:tc>
          <w:tcPr>
            <w:tcW w:w="2136" w:type="dxa"/>
            <w:tcBorders>
              <w:tl2br w:val="nil"/>
              <w:tr2bl w:val="nil"/>
            </w:tcBorders>
            <w:vAlign w:val="center"/>
          </w:tcPr>
          <w:p w14:paraId="7C111FF6">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szCs w:val="21"/>
              </w:rPr>
              <w:t>车辆冲洗废水沉淀池沉渣</w:t>
            </w:r>
          </w:p>
        </w:tc>
        <w:tc>
          <w:tcPr>
            <w:tcW w:w="1702" w:type="dxa"/>
            <w:tcBorders>
              <w:tl2br w:val="nil"/>
              <w:tr2bl w:val="nil"/>
            </w:tcBorders>
            <w:vAlign w:val="center"/>
          </w:tcPr>
          <w:p w14:paraId="38041B40">
            <w:pPr>
              <w:jc w:val="center"/>
              <w:rPr>
                <w:rFonts w:ascii="Times New Roman" w:hAnsi="Times New Roman" w:cs="Times New Roman"/>
                <w:szCs w:val="21"/>
              </w:rPr>
            </w:pPr>
          </w:p>
        </w:tc>
        <w:tc>
          <w:tcPr>
            <w:tcW w:w="1276" w:type="dxa"/>
            <w:tcBorders>
              <w:tl2br w:val="nil"/>
              <w:tr2bl w:val="nil"/>
            </w:tcBorders>
            <w:vAlign w:val="center"/>
          </w:tcPr>
          <w:p w14:paraId="10963BE5">
            <w:pPr>
              <w:jc w:val="center"/>
              <w:rPr>
                <w:rFonts w:ascii="Times New Roman" w:hAnsi="Times New Roman" w:cs="Times New Roman"/>
                <w:szCs w:val="21"/>
              </w:rPr>
            </w:pPr>
          </w:p>
        </w:tc>
        <w:tc>
          <w:tcPr>
            <w:tcW w:w="1702" w:type="dxa"/>
            <w:tcBorders>
              <w:tl2br w:val="nil"/>
              <w:tr2bl w:val="nil"/>
            </w:tcBorders>
            <w:vAlign w:val="center"/>
          </w:tcPr>
          <w:p w14:paraId="6E848B44">
            <w:pPr>
              <w:jc w:val="center"/>
              <w:rPr>
                <w:rFonts w:ascii="Times New Roman" w:hAnsi="Times New Roman" w:cs="Times New Roman"/>
                <w:szCs w:val="21"/>
              </w:rPr>
            </w:pPr>
          </w:p>
        </w:tc>
        <w:tc>
          <w:tcPr>
            <w:tcW w:w="1559" w:type="dxa"/>
            <w:tcBorders>
              <w:tl2br w:val="nil"/>
              <w:tr2bl w:val="nil"/>
            </w:tcBorders>
            <w:vAlign w:val="center"/>
          </w:tcPr>
          <w:p w14:paraId="6DDFB00E">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szCs w:val="21"/>
              </w:rPr>
              <w:t>0.08</w:t>
            </w:r>
            <w:r>
              <w:rPr>
                <w:rFonts w:hint="eastAsia" w:ascii="Times New Roman" w:hAnsi="Times New Roman" w:eastAsia="宋体" w:cs="Times New Roman"/>
                <w:szCs w:val="21"/>
              </w:rPr>
              <w:t>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3971E8C5">
            <w:pPr>
              <w:jc w:val="center"/>
              <w:rPr>
                <w:rFonts w:ascii="Times New Roman" w:hAnsi="Times New Roman" w:cs="Times New Roman"/>
                <w:szCs w:val="21"/>
              </w:rPr>
            </w:pPr>
          </w:p>
        </w:tc>
        <w:tc>
          <w:tcPr>
            <w:tcW w:w="1959" w:type="dxa"/>
            <w:tcBorders>
              <w:tl2br w:val="nil"/>
              <w:tr2bl w:val="nil"/>
            </w:tcBorders>
            <w:vAlign w:val="center"/>
          </w:tcPr>
          <w:p w14:paraId="61FBA5C1">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szCs w:val="21"/>
              </w:rPr>
              <w:t>0.08</w:t>
            </w:r>
            <w:r>
              <w:rPr>
                <w:rFonts w:hint="eastAsia" w:ascii="Times New Roman" w:hAnsi="Times New Roman" w:eastAsia="宋体" w:cs="Times New Roman"/>
                <w:szCs w:val="21"/>
              </w:rPr>
              <w:t>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0E12D54D">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6A338A6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6D09DC2B">
            <w:pPr>
              <w:jc w:val="center"/>
              <w:rPr>
                <w:rFonts w:ascii="Times New Roman" w:hAnsi="Times New Roman" w:cs="Times New Roman"/>
                <w:szCs w:val="21"/>
              </w:rPr>
            </w:pPr>
          </w:p>
        </w:tc>
        <w:tc>
          <w:tcPr>
            <w:tcW w:w="2136" w:type="dxa"/>
            <w:tcBorders>
              <w:tl2br w:val="nil"/>
              <w:tr2bl w:val="nil"/>
            </w:tcBorders>
            <w:vAlign w:val="center"/>
          </w:tcPr>
          <w:p w14:paraId="2E50507D">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szCs w:val="21"/>
              </w:rPr>
              <w:t>废布袋、废滤芯</w:t>
            </w:r>
          </w:p>
        </w:tc>
        <w:tc>
          <w:tcPr>
            <w:tcW w:w="1702" w:type="dxa"/>
            <w:tcBorders>
              <w:tl2br w:val="nil"/>
              <w:tr2bl w:val="nil"/>
            </w:tcBorders>
            <w:vAlign w:val="center"/>
          </w:tcPr>
          <w:p w14:paraId="5A2C906B">
            <w:pPr>
              <w:jc w:val="center"/>
              <w:rPr>
                <w:rFonts w:ascii="Times New Roman" w:hAnsi="Times New Roman" w:cs="Times New Roman"/>
                <w:szCs w:val="21"/>
              </w:rPr>
            </w:pPr>
          </w:p>
        </w:tc>
        <w:tc>
          <w:tcPr>
            <w:tcW w:w="1276" w:type="dxa"/>
            <w:tcBorders>
              <w:tl2br w:val="nil"/>
              <w:tr2bl w:val="nil"/>
            </w:tcBorders>
            <w:vAlign w:val="center"/>
          </w:tcPr>
          <w:p w14:paraId="7AAD3DDF">
            <w:pPr>
              <w:jc w:val="center"/>
              <w:rPr>
                <w:rFonts w:ascii="Times New Roman" w:hAnsi="Times New Roman" w:cs="Times New Roman"/>
                <w:szCs w:val="21"/>
              </w:rPr>
            </w:pPr>
          </w:p>
        </w:tc>
        <w:tc>
          <w:tcPr>
            <w:tcW w:w="1702" w:type="dxa"/>
            <w:tcBorders>
              <w:tl2br w:val="nil"/>
              <w:tr2bl w:val="nil"/>
            </w:tcBorders>
            <w:vAlign w:val="center"/>
          </w:tcPr>
          <w:p w14:paraId="632B8E85">
            <w:pPr>
              <w:jc w:val="center"/>
              <w:rPr>
                <w:rFonts w:ascii="Times New Roman" w:hAnsi="Times New Roman" w:cs="Times New Roman"/>
                <w:szCs w:val="21"/>
              </w:rPr>
            </w:pPr>
          </w:p>
        </w:tc>
        <w:tc>
          <w:tcPr>
            <w:tcW w:w="1559" w:type="dxa"/>
            <w:tcBorders>
              <w:tl2br w:val="nil"/>
              <w:tr2bl w:val="nil"/>
            </w:tcBorders>
            <w:vAlign w:val="center"/>
          </w:tcPr>
          <w:p w14:paraId="19075D8F">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0.8t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4A9CF73D">
            <w:pPr>
              <w:jc w:val="center"/>
              <w:rPr>
                <w:rFonts w:ascii="Times New Roman" w:hAnsi="Times New Roman" w:cs="Times New Roman"/>
                <w:szCs w:val="21"/>
              </w:rPr>
            </w:pPr>
          </w:p>
        </w:tc>
        <w:tc>
          <w:tcPr>
            <w:tcW w:w="1959" w:type="dxa"/>
            <w:tcBorders>
              <w:tl2br w:val="nil"/>
              <w:tr2bl w:val="nil"/>
            </w:tcBorders>
            <w:vAlign w:val="center"/>
          </w:tcPr>
          <w:p w14:paraId="02C5B329">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0.8t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7576D0C2">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4C25BE2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bottom w:val="single" w:color="000000" w:sz="4" w:space="0"/>
              <w:tl2br w:val="nil"/>
              <w:tr2bl w:val="nil"/>
            </w:tcBorders>
            <w:vAlign w:val="center"/>
          </w:tcPr>
          <w:p w14:paraId="56517FC9">
            <w:pPr>
              <w:jc w:val="center"/>
              <w:rPr>
                <w:rFonts w:ascii="Times New Roman" w:hAnsi="Times New Roman" w:cs="Times New Roman"/>
                <w:szCs w:val="21"/>
              </w:rPr>
            </w:pPr>
          </w:p>
        </w:tc>
        <w:tc>
          <w:tcPr>
            <w:tcW w:w="2136" w:type="dxa"/>
            <w:tcBorders>
              <w:bottom w:val="single" w:color="000000" w:sz="4" w:space="0"/>
              <w:tl2br w:val="nil"/>
              <w:tr2bl w:val="nil"/>
            </w:tcBorders>
            <w:vAlign w:val="center"/>
          </w:tcPr>
          <w:p w14:paraId="0FA03137">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szCs w:val="21"/>
              </w:rPr>
              <w:t>滴漏沥青及拌合残渣</w:t>
            </w:r>
          </w:p>
        </w:tc>
        <w:tc>
          <w:tcPr>
            <w:tcW w:w="1702" w:type="dxa"/>
            <w:tcBorders>
              <w:tl2br w:val="nil"/>
              <w:tr2bl w:val="nil"/>
            </w:tcBorders>
            <w:vAlign w:val="center"/>
          </w:tcPr>
          <w:p w14:paraId="0F8CD3BD">
            <w:pPr>
              <w:jc w:val="center"/>
              <w:rPr>
                <w:rFonts w:ascii="Times New Roman" w:hAnsi="Times New Roman" w:cs="Times New Roman"/>
                <w:szCs w:val="21"/>
              </w:rPr>
            </w:pPr>
          </w:p>
        </w:tc>
        <w:tc>
          <w:tcPr>
            <w:tcW w:w="1276" w:type="dxa"/>
            <w:tcBorders>
              <w:tl2br w:val="nil"/>
              <w:tr2bl w:val="nil"/>
            </w:tcBorders>
            <w:vAlign w:val="center"/>
          </w:tcPr>
          <w:p w14:paraId="28A3BB73">
            <w:pPr>
              <w:jc w:val="center"/>
              <w:rPr>
                <w:rFonts w:ascii="Times New Roman" w:hAnsi="Times New Roman" w:cs="Times New Roman"/>
                <w:szCs w:val="21"/>
              </w:rPr>
            </w:pPr>
          </w:p>
        </w:tc>
        <w:tc>
          <w:tcPr>
            <w:tcW w:w="1702" w:type="dxa"/>
            <w:tcBorders>
              <w:tl2br w:val="nil"/>
              <w:tr2bl w:val="nil"/>
            </w:tcBorders>
            <w:vAlign w:val="center"/>
          </w:tcPr>
          <w:p w14:paraId="2C5AF0B0">
            <w:pPr>
              <w:jc w:val="center"/>
              <w:rPr>
                <w:rFonts w:ascii="Times New Roman" w:hAnsi="Times New Roman" w:cs="Times New Roman"/>
                <w:szCs w:val="21"/>
              </w:rPr>
            </w:pPr>
          </w:p>
        </w:tc>
        <w:tc>
          <w:tcPr>
            <w:tcW w:w="1559" w:type="dxa"/>
            <w:tcBorders>
              <w:tl2br w:val="nil"/>
              <w:tr2bl w:val="nil"/>
            </w:tcBorders>
            <w:vAlign w:val="center"/>
          </w:tcPr>
          <w:p w14:paraId="37D05579">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1.5t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4E6BCC03">
            <w:pPr>
              <w:jc w:val="center"/>
              <w:rPr>
                <w:rFonts w:ascii="Times New Roman" w:hAnsi="Times New Roman" w:cs="Times New Roman"/>
                <w:szCs w:val="21"/>
              </w:rPr>
            </w:pPr>
          </w:p>
        </w:tc>
        <w:tc>
          <w:tcPr>
            <w:tcW w:w="1959" w:type="dxa"/>
            <w:tcBorders>
              <w:tl2br w:val="nil"/>
              <w:tr2bl w:val="nil"/>
            </w:tcBorders>
            <w:vAlign w:val="center"/>
          </w:tcPr>
          <w:p w14:paraId="187E6CC1">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1.5t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451EDD8A">
            <w:pPr>
              <w:widowControl/>
              <w:adjustRightInd w:val="0"/>
              <w:snapToGrid w:val="0"/>
              <w:spacing w:before="31" w:beforeLines="10"/>
              <w:jc w:val="center"/>
              <w:rPr>
                <w:rFonts w:ascii="Times New Roman" w:hAnsi="Times New Roman" w:cs="Times New Roman" w:eastAsiaTheme="majorEastAsia"/>
                <w:snapToGrid w:val="0"/>
                <w:color w:val="FF0000"/>
                <w:kern w:val="21"/>
                <w:szCs w:val="21"/>
              </w:rPr>
            </w:pPr>
          </w:p>
        </w:tc>
      </w:tr>
      <w:tr w14:paraId="30AFBA9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restart"/>
            <w:tcBorders>
              <w:top w:val="single" w:color="000000" w:sz="4" w:space="0"/>
              <w:tl2br w:val="nil"/>
              <w:tr2bl w:val="nil"/>
            </w:tcBorders>
            <w:vAlign w:val="center"/>
          </w:tcPr>
          <w:p w14:paraId="5EFD3297">
            <w:pPr>
              <w:jc w:val="center"/>
              <w:rPr>
                <w:rFonts w:ascii="Times New Roman" w:hAnsi="Times New Roman" w:cs="Times New Roman"/>
                <w:szCs w:val="21"/>
              </w:rPr>
            </w:pPr>
            <w:r>
              <w:rPr>
                <w:rFonts w:hint="eastAsia" w:ascii="Times New Roman" w:hAnsi="Times New Roman" w:cs="Times New Roman"/>
                <w:szCs w:val="21"/>
              </w:rPr>
              <w:t>生活</w:t>
            </w:r>
          </w:p>
          <w:p w14:paraId="328AA2D3">
            <w:pPr>
              <w:jc w:val="center"/>
              <w:rPr>
                <w:rFonts w:ascii="Times New Roman" w:hAnsi="Times New Roman" w:cs="Times New Roman"/>
                <w:szCs w:val="21"/>
              </w:rPr>
            </w:pPr>
            <w:r>
              <w:rPr>
                <w:rFonts w:hint="eastAsia" w:ascii="Times New Roman" w:hAnsi="Times New Roman" w:cs="Times New Roman"/>
                <w:szCs w:val="21"/>
              </w:rPr>
              <w:t>垃圾</w:t>
            </w:r>
          </w:p>
        </w:tc>
        <w:tc>
          <w:tcPr>
            <w:tcW w:w="2136" w:type="dxa"/>
            <w:tcBorders>
              <w:top w:val="single" w:color="000000" w:sz="4" w:space="0"/>
              <w:tl2br w:val="nil"/>
              <w:tr2bl w:val="nil"/>
            </w:tcBorders>
            <w:vAlign w:val="center"/>
          </w:tcPr>
          <w:p w14:paraId="0B953593">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szCs w:val="21"/>
              </w:rPr>
              <w:t>职工生活垃圾</w:t>
            </w:r>
          </w:p>
        </w:tc>
        <w:tc>
          <w:tcPr>
            <w:tcW w:w="1702" w:type="dxa"/>
            <w:tcBorders>
              <w:tl2br w:val="nil"/>
              <w:tr2bl w:val="nil"/>
            </w:tcBorders>
            <w:vAlign w:val="center"/>
          </w:tcPr>
          <w:p w14:paraId="7634EF5D">
            <w:pPr>
              <w:jc w:val="center"/>
              <w:rPr>
                <w:rFonts w:ascii="Times New Roman" w:hAnsi="Times New Roman" w:cs="Times New Roman"/>
                <w:szCs w:val="21"/>
              </w:rPr>
            </w:pPr>
          </w:p>
        </w:tc>
        <w:tc>
          <w:tcPr>
            <w:tcW w:w="1276" w:type="dxa"/>
            <w:tcBorders>
              <w:tl2br w:val="nil"/>
              <w:tr2bl w:val="nil"/>
            </w:tcBorders>
            <w:vAlign w:val="center"/>
          </w:tcPr>
          <w:p w14:paraId="67CFAE01">
            <w:pPr>
              <w:jc w:val="center"/>
              <w:rPr>
                <w:rFonts w:ascii="Times New Roman" w:hAnsi="Times New Roman" w:cs="Times New Roman"/>
                <w:szCs w:val="21"/>
              </w:rPr>
            </w:pPr>
          </w:p>
        </w:tc>
        <w:tc>
          <w:tcPr>
            <w:tcW w:w="1702" w:type="dxa"/>
            <w:tcBorders>
              <w:tl2br w:val="nil"/>
              <w:tr2bl w:val="nil"/>
            </w:tcBorders>
            <w:vAlign w:val="center"/>
          </w:tcPr>
          <w:p w14:paraId="255359DF">
            <w:pPr>
              <w:jc w:val="center"/>
              <w:rPr>
                <w:rFonts w:ascii="Times New Roman" w:hAnsi="Times New Roman" w:cs="Times New Roman"/>
                <w:szCs w:val="21"/>
              </w:rPr>
            </w:pPr>
          </w:p>
        </w:tc>
        <w:tc>
          <w:tcPr>
            <w:tcW w:w="1559" w:type="dxa"/>
            <w:tcBorders>
              <w:tl2br w:val="nil"/>
              <w:tr2bl w:val="nil"/>
            </w:tcBorders>
            <w:vAlign w:val="center"/>
          </w:tcPr>
          <w:p w14:paraId="09AB7D02">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0.45t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12E763A9">
            <w:pPr>
              <w:jc w:val="center"/>
              <w:rPr>
                <w:rFonts w:ascii="Times New Roman" w:hAnsi="Times New Roman" w:cs="Times New Roman"/>
                <w:szCs w:val="21"/>
              </w:rPr>
            </w:pPr>
          </w:p>
        </w:tc>
        <w:tc>
          <w:tcPr>
            <w:tcW w:w="1959" w:type="dxa"/>
            <w:tcBorders>
              <w:tl2br w:val="nil"/>
              <w:tr2bl w:val="nil"/>
            </w:tcBorders>
            <w:vAlign w:val="center"/>
          </w:tcPr>
          <w:p w14:paraId="51E70B22">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0.45t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27A2EECB">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2F81825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6096DCD8">
            <w:pPr>
              <w:jc w:val="center"/>
              <w:rPr>
                <w:rFonts w:ascii="Times New Roman" w:hAnsi="Times New Roman" w:cs="Times New Roman"/>
                <w:szCs w:val="21"/>
              </w:rPr>
            </w:pPr>
          </w:p>
        </w:tc>
        <w:tc>
          <w:tcPr>
            <w:tcW w:w="2136" w:type="dxa"/>
            <w:tcBorders>
              <w:tl2br w:val="nil"/>
              <w:tr2bl w:val="nil"/>
            </w:tcBorders>
            <w:vAlign w:val="center"/>
          </w:tcPr>
          <w:p w14:paraId="16A33312">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szCs w:val="21"/>
              </w:rPr>
              <w:t>食堂餐厨垃圾</w:t>
            </w:r>
          </w:p>
        </w:tc>
        <w:tc>
          <w:tcPr>
            <w:tcW w:w="1702" w:type="dxa"/>
            <w:tcBorders>
              <w:tl2br w:val="nil"/>
              <w:tr2bl w:val="nil"/>
            </w:tcBorders>
            <w:vAlign w:val="center"/>
          </w:tcPr>
          <w:p w14:paraId="0DEB02E6">
            <w:pPr>
              <w:jc w:val="center"/>
              <w:rPr>
                <w:rFonts w:ascii="Times New Roman" w:hAnsi="Times New Roman" w:cs="Times New Roman"/>
                <w:szCs w:val="21"/>
              </w:rPr>
            </w:pPr>
          </w:p>
        </w:tc>
        <w:tc>
          <w:tcPr>
            <w:tcW w:w="1276" w:type="dxa"/>
            <w:tcBorders>
              <w:tl2br w:val="nil"/>
              <w:tr2bl w:val="nil"/>
            </w:tcBorders>
            <w:vAlign w:val="center"/>
          </w:tcPr>
          <w:p w14:paraId="0BDADE5E">
            <w:pPr>
              <w:jc w:val="center"/>
              <w:rPr>
                <w:rFonts w:ascii="Times New Roman" w:hAnsi="Times New Roman" w:cs="Times New Roman"/>
                <w:szCs w:val="21"/>
              </w:rPr>
            </w:pPr>
          </w:p>
        </w:tc>
        <w:tc>
          <w:tcPr>
            <w:tcW w:w="1702" w:type="dxa"/>
            <w:tcBorders>
              <w:tl2br w:val="nil"/>
              <w:tr2bl w:val="nil"/>
            </w:tcBorders>
            <w:vAlign w:val="center"/>
          </w:tcPr>
          <w:p w14:paraId="66916116">
            <w:pPr>
              <w:jc w:val="center"/>
              <w:rPr>
                <w:rFonts w:ascii="Times New Roman" w:hAnsi="Times New Roman" w:cs="Times New Roman"/>
                <w:szCs w:val="21"/>
              </w:rPr>
            </w:pPr>
          </w:p>
        </w:tc>
        <w:tc>
          <w:tcPr>
            <w:tcW w:w="1559" w:type="dxa"/>
            <w:tcBorders>
              <w:tl2br w:val="nil"/>
              <w:tr2bl w:val="nil"/>
            </w:tcBorders>
            <w:vAlign w:val="center"/>
          </w:tcPr>
          <w:p w14:paraId="724677E2">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0.27t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147212B7">
            <w:pPr>
              <w:jc w:val="center"/>
              <w:rPr>
                <w:rFonts w:ascii="Times New Roman" w:hAnsi="Times New Roman" w:cs="Times New Roman"/>
                <w:szCs w:val="21"/>
              </w:rPr>
            </w:pPr>
          </w:p>
        </w:tc>
        <w:tc>
          <w:tcPr>
            <w:tcW w:w="1959" w:type="dxa"/>
            <w:tcBorders>
              <w:tl2br w:val="nil"/>
              <w:tr2bl w:val="nil"/>
            </w:tcBorders>
            <w:vAlign w:val="center"/>
          </w:tcPr>
          <w:p w14:paraId="7744A276">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0.27t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1F197A9C">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10A6FCB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bottom w:val="single" w:color="000000" w:sz="4" w:space="0"/>
              <w:tl2br w:val="nil"/>
              <w:tr2bl w:val="nil"/>
            </w:tcBorders>
            <w:vAlign w:val="center"/>
          </w:tcPr>
          <w:p w14:paraId="167160DA">
            <w:pPr>
              <w:jc w:val="center"/>
              <w:rPr>
                <w:rFonts w:ascii="Times New Roman" w:hAnsi="Times New Roman" w:cs="Times New Roman"/>
                <w:szCs w:val="21"/>
              </w:rPr>
            </w:pPr>
          </w:p>
        </w:tc>
        <w:tc>
          <w:tcPr>
            <w:tcW w:w="2136" w:type="dxa"/>
            <w:tcBorders>
              <w:bottom w:val="single" w:color="auto" w:sz="4" w:space="0"/>
              <w:tl2br w:val="nil"/>
              <w:tr2bl w:val="nil"/>
            </w:tcBorders>
            <w:vAlign w:val="center"/>
          </w:tcPr>
          <w:p w14:paraId="169D559A">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szCs w:val="21"/>
              </w:rPr>
              <w:t>隔油池、化粪池沉渣</w:t>
            </w:r>
          </w:p>
        </w:tc>
        <w:tc>
          <w:tcPr>
            <w:tcW w:w="1702" w:type="dxa"/>
            <w:tcBorders>
              <w:bottom w:val="single" w:color="auto" w:sz="4" w:space="0"/>
              <w:tl2br w:val="nil"/>
              <w:tr2bl w:val="nil"/>
            </w:tcBorders>
            <w:vAlign w:val="center"/>
          </w:tcPr>
          <w:p w14:paraId="2CE9B696">
            <w:pPr>
              <w:jc w:val="center"/>
              <w:rPr>
                <w:rFonts w:ascii="Times New Roman" w:hAnsi="Times New Roman" w:cs="Times New Roman"/>
                <w:szCs w:val="21"/>
              </w:rPr>
            </w:pPr>
          </w:p>
        </w:tc>
        <w:tc>
          <w:tcPr>
            <w:tcW w:w="1276" w:type="dxa"/>
            <w:tcBorders>
              <w:bottom w:val="single" w:color="auto" w:sz="4" w:space="0"/>
              <w:tl2br w:val="nil"/>
              <w:tr2bl w:val="nil"/>
            </w:tcBorders>
            <w:vAlign w:val="center"/>
          </w:tcPr>
          <w:p w14:paraId="1D0E5077">
            <w:pPr>
              <w:jc w:val="center"/>
              <w:rPr>
                <w:rFonts w:ascii="Times New Roman" w:hAnsi="Times New Roman" w:cs="Times New Roman"/>
                <w:szCs w:val="21"/>
              </w:rPr>
            </w:pPr>
          </w:p>
        </w:tc>
        <w:tc>
          <w:tcPr>
            <w:tcW w:w="1702" w:type="dxa"/>
            <w:tcBorders>
              <w:bottom w:val="single" w:color="auto" w:sz="4" w:space="0"/>
              <w:tl2br w:val="nil"/>
              <w:tr2bl w:val="nil"/>
            </w:tcBorders>
            <w:vAlign w:val="center"/>
          </w:tcPr>
          <w:p w14:paraId="4931B301">
            <w:pPr>
              <w:jc w:val="center"/>
              <w:rPr>
                <w:rFonts w:ascii="Times New Roman" w:hAnsi="Times New Roman" w:cs="Times New Roman"/>
                <w:szCs w:val="21"/>
              </w:rPr>
            </w:pPr>
          </w:p>
        </w:tc>
        <w:tc>
          <w:tcPr>
            <w:tcW w:w="1559" w:type="dxa"/>
            <w:tcBorders>
              <w:bottom w:val="single" w:color="auto" w:sz="4" w:space="0"/>
              <w:tl2br w:val="nil"/>
              <w:tr2bl w:val="nil"/>
            </w:tcBorders>
            <w:vAlign w:val="center"/>
          </w:tcPr>
          <w:p w14:paraId="12AD1C09">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0.187t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bottom w:val="single" w:color="auto" w:sz="4" w:space="0"/>
              <w:tl2br w:val="nil"/>
              <w:tr2bl w:val="nil"/>
            </w:tcBorders>
            <w:vAlign w:val="center"/>
          </w:tcPr>
          <w:p w14:paraId="1619439D">
            <w:pPr>
              <w:jc w:val="center"/>
              <w:rPr>
                <w:rFonts w:ascii="Times New Roman" w:hAnsi="Times New Roman" w:cs="Times New Roman"/>
                <w:szCs w:val="21"/>
              </w:rPr>
            </w:pPr>
          </w:p>
        </w:tc>
        <w:tc>
          <w:tcPr>
            <w:tcW w:w="1959" w:type="dxa"/>
            <w:tcBorders>
              <w:bottom w:val="single" w:color="auto" w:sz="4" w:space="0"/>
              <w:tl2br w:val="nil"/>
              <w:tr2bl w:val="nil"/>
            </w:tcBorders>
            <w:vAlign w:val="center"/>
          </w:tcPr>
          <w:p w14:paraId="6243964E">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0.187t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bottom w:val="single" w:color="auto" w:sz="4" w:space="0"/>
              <w:tl2br w:val="nil"/>
              <w:tr2bl w:val="nil"/>
            </w:tcBorders>
            <w:vAlign w:val="center"/>
          </w:tcPr>
          <w:p w14:paraId="55EA17FC">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01C7E79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restart"/>
            <w:tcBorders>
              <w:top w:val="single" w:color="000000" w:sz="4" w:space="0"/>
              <w:tl2br w:val="nil"/>
              <w:tr2bl w:val="nil"/>
            </w:tcBorders>
            <w:vAlign w:val="center"/>
          </w:tcPr>
          <w:p w14:paraId="713A7822">
            <w:pPr>
              <w:jc w:val="center"/>
              <w:rPr>
                <w:rFonts w:ascii="Times New Roman" w:hAnsi="Times New Roman" w:cs="Times New Roman"/>
                <w:szCs w:val="21"/>
              </w:rPr>
            </w:pPr>
            <w:r>
              <w:rPr>
                <w:rFonts w:hint="eastAsia" w:ascii="Times New Roman" w:hAnsi="Times New Roman" w:cs="Times New Roman"/>
                <w:szCs w:val="21"/>
              </w:rPr>
              <w:t>危险</w:t>
            </w:r>
          </w:p>
          <w:p w14:paraId="6B1FA743">
            <w:pPr>
              <w:jc w:val="center"/>
              <w:rPr>
                <w:rFonts w:ascii="Times New Roman" w:hAnsi="Times New Roman" w:cs="Times New Roman"/>
                <w:szCs w:val="21"/>
              </w:rPr>
            </w:pPr>
            <w:r>
              <w:rPr>
                <w:rFonts w:hint="eastAsia" w:ascii="Times New Roman" w:hAnsi="Times New Roman" w:cs="Times New Roman"/>
                <w:szCs w:val="21"/>
              </w:rPr>
              <w:t>废物</w:t>
            </w:r>
          </w:p>
        </w:tc>
        <w:tc>
          <w:tcPr>
            <w:tcW w:w="2136" w:type="dxa"/>
            <w:tcBorders>
              <w:top w:val="single" w:color="000000" w:sz="4" w:space="0"/>
              <w:tl2br w:val="nil"/>
              <w:tr2bl w:val="nil"/>
            </w:tcBorders>
            <w:vAlign w:val="center"/>
          </w:tcPr>
          <w:p w14:paraId="3860995F">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废活性炭</w:t>
            </w:r>
          </w:p>
        </w:tc>
        <w:tc>
          <w:tcPr>
            <w:tcW w:w="1702" w:type="dxa"/>
            <w:tcBorders>
              <w:top w:val="single" w:color="000000" w:sz="6" w:space="0"/>
              <w:tl2br w:val="nil"/>
              <w:tr2bl w:val="nil"/>
            </w:tcBorders>
            <w:vAlign w:val="center"/>
          </w:tcPr>
          <w:p w14:paraId="6CE897DE">
            <w:pPr>
              <w:jc w:val="center"/>
              <w:rPr>
                <w:rFonts w:ascii="Times New Roman" w:hAnsi="Times New Roman" w:cs="Times New Roman"/>
                <w:szCs w:val="21"/>
              </w:rPr>
            </w:pPr>
          </w:p>
        </w:tc>
        <w:tc>
          <w:tcPr>
            <w:tcW w:w="1276" w:type="dxa"/>
            <w:tcBorders>
              <w:top w:val="single" w:color="000000" w:sz="6" w:space="0"/>
              <w:tl2br w:val="nil"/>
              <w:tr2bl w:val="nil"/>
            </w:tcBorders>
            <w:vAlign w:val="center"/>
          </w:tcPr>
          <w:p w14:paraId="32170EFE">
            <w:pPr>
              <w:jc w:val="center"/>
              <w:rPr>
                <w:rFonts w:ascii="Times New Roman" w:hAnsi="Times New Roman" w:cs="Times New Roman"/>
                <w:szCs w:val="21"/>
              </w:rPr>
            </w:pPr>
          </w:p>
        </w:tc>
        <w:tc>
          <w:tcPr>
            <w:tcW w:w="1702" w:type="dxa"/>
            <w:tcBorders>
              <w:top w:val="single" w:color="000000" w:sz="6" w:space="0"/>
              <w:tl2br w:val="nil"/>
              <w:tr2bl w:val="nil"/>
            </w:tcBorders>
            <w:vAlign w:val="center"/>
          </w:tcPr>
          <w:p w14:paraId="39A6FD1E">
            <w:pPr>
              <w:jc w:val="center"/>
              <w:rPr>
                <w:rFonts w:ascii="Times New Roman" w:hAnsi="Times New Roman" w:cs="Times New Roman"/>
                <w:szCs w:val="21"/>
              </w:rPr>
            </w:pPr>
          </w:p>
        </w:tc>
        <w:tc>
          <w:tcPr>
            <w:tcW w:w="1559" w:type="dxa"/>
            <w:tcBorders>
              <w:top w:val="single" w:color="000000" w:sz="6" w:space="0"/>
              <w:tl2br w:val="nil"/>
              <w:tr2bl w:val="nil"/>
            </w:tcBorders>
            <w:vAlign w:val="center"/>
          </w:tcPr>
          <w:p w14:paraId="56492F61">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szCs w:val="21"/>
              </w:rPr>
              <w:t>12.708</w:t>
            </w:r>
            <w:r>
              <w:rPr>
                <w:rFonts w:hint="eastAsia" w:ascii="Times New Roman" w:hAnsi="Times New Roman" w:eastAsia="宋体" w:cs="Times New Roman"/>
                <w:szCs w:val="21"/>
              </w:rPr>
              <w:t>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op w:val="single" w:color="000000" w:sz="6" w:space="0"/>
              <w:tl2br w:val="nil"/>
              <w:tr2bl w:val="nil"/>
            </w:tcBorders>
            <w:vAlign w:val="center"/>
          </w:tcPr>
          <w:p w14:paraId="50AB8104">
            <w:pPr>
              <w:jc w:val="center"/>
              <w:rPr>
                <w:rFonts w:ascii="Times New Roman" w:hAnsi="Times New Roman" w:cs="Times New Roman"/>
                <w:szCs w:val="21"/>
              </w:rPr>
            </w:pPr>
          </w:p>
        </w:tc>
        <w:tc>
          <w:tcPr>
            <w:tcW w:w="1959" w:type="dxa"/>
            <w:tcBorders>
              <w:top w:val="single" w:color="000000" w:sz="6" w:space="0"/>
              <w:tl2br w:val="nil"/>
              <w:tr2bl w:val="nil"/>
            </w:tcBorders>
            <w:vAlign w:val="center"/>
          </w:tcPr>
          <w:p w14:paraId="5E815C0E">
            <w:pPr>
              <w:adjustRightInd w:val="0"/>
              <w:spacing w:line="240" w:lineRule="exact"/>
              <w:jc w:val="center"/>
              <w:textAlignment w:val="baseline"/>
              <w:rPr>
                <w:rFonts w:ascii="Times New Roman" w:hAnsi="Times New Roman" w:cs="Times New Roman"/>
                <w:szCs w:val="21"/>
              </w:rPr>
            </w:pPr>
            <w:r>
              <w:rPr>
                <w:rFonts w:ascii="Times New Roman" w:hAnsi="Times New Roman" w:eastAsia="宋体" w:cs="Times New Roman"/>
                <w:szCs w:val="21"/>
              </w:rPr>
              <w:t>12.708</w:t>
            </w:r>
            <w:r>
              <w:rPr>
                <w:rFonts w:hint="eastAsia" w:ascii="Times New Roman" w:hAnsi="Times New Roman" w:eastAsia="宋体" w:cs="Times New Roman"/>
                <w:szCs w:val="21"/>
              </w:rPr>
              <w:t>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op w:val="single" w:color="000000" w:sz="6" w:space="0"/>
              <w:tl2br w:val="nil"/>
              <w:tr2bl w:val="nil"/>
            </w:tcBorders>
            <w:vAlign w:val="center"/>
          </w:tcPr>
          <w:p w14:paraId="23B56A9E">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241CA3A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6D0C94E6">
            <w:pPr>
              <w:jc w:val="center"/>
              <w:rPr>
                <w:rFonts w:ascii="Times New Roman" w:hAnsi="Times New Roman" w:cs="Times New Roman" w:eastAsiaTheme="majorEastAsia"/>
                <w:szCs w:val="21"/>
              </w:rPr>
            </w:pPr>
          </w:p>
        </w:tc>
        <w:tc>
          <w:tcPr>
            <w:tcW w:w="2136" w:type="dxa"/>
            <w:tcBorders>
              <w:tl2br w:val="nil"/>
              <w:tr2bl w:val="nil"/>
            </w:tcBorders>
            <w:vAlign w:val="center"/>
          </w:tcPr>
          <w:p w14:paraId="16B91DDE">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废焦油</w:t>
            </w:r>
          </w:p>
        </w:tc>
        <w:tc>
          <w:tcPr>
            <w:tcW w:w="1702" w:type="dxa"/>
            <w:tcBorders>
              <w:tl2br w:val="nil"/>
              <w:tr2bl w:val="nil"/>
            </w:tcBorders>
            <w:vAlign w:val="center"/>
          </w:tcPr>
          <w:p w14:paraId="56BB7DD4">
            <w:pPr>
              <w:jc w:val="center"/>
              <w:rPr>
                <w:rFonts w:ascii="Times New Roman" w:hAnsi="Times New Roman" w:cs="Times New Roman"/>
                <w:szCs w:val="21"/>
              </w:rPr>
            </w:pPr>
          </w:p>
        </w:tc>
        <w:tc>
          <w:tcPr>
            <w:tcW w:w="1276" w:type="dxa"/>
            <w:tcBorders>
              <w:tl2br w:val="nil"/>
              <w:tr2bl w:val="nil"/>
            </w:tcBorders>
            <w:vAlign w:val="center"/>
          </w:tcPr>
          <w:p w14:paraId="71D6FFFC">
            <w:pPr>
              <w:jc w:val="center"/>
              <w:rPr>
                <w:rFonts w:ascii="Times New Roman" w:hAnsi="Times New Roman" w:cs="Times New Roman"/>
                <w:szCs w:val="21"/>
              </w:rPr>
            </w:pPr>
          </w:p>
        </w:tc>
        <w:tc>
          <w:tcPr>
            <w:tcW w:w="1702" w:type="dxa"/>
            <w:tcBorders>
              <w:tl2br w:val="nil"/>
              <w:tr2bl w:val="nil"/>
            </w:tcBorders>
            <w:vAlign w:val="center"/>
          </w:tcPr>
          <w:p w14:paraId="60275BCF">
            <w:pPr>
              <w:jc w:val="center"/>
              <w:rPr>
                <w:rFonts w:ascii="Times New Roman" w:hAnsi="Times New Roman" w:cs="Times New Roman"/>
                <w:szCs w:val="21"/>
              </w:rPr>
            </w:pPr>
          </w:p>
        </w:tc>
        <w:tc>
          <w:tcPr>
            <w:tcW w:w="1559" w:type="dxa"/>
            <w:tcBorders>
              <w:tl2br w:val="nil"/>
              <w:tr2bl w:val="nil"/>
            </w:tcBorders>
            <w:vAlign w:val="center"/>
          </w:tcPr>
          <w:p w14:paraId="60F9F860">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0.8t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70BA7574">
            <w:pPr>
              <w:jc w:val="center"/>
              <w:rPr>
                <w:rFonts w:ascii="Times New Roman" w:hAnsi="Times New Roman" w:cs="Times New Roman"/>
                <w:szCs w:val="21"/>
              </w:rPr>
            </w:pPr>
          </w:p>
        </w:tc>
        <w:tc>
          <w:tcPr>
            <w:tcW w:w="1959" w:type="dxa"/>
            <w:tcBorders>
              <w:tl2br w:val="nil"/>
              <w:tr2bl w:val="nil"/>
            </w:tcBorders>
            <w:vAlign w:val="center"/>
          </w:tcPr>
          <w:p w14:paraId="3C38E9A3">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0.8t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6E67EDDA">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749CADC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79BF2763">
            <w:pPr>
              <w:jc w:val="center"/>
              <w:rPr>
                <w:rFonts w:ascii="Times New Roman" w:hAnsi="Times New Roman" w:cs="Times New Roman" w:eastAsiaTheme="majorEastAsia"/>
                <w:szCs w:val="21"/>
              </w:rPr>
            </w:pPr>
          </w:p>
        </w:tc>
        <w:tc>
          <w:tcPr>
            <w:tcW w:w="2136" w:type="dxa"/>
            <w:tcBorders>
              <w:tl2br w:val="nil"/>
              <w:tr2bl w:val="nil"/>
            </w:tcBorders>
            <w:vAlign w:val="center"/>
          </w:tcPr>
          <w:p w14:paraId="35570C7B">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洗涤塔循环废液</w:t>
            </w:r>
          </w:p>
        </w:tc>
        <w:tc>
          <w:tcPr>
            <w:tcW w:w="1702" w:type="dxa"/>
            <w:tcBorders>
              <w:tl2br w:val="nil"/>
              <w:tr2bl w:val="nil"/>
            </w:tcBorders>
            <w:vAlign w:val="center"/>
          </w:tcPr>
          <w:p w14:paraId="6786ACEA">
            <w:pPr>
              <w:jc w:val="center"/>
              <w:rPr>
                <w:rFonts w:ascii="Times New Roman" w:hAnsi="Times New Roman" w:cs="Times New Roman"/>
                <w:szCs w:val="21"/>
              </w:rPr>
            </w:pPr>
          </w:p>
        </w:tc>
        <w:tc>
          <w:tcPr>
            <w:tcW w:w="1276" w:type="dxa"/>
            <w:tcBorders>
              <w:tl2br w:val="nil"/>
              <w:tr2bl w:val="nil"/>
            </w:tcBorders>
            <w:vAlign w:val="center"/>
          </w:tcPr>
          <w:p w14:paraId="34A46BDE">
            <w:pPr>
              <w:jc w:val="center"/>
              <w:rPr>
                <w:rFonts w:ascii="Times New Roman" w:hAnsi="Times New Roman" w:cs="Times New Roman"/>
                <w:szCs w:val="21"/>
              </w:rPr>
            </w:pPr>
          </w:p>
        </w:tc>
        <w:tc>
          <w:tcPr>
            <w:tcW w:w="1702" w:type="dxa"/>
            <w:tcBorders>
              <w:tl2br w:val="nil"/>
              <w:tr2bl w:val="nil"/>
            </w:tcBorders>
            <w:vAlign w:val="center"/>
          </w:tcPr>
          <w:p w14:paraId="22CAFBD7">
            <w:pPr>
              <w:jc w:val="center"/>
              <w:rPr>
                <w:rFonts w:ascii="Times New Roman" w:hAnsi="Times New Roman" w:cs="Times New Roman"/>
                <w:szCs w:val="21"/>
              </w:rPr>
            </w:pPr>
          </w:p>
        </w:tc>
        <w:tc>
          <w:tcPr>
            <w:tcW w:w="1559" w:type="dxa"/>
            <w:tcBorders>
              <w:tl2br w:val="nil"/>
              <w:tr2bl w:val="nil"/>
            </w:tcBorders>
            <w:vAlign w:val="center"/>
          </w:tcPr>
          <w:p w14:paraId="602C38ED">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10m</w:t>
            </w:r>
            <w:r>
              <w:rPr>
                <w:rFonts w:hint="eastAsia" w:ascii="Times New Roman" w:hAnsi="Times New Roman" w:eastAsia="宋体" w:cs="Times New Roman"/>
                <w:szCs w:val="21"/>
                <w:vertAlign w:val="superscript"/>
              </w:rPr>
              <w:t>3</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1B90C36D">
            <w:pPr>
              <w:jc w:val="center"/>
              <w:rPr>
                <w:rFonts w:ascii="Times New Roman" w:hAnsi="Times New Roman" w:cs="Times New Roman"/>
                <w:szCs w:val="21"/>
              </w:rPr>
            </w:pPr>
          </w:p>
        </w:tc>
        <w:tc>
          <w:tcPr>
            <w:tcW w:w="1959" w:type="dxa"/>
            <w:tcBorders>
              <w:tl2br w:val="nil"/>
              <w:tr2bl w:val="nil"/>
            </w:tcBorders>
            <w:vAlign w:val="center"/>
          </w:tcPr>
          <w:p w14:paraId="1BA5F295">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10m</w:t>
            </w:r>
            <w:r>
              <w:rPr>
                <w:rFonts w:hint="eastAsia" w:ascii="Times New Roman" w:hAnsi="Times New Roman" w:eastAsia="宋体" w:cs="Times New Roman"/>
                <w:szCs w:val="21"/>
                <w:vertAlign w:val="superscript"/>
              </w:rPr>
              <w:t>3</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48580AA1">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00AE85D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39C3D60E">
            <w:pPr>
              <w:jc w:val="center"/>
              <w:rPr>
                <w:rFonts w:ascii="Times New Roman" w:hAnsi="Times New Roman" w:cs="Times New Roman" w:eastAsiaTheme="majorEastAsia"/>
                <w:szCs w:val="21"/>
              </w:rPr>
            </w:pPr>
          </w:p>
        </w:tc>
        <w:tc>
          <w:tcPr>
            <w:tcW w:w="2136" w:type="dxa"/>
            <w:tcBorders>
              <w:tl2br w:val="nil"/>
              <w:tr2bl w:val="nil"/>
            </w:tcBorders>
            <w:vAlign w:val="center"/>
          </w:tcPr>
          <w:p w14:paraId="28F7AF6E">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洗涤塔沉淀焦油渣</w:t>
            </w:r>
          </w:p>
        </w:tc>
        <w:tc>
          <w:tcPr>
            <w:tcW w:w="1702" w:type="dxa"/>
            <w:tcBorders>
              <w:tl2br w:val="nil"/>
              <w:tr2bl w:val="nil"/>
            </w:tcBorders>
            <w:vAlign w:val="center"/>
          </w:tcPr>
          <w:p w14:paraId="4111C85B">
            <w:pPr>
              <w:jc w:val="center"/>
              <w:rPr>
                <w:rFonts w:ascii="Times New Roman" w:hAnsi="Times New Roman" w:cs="Times New Roman"/>
                <w:szCs w:val="21"/>
              </w:rPr>
            </w:pPr>
          </w:p>
        </w:tc>
        <w:tc>
          <w:tcPr>
            <w:tcW w:w="1276" w:type="dxa"/>
            <w:tcBorders>
              <w:tl2br w:val="nil"/>
              <w:tr2bl w:val="nil"/>
            </w:tcBorders>
            <w:vAlign w:val="center"/>
          </w:tcPr>
          <w:p w14:paraId="62402A24">
            <w:pPr>
              <w:jc w:val="center"/>
              <w:rPr>
                <w:rFonts w:ascii="Times New Roman" w:hAnsi="Times New Roman" w:cs="Times New Roman"/>
                <w:szCs w:val="21"/>
              </w:rPr>
            </w:pPr>
          </w:p>
        </w:tc>
        <w:tc>
          <w:tcPr>
            <w:tcW w:w="1702" w:type="dxa"/>
            <w:tcBorders>
              <w:tl2br w:val="nil"/>
              <w:tr2bl w:val="nil"/>
            </w:tcBorders>
            <w:vAlign w:val="center"/>
          </w:tcPr>
          <w:p w14:paraId="529D942C">
            <w:pPr>
              <w:jc w:val="center"/>
              <w:rPr>
                <w:rFonts w:ascii="Times New Roman" w:hAnsi="Times New Roman" w:cs="Times New Roman"/>
                <w:szCs w:val="21"/>
              </w:rPr>
            </w:pPr>
          </w:p>
        </w:tc>
        <w:tc>
          <w:tcPr>
            <w:tcW w:w="1559" w:type="dxa"/>
            <w:tcBorders>
              <w:tl2br w:val="nil"/>
              <w:tr2bl w:val="nil"/>
            </w:tcBorders>
            <w:vAlign w:val="center"/>
          </w:tcPr>
          <w:p w14:paraId="024A47CF">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1.0t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76B19248">
            <w:pPr>
              <w:jc w:val="center"/>
              <w:rPr>
                <w:rFonts w:ascii="Times New Roman" w:hAnsi="Times New Roman" w:cs="Times New Roman"/>
                <w:szCs w:val="21"/>
              </w:rPr>
            </w:pPr>
          </w:p>
        </w:tc>
        <w:tc>
          <w:tcPr>
            <w:tcW w:w="1959" w:type="dxa"/>
            <w:tcBorders>
              <w:tl2br w:val="nil"/>
              <w:tr2bl w:val="nil"/>
            </w:tcBorders>
            <w:vAlign w:val="center"/>
          </w:tcPr>
          <w:p w14:paraId="1545DC4E">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1.0t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34216864">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72226FF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42507353">
            <w:pPr>
              <w:jc w:val="center"/>
              <w:rPr>
                <w:rFonts w:ascii="Times New Roman" w:hAnsi="Times New Roman" w:cs="Times New Roman" w:eastAsiaTheme="majorEastAsia"/>
                <w:szCs w:val="21"/>
              </w:rPr>
            </w:pPr>
          </w:p>
        </w:tc>
        <w:tc>
          <w:tcPr>
            <w:tcW w:w="2136" w:type="dxa"/>
            <w:tcBorders>
              <w:tl2br w:val="nil"/>
              <w:tr2bl w:val="nil"/>
            </w:tcBorders>
            <w:vAlign w:val="center"/>
          </w:tcPr>
          <w:p w14:paraId="23650D2C">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color w:val="000000" w:themeColor="text1"/>
                <w:szCs w:val="21"/>
                <w14:textFill>
                  <w14:solidFill>
                    <w14:schemeClr w14:val="tx1"/>
                  </w14:solidFill>
                </w14:textFill>
              </w:rPr>
              <w:t>废导热油</w:t>
            </w:r>
          </w:p>
        </w:tc>
        <w:tc>
          <w:tcPr>
            <w:tcW w:w="1702" w:type="dxa"/>
            <w:tcBorders>
              <w:tl2br w:val="nil"/>
              <w:tr2bl w:val="nil"/>
            </w:tcBorders>
            <w:vAlign w:val="center"/>
          </w:tcPr>
          <w:p w14:paraId="76B72400">
            <w:pPr>
              <w:jc w:val="center"/>
              <w:rPr>
                <w:rFonts w:ascii="Times New Roman" w:hAnsi="Times New Roman" w:cs="Times New Roman"/>
                <w:szCs w:val="21"/>
              </w:rPr>
            </w:pPr>
          </w:p>
        </w:tc>
        <w:tc>
          <w:tcPr>
            <w:tcW w:w="1276" w:type="dxa"/>
            <w:tcBorders>
              <w:tl2br w:val="nil"/>
              <w:tr2bl w:val="nil"/>
            </w:tcBorders>
            <w:vAlign w:val="center"/>
          </w:tcPr>
          <w:p w14:paraId="6AED1E17">
            <w:pPr>
              <w:jc w:val="center"/>
              <w:rPr>
                <w:rFonts w:ascii="Times New Roman" w:hAnsi="Times New Roman" w:cs="Times New Roman"/>
                <w:szCs w:val="21"/>
              </w:rPr>
            </w:pPr>
          </w:p>
        </w:tc>
        <w:tc>
          <w:tcPr>
            <w:tcW w:w="1702" w:type="dxa"/>
            <w:tcBorders>
              <w:tl2br w:val="nil"/>
              <w:tr2bl w:val="nil"/>
            </w:tcBorders>
            <w:vAlign w:val="center"/>
          </w:tcPr>
          <w:p w14:paraId="25A84F91">
            <w:pPr>
              <w:jc w:val="center"/>
              <w:rPr>
                <w:rFonts w:ascii="Times New Roman" w:hAnsi="Times New Roman" w:cs="Times New Roman"/>
                <w:szCs w:val="21"/>
              </w:rPr>
            </w:pPr>
          </w:p>
        </w:tc>
        <w:tc>
          <w:tcPr>
            <w:tcW w:w="1559" w:type="dxa"/>
            <w:tcBorders>
              <w:tl2br w:val="nil"/>
              <w:tr2bl w:val="nil"/>
            </w:tcBorders>
            <w:vAlign w:val="center"/>
          </w:tcPr>
          <w:p w14:paraId="45014737">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1.14t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5D15E524">
            <w:pPr>
              <w:jc w:val="center"/>
              <w:rPr>
                <w:rFonts w:ascii="Times New Roman" w:hAnsi="Times New Roman" w:cs="Times New Roman"/>
                <w:szCs w:val="21"/>
              </w:rPr>
            </w:pPr>
          </w:p>
        </w:tc>
        <w:tc>
          <w:tcPr>
            <w:tcW w:w="1959" w:type="dxa"/>
            <w:tcBorders>
              <w:tl2br w:val="nil"/>
              <w:tr2bl w:val="nil"/>
            </w:tcBorders>
            <w:vAlign w:val="center"/>
          </w:tcPr>
          <w:p w14:paraId="2C047FF4">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1.14t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43AD805E">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67050C1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2E2F0E95">
            <w:pPr>
              <w:jc w:val="center"/>
              <w:rPr>
                <w:rFonts w:ascii="Times New Roman" w:hAnsi="Times New Roman" w:cs="Times New Roman" w:eastAsiaTheme="majorEastAsia"/>
                <w:szCs w:val="21"/>
              </w:rPr>
            </w:pPr>
          </w:p>
        </w:tc>
        <w:tc>
          <w:tcPr>
            <w:tcW w:w="2136" w:type="dxa"/>
            <w:tcBorders>
              <w:tl2br w:val="nil"/>
              <w:tr2bl w:val="nil"/>
            </w:tcBorders>
            <w:vAlign w:val="center"/>
          </w:tcPr>
          <w:p w14:paraId="5E4F43AB">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废矿物油</w:t>
            </w:r>
          </w:p>
        </w:tc>
        <w:tc>
          <w:tcPr>
            <w:tcW w:w="1702" w:type="dxa"/>
            <w:tcBorders>
              <w:tl2br w:val="nil"/>
              <w:tr2bl w:val="nil"/>
            </w:tcBorders>
            <w:vAlign w:val="center"/>
          </w:tcPr>
          <w:p w14:paraId="21E3D349">
            <w:pPr>
              <w:jc w:val="center"/>
              <w:rPr>
                <w:rFonts w:ascii="Times New Roman" w:hAnsi="Times New Roman" w:cs="Times New Roman"/>
                <w:szCs w:val="21"/>
              </w:rPr>
            </w:pPr>
          </w:p>
        </w:tc>
        <w:tc>
          <w:tcPr>
            <w:tcW w:w="1276" w:type="dxa"/>
            <w:tcBorders>
              <w:tl2br w:val="nil"/>
              <w:tr2bl w:val="nil"/>
            </w:tcBorders>
            <w:vAlign w:val="center"/>
          </w:tcPr>
          <w:p w14:paraId="3C2D5B08">
            <w:pPr>
              <w:jc w:val="center"/>
              <w:rPr>
                <w:rFonts w:ascii="Times New Roman" w:hAnsi="Times New Roman" w:cs="Times New Roman"/>
                <w:szCs w:val="21"/>
              </w:rPr>
            </w:pPr>
          </w:p>
        </w:tc>
        <w:tc>
          <w:tcPr>
            <w:tcW w:w="1702" w:type="dxa"/>
            <w:tcBorders>
              <w:tl2br w:val="nil"/>
              <w:tr2bl w:val="nil"/>
            </w:tcBorders>
            <w:vAlign w:val="center"/>
          </w:tcPr>
          <w:p w14:paraId="330A0EA2">
            <w:pPr>
              <w:jc w:val="center"/>
              <w:rPr>
                <w:rFonts w:ascii="Times New Roman" w:hAnsi="Times New Roman" w:cs="Times New Roman"/>
                <w:szCs w:val="21"/>
              </w:rPr>
            </w:pPr>
          </w:p>
        </w:tc>
        <w:tc>
          <w:tcPr>
            <w:tcW w:w="1559" w:type="dxa"/>
            <w:tcBorders>
              <w:tl2br w:val="nil"/>
              <w:tr2bl w:val="nil"/>
            </w:tcBorders>
            <w:vAlign w:val="center"/>
          </w:tcPr>
          <w:p w14:paraId="23E036B1">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0.2t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6B9EF5F8">
            <w:pPr>
              <w:jc w:val="center"/>
              <w:rPr>
                <w:rFonts w:ascii="Times New Roman" w:hAnsi="Times New Roman" w:cs="Times New Roman"/>
                <w:szCs w:val="21"/>
              </w:rPr>
            </w:pPr>
          </w:p>
        </w:tc>
        <w:tc>
          <w:tcPr>
            <w:tcW w:w="1959" w:type="dxa"/>
            <w:tcBorders>
              <w:tl2br w:val="nil"/>
              <w:tr2bl w:val="nil"/>
            </w:tcBorders>
            <w:vAlign w:val="center"/>
          </w:tcPr>
          <w:p w14:paraId="4C4F2AD9">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0.2t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142B9523">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4EF9A55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47ACFCC2">
            <w:pPr>
              <w:jc w:val="center"/>
              <w:rPr>
                <w:rFonts w:ascii="Times New Roman" w:hAnsi="Times New Roman" w:cs="Times New Roman" w:eastAsiaTheme="majorEastAsia"/>
                <w:szCs w:val="21"/>
              </w:rPr>
            </w:pPr>
          </w:p>
        </w:tc>
        <w:tc>
          <w:tcPr>
            <w:tcW w:w="2136" w:type="dxa"/>
            <w:tcBorders>
              <w:tl2br w:val="nil"/>
              <w:tr2bl w:val="nil"/>
            </w:tcBorders>
            <w:vAlign w:val="center"/>
          </w:tcPr>
          <w:p w14:paraId="52697FBC">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废油桶</w:t>
            </w:r>
          </w:p>
        </w:tc>
        <w:tc>
          <w:tcPr>
            <w:tcW w:w="1702" w:type="dxa"/>
            <w:tcBorders>
              <w:tl2br w:val="nil"/>
              <w:tr2bl w:val="nil"/>
            </w:tcBorders>
            <w:vAlign w:val="center"/>
          </w:tcPr>
          <w:p w14:paraId="3456204C">
            <w:pPr>
              <w:jc w:val="center"/>
              <w:rPr>
                <w:rFonts w:ascii="Times New Roman" w:hAnsi="Times New Roman" w:cs="Times New Roman"/>
                <w:szCs w:val="21"/>
              </w:rPr>
            </w:pPr>
          </w:p>
        </w:tc>
        <w:tc>
          <w:tcPr>
            <w:tcW w:w="1276" w:type="dxa"/>
            <w:tcBorders>
              <w:tl2br w:val="nil"/>
              <w:tr2bl w:val="nil"/>
            </w:tcBorders>
            <w:vAlign w:val="center"/>
          </w:tcPr>
          <w:p w14:paraId="6721C4A5">
            <w:pPr>
              <w:jc w:val="center"/>
              <w:rPr>
                <w:rFonts w:ascii="Times New Roman" w:hAnsi="Times New Roman" w:cs="Times New Roman"/>
                <w:szCs w:val="21"/>
              </w:rPr>
            </w:pPr>
          </w:p>
        </w:tc>
        <w:tc>
          <w:tcPr>
            <w:tcW w:w="1702" w:type="dxa"/>
            <w:tcBorders>
              <w:tl2br w:val="nil"/>
              <w:tr2bl w:val="nil"/>
            </w:tcBorders>
            <w:vAlign w:val="center"/>
          </w:tcPr>
          <w:p w14:paraId="1581E142">
            <w:pPr>
              <w:jc w:val="center"/>
              <w:rPr>
                <w:rFonts w:ascii="Times New Roman" w:hAnsi="Times New Roman" w:cs="Times New Roman"/>
                <w:szCs w:val="21"/>
              </w:rPr>
            </w:pPr>
          </w:p>
        </w:tc>
        <w:tc>
          <w:tcPr>
            <w:tcW w:w="1559" w:type="dxa"/>
            <w:tcBorders>
              <w:tl2br w:val="nil"/>
              <w:tr2bl w:val="nil"/>
            </w:tcBorders>
            <w:vAlign w:val="center"/>
          </w:tcPr>
          <w:p w14:paraId="32AB695C">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0.02t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74F5B3BA">
            <w:pPr>
              <w:jc w:val="center"/>
              <w:rPr>
                <w:rFonts w:ascii="Times New Roman" w:hAnsi="Times New Roman" w:cs="Times New Roman"/>
                <w:szCs w:val="21"/>
              </w:rPr>
            </w:pPr>
          </w:p>
        </w:tc>
        <w:tc>
          <w:tcPr>
            <w:tcW w:w="1959" w:type="dxa"/>
            <w:tcBorders>
              <w:tl2br w:val="nil"/>
              <w:tr2bl w:val="nil"/>
            </w:tcBorders>
            <w:vAlign w:val="center"/>
          </w:tcPr>
          <w:p w14:paraId="10FCE773">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0.02t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5147EA70">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295D441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5A493F4A">
            <w:pPr>
              <w:jc w:val="center"/>
              <w:rPr>
                <w:rFonts w:ascii="Times New Roman" w:hAnsi="Times New Roman" w:cs="Times New Roman" w:eastAsiaTheme="majorEastAsia"/>
                <w:szCs w:val="21"/>
              </w:rPr>
            </w:pPr>
          </w:p>
        </w:tc>
        <w:tc>
          <w:tcPr>
            <w:tcW w:w="2136" w:type="dxa"/>
            <w:tcBorders>
              <w:tl2br w:val="nil"/>
              <w:tr2bl w:val="nil"/>
            </w:tcBorders>
            <w:vAlign w:val="center"/>
          </w:tcPr>
          <w:p w14:paraId="470DF2AB">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柴油储罐油泥</w:t>
            </w:r>
          </w:p>
        </w:tc>
        <w:tc>
          <w:tcPr>
            <w:tcW w:w="1702" w:type="dxa"/>
            <w:tcBorders>
              <w:tl2br w:val="nil"/>
              <w:tr2bl w:val="nil"/>
            </w:tcBorders>
            <w:vAlign w:val="center"/>
          </w:tcPr>
          <w:p w14:paraId="7D235C77">
            <w:pPr>
              <w:jc w:val="center"/>
              <w:rPr>
                <w:rFonts w:ascii="Times New Roman" w:hAnsi="Times New Roman" w:cs="Times New Roman"/>
                <w:szCs w:val="21"/>
              </w:rPr>
            </w:pPr>
          </w:p>
        </w:tc>
        <w:tc>
          <w:tcPr>
            <w:tcW w:w="1276" w:type="dxa"/>
            <w:tcBorders>
              <w:tl2br w:val="nil"/>
              <w:tr2bl w:val="nil"/>
            </w:tcBorders>
            <w:vAlign w:val="center"/>
          </w:tcPr>
          <w:p w14:paraId="509F32F9">
            <w:pPr>
              <w:jc w:val="center"/>
              <w:rPr>
                <w:rFonts w:ascii="Times New Roman" w:hAnsi="Times New Roman" w:cs="Times New Roman"/>
                <w:szCs w:val="21"/>
              </w:rPr>
            </w:pPr>
          </w:p>
        </w:tc>
        <w:tc>
          <w:tcPr>
            <w:tcW w:w="1702" w:type="dxa"/>
            <w:tcBorders>
              <w:tl2br w:val="nil"/>
              <w:tr2bl w:val="nil"/>
            </w:tcBorders>
            <w:vAlign w:val="center"/>
          </w:tcPr>
          <w:p w14:paraId="06734A1C">
            <w:pPr>
              <w:jc w:val="center"/>
              <w:rPr>
                <w:rFonts w:ascii="Times New Roman" w:hAnsi="Times New Roman" w:cs="Times New Roman"/>
                <w:szCs w:val="21"/>
              </w:rPr>
            </w:pPr>
          </w:p>
        </w:tc>
        <w:tc>
          <w:tcPr>
            <w:tcW w:w="1559" w:type="dxa"/>
            <w:tcBorders>
              <w:tl2br w:val="nil"/>
              <w:tr2bl w:val="nil"/>
            </w:tcBorders>
            <w:vAlign w:val="center"/>
          </w:tcPr>
          <w:p w14:paraId="0FEECADF">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0.04t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56E9976A">
            <w:pPr>
              <w:jc w:val="center"/>
              <w:rPr>
                <w:rFonts w:ascii="Times New Roman" w:hAnsi="Times New Roman" w:cs="Times New Roman"/>
                <w:szCs w:val="21"/>
              </w:rPr>
            </w:pPr>
          </w:p>
        </w:tc>
        <w:tc>
          <w:tcPr>
            <w:tcW w:w="1959" w:type="dxa"/>
            <w:tcBorders>
              <w:tl2br w:val="nil"/>
              <w:tr2bl w:val="nil"/>
            </w:tcBorders>
            <w:vAlign w:val="center"/>
          </w:tcPr>
          <w:p w14:paraId="5A62A582">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0.04t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15744A90">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r w14:paraId="37DB35E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69" w:type="dxa"/>
            <w:vMerge w:val="continue"/>
            <w:tcBorders>
              <w:tl2br w:val="nil"/>
              <w:tr2bl w:val="nil"/>
            </w:tcBorders>
            <w:vAlign w:val="center"/>
          </w:tcPr>
          <w:p w14:paraId="7A09EEA8">
            <w:pPr>
              <w:jc w:val="center"/>
              <w:rPr>
                <w:rFonts w:ascii="Times New Roman" w:hAnsi="Times New Roman" w:cs="Times New Roman" w:eastAsiaTheme="majorEastAsia"/>
                <w:szCs w:val="21"/>
              </w:rPr>
            </w:pPr>
          </w:p>
        </w:tc>
        <w:tc>
          <w:tcPr>
            <w:tcW w:w="2136" w:type="dxa"/>
            <w:tcBorders>
              <w:tl2br w:val="nil"/>
              <w:tr2bl w:val="nil"/>
            </w:tcBorders>
            <w:vAlign w:val="center"/>
          </w:tcPr>
          <w:p w14:paraId="6A15AE19">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废含油棉纱及废手套</w:t>
            </w:r>
          </w:p>
        </w:tc>
        <w:tc>
          <w:tcPr>
            <w:tcW w:w="1702" w:type="dxa"/>
            <w:tcBorders>
              <w:tl2br w:val="nil"/>
              <w:tr2bl w:val="nil"/>
            </w:tcBorders>
            <w:vAlign w:val="center"/>
          </w:tcPr>
          <w:p w14:paraId="5CC4D3B7">
            <w:pPr>
              <w:jc w:val="center"/>
              <w:rPr>
                <w:rFonts w:ascii="Times New Roman" w:hAnsi="Times New Roman" w:cs="Times New Roman"/>
                <w:szCs w:val="21"/>
              </w:rPr>
            </w:pPr>
          </w:p>
        </w:tc>
        <w:tc>
          <w:tcPr>
            <w:tcW w:w="1276" w:type="dxa"/>
            <w:tcBorders>
              <w:tl2br w:val="nil"/>
              <w:tr2bl w:val="nil"/>
            </w:tcBorders>
            <w:vAlign w:val="center"/>
          </w:tcPr>
          <w:p w14:paraId="05FAFD22">
            <w:pPr>
              <w:jc w:val="center"/>
              <w:rPr>
                <w:rFonts w:ascii="Times New Roman" w:hAnsi="Times New Roman" w:cs="Times New Roman"/>
                <w:szCs w:val="21"/>
              </w:rPr>
            </w:pPr>
          </w:p>
        </w:tc>
        <w:tc>
          <w:tcPr>
            <w:tcW w:w="1702" w:type="dxa"/>
            <w:tcBorders>
              <w:tl2br w:val="nil"/>
              <w:tr2bl w:val="nil"/>
            </w:tcBorders>
            <w:vAlign w:val="center"/>
          </w:tcPr>
          <w:p w14:paraId="08CDB92D">
            <w:pPr>
              <w:jc w:val="center"/>
              <w:rPr>
                <w:rFonts w:ascii="Times New Roman" w:hAnsi="Times New Roman" w:cs="Times New Roman"/>
                <w:szCs w:val="21"/>
              </w:rPr>
            </w:pPr>
          </w:p>
        </w:tc>
        <w:tc>
          <w:tcPr>
            <w:tcW w:w="1559" w:type="dxa"/>
            <w:tcBorders>
              <w:tl2br w:val="nil"/>
              <w:tr2bl w:val="nil"/>
            </w:tcBorders>
            <w:vAlign w:val="center"/>
          </w:tcPr>
          <w:p w14:paraId="5745B32F">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0.02t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1761" w:type="dxa"/>
            <w:tcBorders>
              <w:tl2br w:val="nil"/>
              <w:tr2bl w:val="nil"/>
            </w:tcBorders>
            <w:vAlign w:val="center"/>
          </w:tcPr>
          <w:p w14:paraId="27F808FD">
            <w:pPr>
              <w:jc w:val="center"/>
              <w:rPr>
                <w:rFonts w:ascii="Times New Roman" w:hAnsi="Times New Roman" w:cs="Times New Roman"/>
                <w:szCs w:val="21"/>
              </w:rPr>
            </w:pPr>
          </w:p>
        </w:tc>
        <w:tc>
          <w:tcPr>
            <w:tcW w:w="1959" w:type="dxa"/>
            <w:tcBorders>
              <w:tl2br w:val="nil"/>
              <w:tr2bl w:val="nil"/>
            </w:tcBorders>
            <w:vAlign w:val="center"/>
          </w:tcPr>
          <w:p w14:paraId="717D8F80">
            <w:pPr>
              <w:adjustRightInd w:val="0"/>
              <w:spacing w:line="240" w:lineRule="exact"/>
              <w:jc w:val="center"/>
              <w:textAlignment w:val="baseline"/>
              <w:rPr>
                <w:rFonts w:ascii="Times New Roman" w:hAnsi="Times New Roman" w:cs="Times New Roman"/>
                <w:szCs w:val="21"/>
              </w:rPr>
            </w:pPr>
            <w:r>
              <w:rPr>
                <w:rFonts w:hint="eastAsia" w:ascii="Times New Roman" w:hAnsi="Times New Roman" w:eastAsia="宋体" w:cs="Times New Roman"/>
                <w:szCs w:val="21"/>
              </w:rPr>
              <w:t>0.02t</w:t>
            </w:r>
            <w:r>
              <w:rPr>
                <w:rFonts w:ascii="Times New Roman" w:hAnsi="Times New Roman" w:eastAsia="宋体" w:cs="Times New Roman"/>
                <w:szCs w:val="21"/>
              </w:rPr>
              <w:t>/</w:t>
            </w:r>
            <w:r>
              <w:rPr>
                <w:rFonts w:hint="eastAsia" w:ascii="Times New Roman" w:hAnsi="Times New Roman" w:eastAsia="宋体" w:cs="Times New Roman"/>
                <w:szCs w:val="21"/>
              </w:rPr>
              <w:t>a</w:t>
            </w:r>
          </w:p>
        </w:tc>
        <w:tc>
          <w:tcPr>
            <w:tcW w:w="980" w:type="dxa"/>
            <w:tcBorders>
              <w:tl2br w:val="nil"/>
              <w:tr2bl w:val="nil"/>
            </w:tcBorders>
            <w:vAlign w:val="center"/>
          </w:tcPr>
          <w:p w14:paraId="78F7072D">
            <w:pPr>
              <w:widowControl/>
              <w:adjustRightInd w:val="0"/>
              <w:snapToGrid w:val="0"/>
              <w:spacing w:before="31" w:beforeLines="10"/>
              <w:jc w:val="center"/>
              <w:rPr>
                <w:rFonts w:ascii="Times New Roman" w:hAnsi="Times New Roman" w:cs="Times New Roman" w:eastAsiaTheme="majorEastAsia"/>
                <w:snapToGrid w:val="0"/>
                <w:kern w:val="21"/>
                <w:szCs w:val="21"/>
              </w:rPr>
            </w:pPr>
          </w:p>
        </w:tc>
      </w:tr>
    </w:tbl>
    <w:p w14:paraId="6FB059DA">
      <w:pPr>
        <w:pStyle w:val="43"/>
        <w:widowControl/>
        <w:spacing w:before="249" w:beforeLines="80" w:after="24"/>
        <w:jc w:val="left"/>
        <w:rPr>
          <w:rFonts w:hint="default"/>
        </w:rPr>
        <w:sectPr>
          <w:pgSz w:w="16838" w:h="11906" w:orient="landscape"/>
          <w:pgMar w:top="1531" w:right="1702" w:bottom="1531" w:left="1702" w:header="851" w:footer="1417" w:gutter="0"/>
          <w:pgNumType w:fmt="decimal"/>
          <w:cols w:space="425" w:num="1"/>
          <w:docGrid w:type="lines" w:linePitch="312" w:charSpace="0"/>
        </w:sectPr>
      </w:pPr>
      <w:r>
        <w:rPr>
          <w:rFonts w:hAnsi="宋体"/>
          <w:snapToGrid w:val="0"/>
          <w:color w:val="000000"/>
          <w:kern w:val="21"/>
          <w:szCs w:val="21"/>
        </w:rPr>
        <w:t>注：</w:t>
      </w:r>
      <w:r>
        <w:rPr>
          <w:rFonts w:hAnsi="宋体"/>
          <w:color w:val="000000"/>
          <w:spacing w:val="-16"/>
          <w:kern w:val="21"/>
          <w:szCs w:val="21"/>
        </w:rPr>
        <w:fldChar w:fldCharType="begin"/>
      </w:r>
      <w:r>
        <w:rPr>
          <w:rFonts w:hAnsi="宋体"/>
          <w:snapToGrid w:val="0"/>
          <w:color w:val="000000"/>
          <w:spacing w:val="-16"/>
          <w:kern w:val="21"/>
          <w:szCs w:val="21"/>
        </w:rPr>
        <w:instrText xml:space="preserve"> = 6 \* GB3 \* MERGEFORMAT </w:instrText>
      </w:r>
      <w:r>
        <w:rPr>
          <w:rFonts w:hAnsi="宋体"/>
          <w:color w:val="000000"/>
          <w:spacing w:val="-16"/>
          <w:kern w:val="21"/>
          <w:szCs w:val="21"/>
        </w:rPr>
        <w:fldChar w:fldCharType="separate"/>
      </w:r>
      <w:r>
        <w:rPr>
          <w:rFonts w:hAnsi="宋体"/>
          <w:szCs w:val="21"/>
        </w:rPr>
        <w:t>⑥</w:t>
      </w:r>
      <w:r>
        <w:rPr>
          <w:rFonts w:hAnsi="宋体"/>
          <w:color w:val="000000"/>
          <w:spacing w:val="-16"/>
          <w:kern w:val="21"/>
          <w:szCs w:val="21"/>
        </w:rPr>
        <w:fldChar w:fldCharType="end"/>
      </w:r>
      <w:r>
        <w:rPr>
          <w:rFonts w:hAnsi="宋体"/>
          <w:snapToGrid w:val="0"/>
          <w:color w:val="000000"/>
          <w:spacing w:val="-16"/>
          <w:kern w:val="21"/>
          <w:szCs w:val="21"/>
        </w:rPr>
        <w:t>=</w:t>
      </w:r>
      <w:r>
        <w:rPr>
          <w:rFonts w:hAnsi="宋体"/>
          <w:color w:val="000000"/>
          <w:spacing w:val="-6"/>
          <w:kern w:val="21"/>
          <w:szCs w:val="21"/>
        </w:rPr>
        <w:fldChar w:fldCharType="begin"/>
      </w:r>
      <w:r>
        <w:rPr>
          <w:rFonts w:hAnsi="宋体"/>
          <w:snapToGrid w:val="0"/>
          <w:color w:val="000000"/>
          <w:spacing w:val="-6"/>
          <w:kern w:val="21"/>
          <w:szCs w:val="21"/>
        </w:rPr>
        <w:instrText xml:space="preserve"> = 1 \* GB3 \* MERGEFORMAT </w:instrText>
      </w:r>
      <w:r>
        <w:rPr>
          <w:rFonts w:hAnsi="宋体"/>
          <w:color w:val="000000"/>
          <w:spacing w:val="-6"/>
          <w:kern w:val="21"/>
          <w:szCs w:val="21"/>
        </w:rPr>
        <w:fldChar w:fldCharType="separate"/>
      </w:r>
      <w:r>
        <w:rPr>
          <w:rFonts w:hAnsi="宋体"/>
          <w:szCs w:val="21"/>
        </w:rPr>
        <w:t>①</w:t>
      </w:r>
      <w:r>
        <w:rPr>
          <w:rFonts w:hAnsi="宋体"/>
          <w:color w:val="000000"/>
          <w:spacing w:val="-6"/>
          <w:kern w:val="21"/>
          <w:szCs w:val="21"/>
        </w:rPr>
        <w:fldChar w:fldCharType="end"/>
      </w:r>
      <w:r>
        <w:rPr>
          <w:rFonts w:hAnsi="宋体"/>
          <w:snapToGrid w:val="0"/>
          <w:color w:val="000000"/>
          <w:spacing w:val="-6"/>
          <w:kern w:val="21"/>
          <w:szCs w:val="21"/>
        </w:rPr>
        <w:t>+</w:t>
      </w:r>
      <w:r>
        <w:rPr>
          <w:rFonts w:hAnsi="宋体"/>
          <w:color w:val="000000"/>
          <w:spacing w:val="-6"/>
          <w:kern w:val="21"/>
          <w:szCs w:val="21"/>
        </w:rPr>
        <w:fldChar w:fldCharType="begin"/>
      </w:r>
      <w:r>
        <w:rPr>
          <w:rFonts w:hAnsi="宋体"/>
          <w:snapToGrid w:val="0"/>
          <w:color w:val="000000"/>
          <w:spacing w:val="-6"/>
          <w:kern w:val="21"/>
          <w:szCs w:val="21"/>
        </w:rPr>
        <w:instrText xml:space="preserve"> = 3 \* GB3 \* MERGEFORMAT </w:instrText>
      </w:r>
      <w:r>
        <w:rPr>
          <w:rFonts w:hAnsi="宋体"/>
          <w:color w:val="000000"/>
          <w:spacing w:val="-6"/>
          <w:kern w:val="21"/>
          <w:szCs w:val="21"/>
        </w:rPr>
        <w:fldChar w:fldCharType="separate"/>
      </w:r>
      <w:r>
        <w:rPr>
          <w:rFonts w:hAnsi="宋体"/>
          <w:szCs w:val="21"/>
        </w:rPr>
        <w:t>③</w:t>
      </w:r>
      <w:r>
        <w:rPr>
          <w:rFonts w:hAnsi="宋体"/>
          <w:color w:val="000000"/>
          <w:spacing w:val="-6"/>
          <w:kern w:val="21"/>
          <w:szCs w:val="21"/>
        </w:rPr>
        <w:fldChar w:fldCharType="end"/>
      </w:r>
      <w:r>
        <w:rPr>
          <w:rFonts w:hAnsi="宋体"/>
          <w:snapToGrid w:val="0"/>
          <w:color w:val="000000"/>
          <w:spacing w:val="-6"/>
          <w:kern w:val="21"/>
          <w:szCs w:val="21"/>
        </w:rPr>
        <w:t>+</w:t>
      </w:r>
      <w:r>
        <w:rPr>
          <w:rFonts w:hAnsi="宋体"/>
          <w:color w:val="000000"/>
          <w:spacing w:val="-6"/>
          <w:kern w:val="21"/>
          <w:szCs w:val="21"/>
        </w:rPr>
        <w:fldChar w:fldCharType="begin"/>
      </w:r>
      <w:r>
        <w:rPr>
          <w:rFonts w:hAnsi="宋体"/>
          <w:snapToGrid w:val="0"/>
          <w:color w:val="000000"/>
          <w:spacing w:val="-6"/>
          <w:kern w:val="21"/>
          <w:szCs w:val="21"/>
        </w:rPr>
        <w:instrText xml:space="preserve"> = 4 \* GB3 \* MERGEFORMAT </w:instrText>
      </w:r>
      <w:r>
        <w:rPr>
          <w:rFonts w:hAnsi="宋体"/>
          <w:color w:val="000000"/>
          <w:spacing w:val="-6"/>
          <w:kern w:val="21"/>
          <w:szCs w:val="21"/>
        </w:rPr>
        <w:fldChar w:fldCharType="separate"/>
      </w:r>
      <w:r>
        <w:rPr>
          <w:rFonts w:hAnsi="宋体"/>
          <w:szCs w:val="21"/>
        </w:rPr>
        <w:t>④</w:t>
      </w:r>
      <w:r>
        <w:rPr>
          <w:rFonts w:hAnsi="宋体"/>
          <w:color w:val="000000"/>
          <w:spacing w:val="-6"/>
          <w:kern w:val="21"/>
          <w:szCs w:val="21"/>
        </w:rPr>
        <w:fldChar w:fldCharType="end"/>
      </w:r>
      <w:r>
        <w:rPr>
          <w:rFonts w:hAnsi="宋体"/>
          <w:snapToGrid w:val="0"/>
          <w:color w:val="000000"/>
          <w:spacing w:val="-6"/>
          <w:kern w:val="21"/>
          <w:szCs w:val="21"/>
        </w:rPr>
        <w:t>-</w:t>
      </w:r>
      <w:r>
        <w:rPr>
          <w:rFonts w:hAnsi="宋体"/>
          <w:color w:val="000000"/>
          <w:spacing w:val="-16"/>
          <w:kern w:val="21"/>
          <w:szCs w:val="21"/>
        </w:rPr>
        <w:fldChar w:fldCharType="begin"/>
      </w:r>
      <w:r>
        <w:rPr>
          <w:rFonts w:hAnsi="宋体"/>
          <w:snapToGrid w:val="0"/>
          <w:color w:val="000000"/>
          <w:spacing w:val="-16"/>
          <w:kern w:val="21"/>
          <w:szCs w:val="21"/>
        </w:rPr>
        <w:instrText xml:space="preserve"> = 5 \* GB3 \* MERGEFORMAT </w:instrText>
      </w:r>
      <w:r>
        <w:rPr>
          <w:rFonts w:hAnsi="宋体"/>
          <w:color w:val="000000"/>
          <w:spacing w:val="-16"/>
          <w:kern w:val="21"/>
          <w:szCs w:val="21"/>
        </w:rPr>
        <w:fldChar w:fldCharType="separate"/>
      </w:r>
      <w:r>
        <w:rPr>
          <w:rFonts w:hAnsi="宋体"/>
          <w:szCs w:val="21"/>
        </w:rPr>
        <w:t>⑤</w:t>
      </w:r>
      <w:r>
        <w:rPr>
          <w:rFonts w:hAnsi="宋体"/>
          <w:color w:val="000000"/>
          <w:spacing w:val="-16"/>
          <w:kern w:val="21"/>
          <w:szCs w:val="21"/>
        </w:rPr>
        <w:fldChar w:fldCharType="end"/>
      </w:r>
      <w:r>
        <w:rPr>
          <w:rFonts w:hAnsi="宋体"/>
          <w:color w:val="000000"/>
          <w:spacing w:val="-16"/>
          <w:kern w:val="21"/>
          <w:szCs w:val="21"/>
        </w:rPr>
        <w:t>；⑦=⑥-①</w:t>
      </w:r>
    </w:p>
    <w:p w14:paraId="5B73E619">
      <w:pPr>
        <w:rPr>
          <w:rFonts w:hint="eastAsia" w:ascii="宋体" w:hAnsi="宋体"/>
          <w:b/>
          <w:bCs/>
          <w:sz w:val="28"/>
          <w:szCs w:val="28"/>
        </w:rPr>
      </w:pPr>
      <w:r>
        <w:rPr>
          <w:rFonts w:hint="eastAsia" w:ascii="宋体" w:hAnsi="宋体"/>
          <w:b/>
          <w:bCs/>
          <w:sz w:val="28"/>
          <w:szCs w:val="28"/>
        </w:rPr>
        <w:t>附件1：委托书</w:t>
      </w:r>
    </w:p>
    <w:p w14:paraId="084F2820">
      <w:pPr>
        <w:jc w:val="center"/>
        <w:rPr>
          <w:rFonts w:hint="eastAsia" w:ascii="宋体" w:hAnsi="宋体"/>
          <w:b/>
          <w:bCs/>
          <w:sz w:val="44"/>
          <w:szCs w:val="44"/>
        </w:rPr>
      </w:pPr>
    </w:p>
    <w:p w14:paraId="5FC2FB56">
      <w:pPr>
        <w:jc w:val="center"/>
        <w:rPr>
          <w:rFonts w:hint="eastAsia" w:ascii="宋体" w:hAnsi="宋体"/>
          <w:b/>
          <w:bCs/>
          <w:sz w:val="44"/>
          <w:szCs w:val="44"/>
        </w:rPr>
      </w:pPr>
    </w:p>
    <w:p w14:paraId="5630F66C">
      <w:pPr>
        <w:jc w:val="center"/>
        <w:rPr>
          <w:rFonts w:hint="eastAsia" w:ascii="宋体" w:hAnsi="宋体"/>
          <w:b/>
          <w:bCs/>
          <w:sz w:val="44"/>
          <w:szCs w:val="44"/>
        </w:rPr>
      </w:pPr>
      <w:r>
        <w:rPr>
          <w:rFonts w:hint="eastAsia" w:ascii="宋体" w:hAnsi="宋体"/>
          <w:b/>
          <w:bCs/>
          <w:sz w:val="44"/>
          <w:szCs w:val="44"/>
        </w:rPr>
        <w:t>建设项目环境影响评价</w:t>
      </w:r>
    </w:p>
    <w:p w14:paraId="2F6A6175">
      <w:pPr>
        <w:jc w:val="center"/>
        <w:rPr>
          <w:rFonts w:hint="eastAsia" w:ascii="宋体" w:hAnsi="宋体"/>
          <w:kern w:val="11"/>
          <w:sz w:val="44"/>
          <w:szCs w:val="44"/>
        </w:rPr>
      </w:pPr>
      <w:r>
        <w:rPr>
          <w:rFonts w:hint="eastAsia" w:ascii="宋体" w:hAnsi="宋体"/>
          <w:b/>
          <w:bCs/>
          <w:kern w:val="11"/>
          <w:sz w:val="44"/>
          <w:szCs w:val="44"/>
        </w:rPr>
        <w:t>委  托  书</w:t>
      </w:r>
    </w:p>
    <w:p w14:paraId="1F297F47">
      <w:pPr>
        <w:ind w:firstLine="3360" w:firstLineChars="1200"/>
        <w:rPr>
          <w:sz w:val="28"/>
          <w:szCs w:val="28"/>
        </w:rPr>
      </w:pPr>
    </w:p>
    <w:p w14:paraId="16047BFF">
      <w:pPr>
        <w:rPr>
          <w:color w:val="FF0000"/>
          <w:sz w:val="28"/>
          <w:szCs w:val="28"/>
        </w:rPr>
      </w:pPr>
      <w:r>
        <w:rPr>
          <w:rFonts w:hint="eastAsia"/>
          <w:sz w:val="28"/>
          <w:szCs w:val="28"/>
        </w:rPr>
        <w:t>甘肃宜尚工程技术咨询有限公司：</w:t>
      </w:r>
    </w:p>
    <w:p w14:paraId="451597C4">
      <w:pPr>
        <w:overflowPunct w:val="0"/>
        <w:spacing w:line="360" w:lineRule="auto"/>
        <w:ind w:firstLine="480"/>
        <w:rPr>
          <w:sz w:val="28"/>
          <w:szCs w:val="28"/>
        </w:rPr>
      </w:pPr>
      <w:r>
        <w:rPr>
          <w:rFonts w:hint="eastAsia"/>
          <w:sz w:val="28"/>
          <w:szCs w:val="28"/>
        </w:rPr>
        <w:t>根据《中华人民共和国环境保护法》、《中华人民共和国环境影响评价法》、《建设项目环境保护管理条例》（国务院</w:t>
      </w:r>
      <w:r>
        <w:rPr>
          <w:rFonts w:hint="eastAsia" w:ascii="Times New Roman" w:hAnsi="Times New Roman" w:eastAsia="宋体" w:cs="Times New Roman"/>
          <w:sz w:val="28"/>
          <w:szCs w:val="28"/>
        </w:rPr>
        <w:t>令第682号</w:t>
      </w:r>
      <w:r>
        <w:rPr>
          <w:rFonts w:hint="eastAsia"/>
          <w:sz w:val="28"/>
          <w:szCs w:val="28"/>
        </w:rPr>
        <w:t>）的有关规定，委托贵公司对我单位</w:t>
      </w:r>
      <w:r>
        <w:rPr>
          <w:rFonts w:hint="eastAsia"/>
          <w:b/>
          <w:bCs/>
          <w:sz w:val="28"/>
          <w:szCs w:val="28"/>
          <w:u w:val="single"/>
        </w:rPr>
        <w:t xml:space="preserve"> 甘肃聚联新型材料有限公司凹凸棒石基新型低碳功能性建筑材料综合开发项目</w:t>
      </w:r>
      <w:r>
        <w:rPr>
          <w:rFonts w:hint="eastAsia"/>
          <w:b/>
          <w:bCs/>
          <w:sz w:val="28"/>
          <w:szCs w:val="28"/>
          <w:u w:val="single"/>
          <w:lang w:eastAsia="zh-CN"/>
        </w:rPr>
        <w:t>（</w:t>
      </w:r>
      <w:r>
        <w:rPr>
          <w:rFonts w:hint="eastAsia"/>
          <w:b/>
          <w:bCs/>
          <w:sz w:val="28"/>
          <w:szCs w:val="28"/>
          <w:u w:val="single"/>
          <w:lang w:val="en-US" w:eastAsia="zh-CN"/>
        </w:rPr>
        <w:t>一期工程</w:t>
      </w:r>
      <w:r>
        <w:rPr>
          <w:rFonts w:hint="eastAsia"/>
          <w:b/>
          <w:bCs/>
          <w:sz w:val="28"/>
          <w:szCs w:val="28"/>
          <w:u w:val="single"/>
          <w:lang w:eastAsia="zh-CN"/>
        </w:rPr>
        <w:t>）</w:t>
      </w:r>
      <w:r>
        <w:rPr>
          <w:rFonts w:hint="eastAsia"/>
          <w:b/>
          <w:bCs/>
          <w:sz w:val="28"/>
          <w:szCs w:val="28"/>
          <w:u w:val="single"/>
        </w:rPr>
        <w:t xml:space="preserve"> </w:t>
      </w:r>
      <w:r>
        <w:rPr>
          <w:rFonts w:hint="eastAsia"/>
          <w:sz w:val="28"/>
          <w:szCs w:val="28"/>
        </w:rPr>
        <w:t>进行环境影响评价工作，请按国家有关环境影响评价技术规范、相关法律法规和要求，编制环境影响评价报告。</w:t>
      </w:r>
    </w:p>
    <w:p w14:paraId="686C0188">
      <w:pPr>
        <w:ind w:firstLine="560" w:firstLineChars="200"/>
        <w:rPr>
          <w:sz w:val="28"/>
          <w:szCs w:val="28"/>
        </w:rPr>
      </w:pPr>
    </w:p>
    <w:p w14:paraId="1283BB9D">
      <w:pPr>
        <w:ind w:firstLine="560" w:firstLineChars="200"/>
        <w:rPr>
          <w:sz w:val="28"/>
          <w:szCs w:val="28"/>
        </w:rPr>
      </w:pPr>
    </w:p>
    <w:p w14:paraId="62C13D84">
      <w:pPr>
        <w:ind w:firstLine="560" w:firstLineChars="200"/>
        <w:rPr>
          <w:sz w:val="28"/>
          <w:szCs w:val="28"/>
        </w:rPr>
      </w:pPr>
      <w:r>
        <w:rPr>
          <w:rFonts w:hint="eastAsia"/>
          <w:sz w:val="28"/>
          <w:szCs w:val="28"/>
        </w:rPr>
        <w:t xml:space="preserve"> </w:t>
      </w:r>
    </w:p>
    <w:p w14:paraId="2A61D5BC">
      <w:pPr>
        <w:ind w:firstLine="560" w:firstLineChars="200"/>
        <w:rPr>
          <w:sz w:val="28"/>
          <w:szCs w:val="28"/>
        </w:rPr>
      </w:pPr>
    </w:p>
    <w:p w14:paraId="06514C8A">
      <w:pPr>
        <w:rPr>
          <w:sz w:val="28"/>
          <w:szCs w:val="28"/>
        </w:rPr>
      </w:pPr>
      <w:r>
        <w:rPr>
          <w:rFonts w:hint="eastAsia"/>
          <w:sz w:val="28"/>
          <w:szCs w:val="28"/>
        </w:rPr>
        <w:t xml:space="preserve">                              委托单位（盖章）：</w:t>
      </w:r>
    </w:p>
    <w:p w14:paraId="1B5B872C"/>
    <w:p w14:paraId="215D5F74"/>
    <w:p w14:paraId="1623AF06"/>
    <w:p w14:paraId="71FE3066"/>
    <w:p w14:paraId="3F93B43D"/>
    <w:p w14:paraId="20765351"/>
    <w:p w14:paraId="76670504"/>
    <w:p w14:paraId="69386C4D">
      <w:pPr>
        <w:rPr>
          <w:rFonts w:hint="eastAsia" w:ascii="宋体" w:hAnsi="宋体"/>
          <w:b/>
          <w:bCs/>
          <w:sz w:val="28"/>
          <w:szCs w:val="28"/>
        </w:rPr>
      </w:pPr>
    </w:p>
    <w:p w14:paraId="349FBDEF">
      <w:pPr>
        <w:rPr>
          <w:rFonts w:hint="eastAsia" w:ascii="宋体" w:hAnsi="宋体"/>
          <w:b/>
          <w:bCs/>
          <w:sz w:val="28"/>
          <w:szCs w:val="28"/>
        </w:rPr>
      </w:pPr>
      <w:r>
        <w:rPr>
          <w:rFonts w:hint="eastAsia" w:ascii="宋体" w:hAnsi="宋体"/>
          <w:b/>
          <w:bCs/>
          <w:sz w:val="28"/>
          <w:szCs w:val="28"/>
        </w:rPr>
        <w:t>附件2：备案文件</w:t>
      </w:r>
    </w:p>
    <w:p w14:paraId="6F464C3E">
      <w:pPr>
        <w:pStyle w:val="2"/>
        <w:rPr>
          <w:rFonts w:ascii="宋体" w:hAnsi="宋体"/>
          <w:b/>
          <w:sz w:val="28"/>
          <w:szCs w:val="28"/>
        </w:rPr>
      </w:pPr>
      <w:r>
        <w:drawing>
          <wp:inline distT="0" distB="0" distL="114300" distR="114300">
            <wp:extent cx="5614035" cy="3967480"/>
            <wp:effectExtent l="0" t="0" r="24765" b="2032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39"/>
                    <a:stretch>
                      <a:fillRect/>
                    </a:stretch>
                  </pic:blipFill>
                  <pic:spPr>
                    <a:xfrm>
                      <a:off x="0" y="0"/>
                      <a:ext cx="5614035" cy="3967480"/>
                    </a:xfrm>
                    <a:prstGeom prst="rect">
                      <a:avLst/>
                    </a:prstGeom>
                    <a:noFill/>
                    <a:ln>
                      <a:noFill/>
                    </a:ln>
                  </pic:spPr>
                </pic:pic>
              </a:graphicData>
            </a:graphic>
          </wp:inline>
        </w:drawing>
      </w:r>
    </w:p>
    <w:p w14:paraId="76E7DF3B"/>
    <w:p w14:paraId="386BCC40">
      <w:pPr>
        <w:pStyle w:val="2"/>
        <w:jc w:val="both"/>
      </w:pPr>
    </w:p>
    <w:p w14:paraId="1A8789CB"/>
    <w:p w14:paraId="5CBE02B7">
      <w:pPr>
        <w:pStyle w:val="39"/>
        <w:rPr>
          <w:rFonts w:hint="default"/>
        </w:rPr>
      </w:pPr>
    </w:p>
    <w:p w14:paraId="007B1BBF"/>
    <w:p w14:paraId="0DE42C22">
      <w:pPr>
        <w:pStyle w:val="39"/>
        <w:rPr>
          <w:rFonts w:hint="default"/>
        </w:rPr>
      </w:pPr>
    </w:p>
    <w:p w14:paraId="057DBB3F"/>
    <w:p w14:paraId="438502EA">
      <w:pPr>
        <w:pStyle w:val="39"/>
        <w:rPr>
          <w:rFonts w:hint="default"/>
        </w:rPr>
      </w:pPr>
    </w:p>
    <w:p w14:paraId="60CDB4D8"/>
    <w:p w14:paraId="4E9F9EEE">
      <w:pPr>
        <w:pStyle w:val="39"/>
        <w:rPr>
          <w:rFonts w:hint="default"/>
        </w:rPr>
      </w:pPr>
    </w:p>
    <w:p w14:paraId="5CA0EFD8"/>
    <w:p w14:paraId="251E1414">
      <w:pPr>
        <w:pStyle w:val="39"/>
        <w:rPr>
          <w:rFonts w:hint="default"/>
        </w:rPr>
      </w:pPr>
    </w:p>
    <w:p w14:paraId="0DF4F83E"/>
    <w:p w14:paraId="09E4261D">
      <w:pPr>
        <w:pStyle w:val="39"/>
        <w:rPr>
          <w:rFonts w:hint="default"/>
        </w:rPr>
      </w:pPr>
    </w:p>
    <w:p w14:paraId="1096D3DF">
      <w:pPr>
        <w:wordWrap w:val="0"/>
        <w:topLinePunct/>
        <w:rPr>
          <w:rFonts w:hint="eastAsia" w:ascii="宋体" w:hAnsi="宋体" w:eastAsia="宋体" w:cs="宋体"/>
          <w:b/>
          <w:bCs/>
          <w:sz w:val="28"/>
          <w:szCs w:val="28"/>
        </w:rPr>
      </w:pPr>
      <w:r>
        <w:rPr>
          <w:rFonts w:hint="eastAsia" w:ascii="宋体" w:hAnsi="宋体"/>
          <w:b/>
          <w:bCs/>
          <w:sz w:val="28"/>
          <w:szCs w:val="28"/>
        </w:rPr>
        <w:t>附件3：</w:t>
      </w:r>
      <w:r>
        <w:rPr>
          <w:rFonts w:hint="eastAsia" w:ascii="宋体" w:hAnsi="宋体" w:eastAsia="宋体" w:cs="宋体"/>
          <w:b/>
          <w:bCs/>
          <w:sz w:val="28"/>
          <w:szCs w:val="28"/>
        </w:rPr>
        <w:t>张掖市人民政府关于临泽工业园区(产业功能区) 发展规划（2022-2035年）的批复</w:t>
      </w:r>
    </w:p>
    <w:p w14:paraId="054AC15F">
      <w:pPr>
        <w:pStyle w:val="2"/>
        <w:jc w:val="center"/>
      </w:pPr>
      <w:r>
        <w:rPr>
          <w:rFonts w:hint="eastAsia"/>
        </w:rPr>
        <w:drawing>
          <wp:inline distT="0" distB="0" distL="114300" distR="114300">
            <wp:extent cx="5067935" cy="7167245"/>
            <wp:effectExtent l="0" t="0" r="6985" b="10795"/>
            <wp:docPr id="4" name="图片 4" descr="1_张掖市人民政府关于临泽工业园区(产业功能区)发展规划（2022-2035年）的批复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_张掖市人民政府关于临泽工业园区(产业功能区)发展规划（2022-2035年）的批复_01"/>
                    <pic:cNvPicPr>
                      <a:picLocks noChangeAspect="1"/>
                    </pic:cNvPicPr>
                  </pic:nvPicPr>
                  <pic:blipFill>
                    <a:blip r:embed="rId40"/>
                    <a:stretch>
                      <a:fillRect/>
                    </a:stretch>
                  </pic:blipFill>
                  <pic:spPr>
                    <a:xfrm>
                      <a:off x="0" y="0"/>
                      <a:ext cx="5067935" cy="7167245"/>
                    </a:xfrm>
                    <a:prstGeom prst="rect">
                      <a:avLst/>
                    </a:prstGeom>
                  </pic:spPr>
                </pic:pic>
              </a:graphicData>
            </a:graphic>
          </wp:inline>
        </w:drawing>
      </w:r>
    </w:p>
    <w:p w14:paraId="1FE90532">
      <w:pPr>
        <w:wordWrap w:val="0"/>
        <w:topLinePunct/>
        <w:rPr>
          <w:rFonts w:hint="eastAsia" w:ascii="宋体" w:hAnsi="宋体"/>
          <w:b/>
          <w:bCs/>
          <w:sz w:val="28"/>
          <w:szCs w:val="28"/>
        </w:rPr>
      </w:pPr>
    </w:p>
    <w:p w14:paraId="49792508">
      <w:r>
        <w:rPr>
          <w:rFonts w:hint="eastAsia"/>
        </w:rPr>
        <w:drawing>
          <wp:inline distT="0" distB="0" distL="114300" distR="114300">
            <wp:extent cx="5594985" cy="7912735"/>
            <wp:effectExtent l="0" t="0" r="13335" b="12065"/>
            <wp:docPr id="6" name="图片 6" descr="1_张掖市人民政府关于临泽工业园区(产业功能区)发展规划（2022-2035年）的批复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_张掖市人民政府关于临泽工业园区(产业功能区)发展规划（2022-2035年）的批复_02"/>
                    <pic:cNvPicPr>
                      <a:picLocks noChangeAspect="1"/>
                    </pic:cNvPicPr>
                  </pic:nvPicPr>
                  <pic:blipFill>
                    <a:blip r:embed="rId41"/>
                    <a:stretch>
                      <a:fillRect/>
                    </a:stretch>
                  </pic:blipFill>
                  <pic:spPr>
                    <a:xfrm>
                      <a:off x="0" y="0"/>
                      <a:ext cx="5594985" cy="7912735"/>
                    </a:xfrm>
                    <a:prstGeom prst="rect">
                      <a:avLst/>
                    </a:prstGeom>
                  </pic:spPr>
                </pic:pic>
              </a:graphicData>
            </a:graphic>
          </wp:inline>
        </w:drawing>
      </w:r>
    </w:p>
    <w:p w14:paraId="478E83E4">
      <w:pPr>
        <w:pStyle w:val="39"/>
        <w:ind w:firstLine="0" w:firstLineChars="0"/>
        <w:rPr>
          <w:rFonts w:hint="default"/>
        </w:rPr>
      </w:pPr>
    </w:p>
    <w:p w14:paraId="41668F74">
      <w:pPr>
        <w:pStyle w:val="39"/>
        <w:ind w:firstLine="0" w:firstLineChars="0"/>
        <w:rPr>
          <w:rFonts w:hint="default"/>
        </w:rPr>
      </w:pPr>
    </w:p>
    <w:p w14:paraId="169A35E0">
      <w:pPr>
        <w:wordWrap w:val="0"/>
        <w:topLinePunct/>
      </w:pPr>
      <w:r>
        <w:rPr>
          <w:rFonts w:hint="eastAsia" w:ascii="宋体" w:hAnsi="宋体"/>
          <w:b/>
          <w:bCs/>
          <w:sz w:val="28"/>
          <w:szCs w:val="28"/>
        </w:rPr>
        <w:t>附件4：张掖市生态环境局关于临泽工业园区(产业功能区)发展规划(2022-2035)环境影响报告书的审查意见</w:t>
      </w:r>
    </w:p>
    <w:p w14:paraId="351198F5">
      <w:pPr>
        <w:jc w:val="center"/>
      </w:pPr>
      <w:r>
        <w:rPr>
          <w:rFonts w:hint="eastAsia"/>
        </w:rPr>
        <w:drawing>
          <wp:inline distT="0" distB="0" distL="114300" distR="114300">
            <wp:extent cx="5268595" cy="7449820"/>
            <wp:effectExtent l="0" t="0" r="4445" b="2540"/>
            <wp:docPr id="14" name="图片 14" descr="张掖市生态环境局关于临泽工业园区(产业功能区)发展规划（2022-2035）环境影响报告书的审查意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张掖市生态环境局关于临泽工业园区(产业功能区)发展规划（2022-2035）环境影响报告书的审查意见_01"/>
                    <pic:cNvPicPr>
                      <a:picLocks noChangeAspect="1"/>
                    </pic:cNvPicPr>
                  </pic:nvPicPr>
                  <pic:blipFill>
                    <a:blip r:embed="rId42"/>
                    <a:stretch>
                      <a:fillRect/>
                    </a:stretch>
                  </pic:blipFill>
                  <pic:spPr>
                    <a:xfrm>
                      <a:off x="0" y="0"/>
                      <a:ext cx="5268595" cy="7449820"/>
                    </a:xfrm>
                    <a:prstGeom prst="rect">
                      <a:avLst/>
                    </a:prstGeom>
                  </pic:spPr>
                </pic:pic>
              </a:graphicData>
            </a:graphic>
          </wp:inline>
        </w:drawing>
      </w:r>
    </w:p>
    <w:p w14:paraId="7F25CCE3">
      <w:pPr>
        <w:rPr>
          <w:rFonts w:hint="eastAsia" w:ascii="宋体" w:hAnsi="宋体"/>
          <w:b/>
          <w:bCs/>
          <w:sz w:val="28"/>
          <w:szCs w:val="28"/>
        </w:rPr>
      </w:pPr>
      <w:r>
        <w:rPr>
          <w:rFonts w:hint="eastAsia" w:ascii="宋体" w:hAnsi="宋体"/>
          <w:b/>
          <w:bCs/>
          <w:sz w:val="28"/>
          <w:szCs w:val="28"/>
        </w:rPr>
        <w:drawing>
          <wp:inline distT="0" distB="0" distL="114300" distR="114300">
            <wp:extent cx="5593715" cy="7909560"/>
            <wp:effectExtent l="0" t="0" r="14605" b="0"/>
            <wp:docPr id="21" name="图片 21" descr="张掖市生态环境局关于临泽工业园区(产业功能区)发展规划（2022-2035）环境影响报告书的审查意见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张掖市生态环境局关于临泽工业园区(产业功能区)发展规划（2022-2035）环境影响报告书的审查意见_02"/>
                    <pic:cNvPicPr>
                      <a:picLocks noChangeAspect="1"/>
                    </pic:cNvPicPr>
                  </pic:nvPicPr>
                  <pic:blipFill>
                    <a:blip r:embed="rId43"/>
                    <a:stretch>
                      <a:fillRect/>
                    </a:stretch>
                  </pic:blipFill>
                  <pic:spPr>
                    <a:xfrm>
                      <a:off x="0" y="0"/>
                      <a:ext cx="5593715" cy="7909560"/>
                    </a:xfrm>
                    <a:prstGeom prst="rect">
                      <a:avLst/>
                    </a:prstGeom>
                  </pic:spPr>
                </pic:pic>
              </a:graphicData>
            </a:graphic>
          </wp:inline>
        </w:drawing>
      </w:r>
    </w:p>
    <w:p w14:paraId="68321128">
      <w:pPr>
        <w:rPr>
          <w:rFonts w:hint="eastAsia" w:ascii="宋体" w:hAnsi="宋体"/>
          <w:b/>
          <w:bCs/>
          <w:sz w:val="28"/>
          <w:szCs w:val="28"/>
        </w:rPr>
      </w:pPr>
    </w:p>
    <w:p w14:paraId="63C90C90">
      <w:pPr>
        <w:rPr>
          <w:rFonts w:hint="eastAsia" w:ascii="宋体" w:hAnsi="宋体"/>
          <w:b/>
          <w:bCs/>
          <w:sz w:val="28"/>
          <w:szCs w:val="28"/>
        </w:rPr>
      </w:pPr>
      <w:r>
        <w:rPr>
          <w:rFonts w:hint="eastAsia" w:ascii="宋体" w:hAnsi="宋体"/>
          <w:b/>
          <w:bCs/>
          <w:sz w:val="28"/>
          <w:szCs w:val="28"/>
        </w:rPr>
        <w:drawing>
          <wp:inline distT="0" distB="0" distL="114300" distR="114300">
            <wp:extent cx="5593715" cy="7909560"/>
            <wp:effectExtent l="0" t="0" r="14605" b="0"/>
            <wp:docPr id="22" name="图片 22" descr="张掖市生态环境局关于临泽工业园区(产业功能区)发展规划（2022-2035）环境影响报告书的审查意见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张掖市生态环境局关于临泽工业园区(产业功能区)发展规划（2022-2035）环境影响报告书的审查意见_03"/>
                    <pic:cNvPicPr>
                      <a:picLocks noChangeAspect="1"/>
                    </pic:cNvPicPr>
                  </pic:nvPicPr>
                  <pic:blipFill>
                    <a:blip r:embed="rId44"/>
                    <a:stretch>
                      <a:fillRect/>
                    </a:stretch>
                  </pic:blipFill>
                  <pic:spPr>
                    <a:xfrm>
                      <a:off x="0" y="0"/>
                      <a:ext cx="5593715" cy="7909560"/>
                    </a:xfrm>
                    <a:prstGeom prst="rect">
                      <a:avLst/>
                    </a:prstGeom>
                  </pic:spPr>
                </pic:pic>
              </a:graphicData>
            </a:graphic>
          </wp:inline>
        </w:drawing>
      </w:r>
    </w:p>
    <w:p w14:paraId="32F3D2C5">
      <w:pPr>
        <w:rPr>
          <w:rFonts w:hint="eastAsia" w:ascii="宋体" w:hAnsi="宋体"/>
          <w:b/>
          <w:bCs/>
          <w:sz w:val="28"/>
          <w:szCs w:val="28"/>
        </w:rPr>
      </w:pPr>
    </w:p>
    <w:p w14:paraId="4EE99CF7">
      <w:pPr>
        <w:rPr>
          <w:rFonts w:hint="eastAsia" w:ascii="宋体" w:hAnsi="宋体"/>
          <w:b/>
          <w:bCs/>
          <w:sz w:val="28"/>
          <w:szCs w:val="28"/>
        </w:rPr>
      </w:pPr>
      <w:r>
        <w:rPr>
          <w:rFonts w:hint="eastAsia" w:ascii="宋体" w:hAnsi="宋体"/>
          <w:b/>
          <w:bCs/>
          <w:sz w:val="28"/>
          <w:szCs w:val="28"/>
        </w:rPr>
        <w:drawing>
          <wp:inline distT="0" distB="0" distL="114300" distR="114300">
            <wp:extent cx="5593715" cy="7909560"/>
            <wp:effectExtent l="0" t="0" r="14605" b="0"/>
            <wp:docPr id="26" name="图片 26" descr="张掖市生态环境局关于临泽工业园区(产业功能区)发展规划（2022-2035）环境影响报告书的审查意见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张掖市生态环境局关于临泽工业园区(产业功能区)发展规划（2022-2035）环境影响报告书的审查意见_04"/>
                    <pic:cNvPicPr>
                      <a:picLocks noChangeAspect="1"/>
                    </pic:cNvPicPr>
                  </pic:nvPicPr>
                  <pic:blipFill>
                    <a:blip r:embed="rId45"/>
                    <a:stretch>
                      <a:fillRect/>
                    </a:stretch>
                  </pic:blipFill>
                  <pic:spPr>
                    <a:xfrm>
                      <a:off x="0" y="0"/>
                      <a:ext cx="5593715" cy="7909560"/>
                    </a:xfrm>
                    <a:prstGeom prst="rect">
                      <a:avLst/>
                    </a:prstGeom>
                  </pic:spPr>
                </pic:pic>
              </a:graphicData>
            </a:graphic>
          </wp:inline>
        </w:drawing>
      </w:r>
    </w:p>
    <w:p w14:paraId="7337A1EB">
      <w:pPr>
        <w:rPr>
          <w:rFonts w:hint="eastAsia" w:ascii="宋体" w:hAnsi="宋体"/>
          <w:b/>
          <w:bCs/>
          <w:sz w:val="28"/>
          <w:szCs w:val="28"/>
        </w:rPr>
      </w:pPr>
    </w:p>
    <w:p w14:paraId="384BADAE">
      <w:pPr>
        <w:rPr>
          <w:rFonts w:hint="eastAsia" w:ascii="宋体" w:hAnsi="宋体"/>
          <w:b/>
          <w:bCs/>
          <w:sz w:val="28"/>
          <w:szCs w:val="28"/>
        </w:rPr>
      </w:pPr>
      <w:r>
        <w:rPr>
          <w:rFonts w:hint="eastAsia" w:ascii="宋体" w:hAnsi="宋体"/>
          <w:b/>
          <w:bCs/>
          <w:sz w:val="28"/>
          <w:szCs w:val="28"/>
        </w:rPr>
        <w:drawing>
          <wp:inline distT="0" distB="0" distL="114300" distR="114300">
            <wp:extent cx="5593715" cy="7909560"/>
            <wp:effectExtent l="0" t="0" r="14605" b="0"/>
            <wp:docPr id="28" name="图片 28" descr="张掖市生态环境局关于临泽工业园区(产业功能区)发展规划（2022-2035）环境影响报告书的审查意见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张掖市生态环境局关于临泽工业园区(产业功能区)发展规划（2022-2035）环境影响报告书的审查意见_05"/>
                    <pic:cNvPicPr>
                      <a:picLocks noChangeAspect="1"/>
                    </pic:cNvPicPr>
                  </pic:nvPicPr>
                  <pic:blipFill>
                    <a:blip r:embed="rId46"/>
                    <a:stretch>
                      <a:fillRect/>
                    </a:stretch>
                  </pic:blipFill>
                  <pic:spPr>
                    <a:xfrm>
                      <a:off x="0" y="0"/>
                      <a:ext cx="5593715" cy="7909560"/>
                    </a:xfrm>
                    <a:prstGeom prst="rect">
                      <a:avLst/>
                    </a:prstGeom>
                  </pic:spPr>
                </pic:pic>
              </a:graphicData>
            </a:graphic>
          </wp:inline>
        </w:drawing>
      </w:r>
    </w:p>
    <w:p w14:paraId="4A52C90C">
      <w:pPr>
        <w:rPr>
          <w:rFonts w:hint="eastAsia" w:ascii="宋体" w:hAnsi="宋体"/>
          <w:b/>
          <w:bCs/>
          <w:sz w:val="28"/>
          <w:szCs w:val="28"/>
        </w:rPr>
      </w:pPr>
    </w:p>
    <w:p w14:paraId="64F7AD38">
      <w:pPr>
        <w:rPr>
          <w:rFonts w:hint="eastAsia" w:ascii="宋体" w:hAnsi="宋体"/>
          <w:b/>
          <w:bCs/>
          <w:sz w:val="28"/>
          <w:szCs w:val="28"/>
        </w:rPr>
      </w:pPr>
      <w:r>
        <w:rPr>
          <w:rFonts w:hint="eastAsia" w:ascii="宋体" w:hAnsi="宋体"/>
          <w:b/>
          <w:bCs/>
          <w:sz w:val="28"/>
          <w:szCs w:val="28"/>
        </w:rPr>
        <w:drawing>
          <wp:inline distT="0" distB="0" distL="114300" distR="114300">
            <wp:extent cx="5593715" cy="7909560"/>
            <wp:effectExtent l="0" t="0" r="14605" b="0"/>
            <wp:docPr id="29" name="图片 29" descr="张掖市生态环境局关于临泽工业园区(产业功能区)发展规划（2022-2035）环境影响报告书的审查意见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张掖市生态环境局关于临泽工业园区(产业功能区)发展规划（2022-2035）环境影响报告书的审查意见_06"/>
                    <pic:cNvPicPr>
                      <a:picLocks noChangeAspect="1"/>
                    </pic:cNvPicPr>
                  </pic:nvPicPr>
                  <pic:blipFill>
                    <a:blip r:embed="rId47"/>
                    <a:stretch>
                      <a:fillRect/>
                    </a:stretch>
                  </pic:blipFill>
                  <pic:spPr>
                    <a:xfrm>
                      <a:off x="0" y="0"/>
                      <a:ext cx="5593715" cy="7909560"/>
                    </a:xfrm>
                    <a:prstGeom prst="rect">
                      <a:avLst/>
                    </a:prstGeom>
                  </pic:spPr>
                </pic:pic>
              </a:graphicData>
            </a:graphic>
          </wp:inline>
        </w:drawing>
      </w:r>
    </w:p>
    <w:p w14:paraId="0CBD31B6">
      <w:pPr>
        <w:rPr>
          <w:rFonts w:hint="eastAsia" w:ascii="宋体" w:hAnsi="宋体"/>
          <w:b/>
          <w:bCs/>
          <w:sz w:val="28"/>
          <w:szCs w:val="28"/>
        </w:rPr>
      </w:pPr>
    </w:p>
    <w:p w14:paraId="5128C9F7">
      <w:pPr>
        <w:rPr>
          <w:rFonts w:hint="eastAsia" w:ascii="宋体" w:hAnsi="宋体"/>
          <w:b/>
          <w:bCs/>
          <w:sz w:val="28"/>
          <w:szCs w:val="28"/>
        </w:rPr>
      </w:pPr>
      <w:r>
        <w:rPr>
          <w:rFonts w:hint="eastAsia" w:ascii="宋体" w:hAnsi="宋体"/>
          <w:b/>
          <w:bCs/>
          <w:sz w:val="28"/>
          <w:szCs w:val="28"/>
        </w:rPr>
        <w:drawing>
          <wp:inline distT="0" distB="0" distL="114300" distR="114300">
            <wp:extent cx="5593715" cy="7909560"/>
            <wp:effectExtent l="0" t="0" r="14605" b="0"/>
            <wp:docPr id="31" name="图片 31" descr="张掖市生态环境局关于临泽工业园区(产业功能区)发展规划（2022-2035）环境影响报告书的审查意见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张掖市生态环境局关于临泽工业园区(产业功能区)发展规划（2022-2035）环境影响报告书的审查意见_07"/>
                    <pic:cNvPicPr>
                      <a:picLocks noChangeAspect="1"/>
                    </pic:cNvPicPr>
                  </pic:nvPicPr>
                  <pic:blipFill>
                    <a:blip r:embed="rId48"/>
                    <a:stretch>
                      <a:fillRect/>
                    </a:stretch>
                  </pic:blipFill>
                  <pic:spPr>
                    <a:xfrm>
                      <a:off x="0" y="0"/>
                      <a:ext cx="5593715" cy="7909560"/>
                    </a:xfrm>
                    <a:prstGeom prst="rect">
                      <a:avLst/>
                    </a:prstGeom>
                  </pic:spPr>
                </pic:pic>
              </a:graphicData>
            </a:graphic>
          </wp:inline>
        </w:drawing>
      </w:r>
    </w:p>
    <w:p w14:paraId="24D8E113">
      <w:pPr>
        <w:rPr>
          <w:rFonts w:hint="eastAsia" w:ascii="宋体" w:hAnsi="宋体"/>
          <w:b/>
          <w:bCs/>
          <w:sz w:val="28"/>
          <w:szCs w:val="28"/>
        </w:rPr>
      </w:pPr>
    </w:p>
    <w:p w14:paraId="2F3F4F4C">
      <w:r>
        <w:rPr>
          <w:rFonts w:hint="eastAsia" w:ascii="宋体" w:hAnsi="宋体"/>
          <w:b/>
          <w:bCs/>
          <w:sz w:val="28"/>
          <w:szCs w:val="28"/>
        </w:rPr>
        <w:t>附件5：租赁协议</w:t>
      </w:r>
    </w:p>
    <w:p w14:paraId="2AD1F5B2">
      <w:pPr>
        <w:rPr>
          <w:rFonts w:hint="eastAsia" w:ascii="宋体" w:hAnsi="宋体"/>
          <w:b/>
          <w:bCs/>
          <w:sz w:val="28"/>
          <w:szCs w:val="28"/>
        </w:rPr>
      </w:pPr>
      <w:r>
        <w:rPr>
          <w:rFonts w:hint="eastAsia" w:ascii="宋体" w:hAnsi="宋体"/>
          <w:b/>
          <w:bCs/>
          <w:sz w:val="28"/>
          <w:szCs w:val="28"/>
        </w:rPr>
        <w:drawing>
          <wp:inline distT="0" distB="0" distL="114300" distR="114300">
            <wp:extent cx="5594985" cy="7912735"/>
            <wp:effectExtent l="0" t="0" r="13335" b="12065"/>
            <wp:docPr id="39" name="图片 39" descr="土地租赁协议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土地租赁协议_01"/>
                    <pic:cNvPicPr>
                      <a:picLocks noChangeAspect="1"/>
                    </pic:cNvPicPr>
                  </pic:nvPicPr>
                  <pic:blipFill>
                    <a:blip r:embed="rId49"/>
                    <a:stretch>
                      <a:fillRect/>
                    </a:stretch>
                  </pic:blipFill>
                  <pic:spPr>
                    <a:xfrm>
                      <a:off x="0" y="0"/>
                      <a:ext cx="5594985" cy="7912735"/>
                    </a:xfrm>
                    <a:prstGeom prst="rect">
                      <a:avLst/>
                    </a:prstGeom>
                  </pic:spPr>
                </pic:pic>
              </a:graphicData>
            </a:graphic>
          </wp:inline>
        </w:drawing>
      </w:r>
    </w:p>
    <w:p w14:paraId="53CB7465">
      <w:pPr>
        <w:rPr>
          <w:rFonts w:hint="eastAsia" w:ascii="宋体" w:hAnsi="宋体"/>
          <w:b/>
          <w:bCs/>
          <w:sz w:val="28"/>
          <w:szCs w:val="28"/>
        </w:rPr>
      </w:pPr>
      <w:r>
        <w:rPr>
          <w:rFonts w:hint="eastAsia" w:ascii="宋体" w:hAnsi="宋体"/>
          <w:b/>
          <w:bCs/>
          <w:sz w:val="28"/>
          <w:szCs w:val="28"/>
        </w:rPr>
        <w:drawing>
          <wp:inline distT="0" distB="0" distL="114300" distR="114300">
            <wp:extent cx="5594985" cy="7912735"/>
            <wp:effectExtent l="0" t="0" r="13335" b="12065"/>
            <wp:docPr id="43" name="图片 43" descr="土地租赁协议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土地租赁协议_02"/>
                    <pic:cNvPicPr>
                      <a:picLocks noChangeAspect="1"/>
                    </pic:cNvPicPr>
                  </pic:nvPicPr>
                  <pic:blipFill>
                    <a:blip r:embed="rId50"/>
                    <a:stretch>
                      <a:fillRect/>
                    </a:stretch>
                  </pic:blipFill>
                  <pic:spPr>
                    <a:xfrm>
                      <a:off x="0" y="0"/>
                      <a:ext cx="5594985" cy="7912735"/>
                    </a:xfrm>
                    <a:prstGeom prst="rect">
                      <a:avLst/>
                    </a:prstGeom>
                  </pic:spPr>
                </pic:pic>
              </a:graphicData>
            </a:graphic>
          </wp:inline>
        </w:drawing>
      </w:r>
    </w:p>
    <w:p w14:paraId="3F3D3283">
      <w:pPr>
        <w:rPr>
          <w:rFonts w:hint="eastAsia" w:ascii="宋体" w:hAnsi="宋体"/>
          <w:b/>
          <w:bCs/>
          <w:sz w:val="28"/>
          <w:szCs w:val="28"/>
        </w:rPr>
      </w:pPr>
    </w:p>
    <w:p w14:paraId="29C7B40B">
      <w:pPr>
        <w:pStyle w:val="38"/>
        <w:rPr>
          <w:rFonts w:hint="eastAsia" w:ascii="宋体" w:hAnsi="宋体"/>
          <w:b/>
          <w:bCs/>
          <w:sz w:val="28"/>
          <w:szCs w:val="28"/>
        </w:rPr>
      </w:pPr>
      <w:r>
        <w:rPr>
          <w:rFonts w:hint="eastAsia" w:ascii="宋体" w:hAnsi="宋体"/>
          <w:b/>
          <w:bCs/>
          <w:sz w:val="28"/>
          <w:szCs w:val="28"/>
        </w:rPr>
        <w:drawing>
          <wp:inline distT="0" distB="0" distL="114300" distR="114300">
            <wp:extent cx="5594985" cy="7912735"/>
            <wp:effectExtent l="0" t="0" r="13335" b="12065"/>
            <wp:docPr id="55" name="图片 55" descr="土地租赁协议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土地租赁协议_03"/>
                    <pic:cNvPicPr>
                      <a:picLocks noChangeAspect="1"/>
                    </pic:cNvPicPr>
                  </pic:nvPicPr>
                  <pic:blipFill>
                    <a:blip r:embed="rId51"/>
                    <a:stretch>
                      <a:fillRect/>
                    </a:stretch>
                  </pic:blipFill>
                  <pic:spPr>
                    <a:xfrm>
                      <a:off x="0" y="0"/>
                      <a:ext cx="5594985" cy="7912735"/>
                    </a:xfrm>
                    <a:prstGeom prst="rect">
                      <a:avLst/>
                    </a:prstGeom>
                  </pic:spPr>
                </pic:pic>
              </a:graphicData>
            </a:graphic>
          </wp:inline>
        </w:drawing>
      </w:r>
    </w:p>
    <w:p w14:paraId="6D52C569">
      <w:pPr>
        <w:pStyle w:val="38"/>
        <w:rPr>
          <w:rFonts w:hint="eastAsia" w:ascii="宋体" w:hAnsi="宋体"/>
          <w:b/>
          <w:bCs/>
          <w:sz w:val="28"/>
          <w:szCs w:val="28"/>
        </w:rPr>
      </w:pPr>
    </w:p>
    <w:p w14:paraId="1B6C4EEC">
      <w:pPr>
        <w:pStyle w:val="38"/>
        <w:ind w:firstLine="0"/>
        <w:rPr>
          <w:rFonts w:hint="eastAsia" w:ascii="宋体" w:hAnsi="宋体"/>
          <w:b/>
          <w:bCs/>
          <w:sz w:val="28"/>
          <w:szCs w:val="28"/>
        </w:rPr>
      </w:pPr>
      <w:r>
        <w:rPr>
          <w:rFonts w:hint="eastAsia" w:ascii="宋体" w:hAnsi="宋体"/>
          <w:b/>
          <w:bCs/>
          <w:sz w:val="28"/>
          <w:szCs w:val="28"/>
        </w:rPr>
        <w:drawing>
          <wp:inline distT="0" distB="0" distL="114300" distR="114300">
            <wp:extent cx="5594985" cy="7912735"/>
            <wp:effectExtent l="0" t="0" r="13335" b="12065"/>
            <wp:docPr id="61" name="图片 61" descr="土地租赁协议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土地租赁协议_04"/>
                    <pic:cNvPicPr>
                      <a:picLocks noChangeAspect="1"/>
                    </pic:cNvPicPr>
                  </pic:nvPicPr>
                  <pic:blipFill>
                    <a:blip r:embed="rId52"/>
                    <a:stretch>
                      <a:fillRect/>
                    </a:stretch>
                  </pic:blipFill>
                  <pic:spPr>
                    <a:xfrm>
                      <a:off x="0" y="0"/>
                      <a:ext cx="5594985" cy="7912735"/>
                    </a:xfrm>
                    <a:prstGeom prst="rect">
                      <a:avLst/>
                    </a:prstGeom>
                  </pic:spPr>
                </pic:pic>
              </a:graphicData>
            </a:graphic>
          </wp:inline>
        </w:drawing>
      </w:r>
    </w:p>
    <w:p w14:paraId="251C7E4A">
      <w:pPr>
        <w:pStyle w:val="38"/>
        <w:rPr>
          <w:rFonts w:hint="eastAsia" w:ascii="宋体" w:hAnsi="宋体"/>
          <w:b/>
          <w:bCs/>
          <w:sz w:val="28"/>
          <w:szCs w:val="28"/>
        </w:rPr>
      </w:pPr>
    </w:p>
    <w:p w14:paraId="5125AC75">
      <w:pPr>
        <w:pStyle w:val="38"/>
        <w:ind w:firstLine="0"/>
        <w:rPr>
          <w:rFonts w:hint="eastAsia" w:ascii="宋体" w:hAnsi="宋体"/>
          <w:b/>
          <w:bCs/>
          <w:sz w:val="28"/>
          <w:szCs w:val="28"/>
        </w:rPr>
      </w:pPr>
      <w:r>
        <w:rPr>
          <w:rFonts w:hint="eastAsia" w:ascii="宋体" w:hAnsi="宋体"/>
          <w:b/>
          <w:bCs/>
          <w:sz w:val="28"/>
          <w:szCs w:val="28"/>
        </w:rPr>
        <w:drawing>
          <wp:inline distT="0" distB="0" distL="114300" distR="114300">
            <wp:extent cx="5600700" cy="7912735"/>
            <wp:effectExtent l="0" t="0" r="7620" b="12065"/>
            <wp:docPr id="111" name="图片 111" descr="凯西土地使用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凯西土地使用证_01"/>
                    <pic:cNvPicPr>
                      <a:picLocks noChangeAspect="1"/>
                    </pic:cNvPicPr>
                  </pic:nvPicPr>
                  <pic:blipFill>
                    <a:blip r:embed="rId53"/>
                    <a:stretch>
                      <a:fillRect/>
                    </a:stretch>
                  </pic:blipFill>
                  <pic:spPr>
                    <a:xfrm>
                      <a:off x="0" y="0"/>
                      <a:ext cx="5600700" cy="7912735"/>
                    </a:xfrm>
                    <a:prstGeom prst="rect">
                      <a:avLst/>
                    </a:prstGeom>
                  </pic:spPr>
                </pic:pic>
              </a:graphicData>
            </a:graphic>
          </wp:inline>
        </w:drawing>
      </w:r>
    </w:p>
    <w:p w14:paraId="2D55DA99">
      <w:pPr>
        <w:rPr>
          <w:rFonts w:hint="eastAsia" w:ascii="宋体" w:hAnsi="宋体"/>
          <w:b/>
          <w:bCs/>
          <w:sz w:val="28"/>
          <w:szCs w:val="28"/>
        </w:rPr>
      </w:pPr>
    </w:p>
    <w:p w14:paraId="51AFEE1B">
      <w:pPr>
        <w:rPr>
          <w:rFonts w:hint="eastAsia" w:ascii="宋体" w:hAnsi="宋体"/>
          <w:b/>
          <w:bCs/>
          <w:sz w:val="28"/>
          <w:szCs w:val="28"/>
        </w:rPr>
      </w:pPr>
      <w:r>
        <w:rPr>
          <w:rFonts w:hint="eastAsia" w:ascii="宋体" w:hAnsi="宋体"/>
          <w:b/>
          <w:bCs/>
          <w:sz w:val="28"/>
          <w:szCs w:val="28"/>
        </w:rPr>
        <w:drawing>
          <wp:inline distT="0" distB="0" distL="114300" distR="114300">
            <wp:extent cx="5600700" cy="7912735"/>
            <wp:effectExtent l="0" t="0" r="7620" b="12065"/>
            <wp:docPr id="115" name="图片 115" descr="凯西土地使用证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凯西土地使用证_02"/>
                    <pic:cNvPicPr>
                      <a:picLocks noChangeAspect="1"/>
                    </pic:cNvPicPr>
                  </pic:nvPicPr>
                  <pic:blipFill>
                    <a:blip r:embed="rId54"/>
                    <a:stretch>
                      <a:fillRect/>
                    </a:stretch>
                  </pic:blipFill>
                  <pic:spPr>
                    <a:xfrm>
                      <a:off x="0" y="0"/>
                      <a:ext cx="5600700" cy="7912735"/>
                    </a:xfrm>
                    <a:prstGeom prst="rect">
                      <a:avLst/>
                    </a:prstGeom>
                  </pic:spPr>
                </pic:pic>
              </a:graphicData>
            </a:graphic>
          </wp:inline>
        </w:drawing>
      </w:r>
    </w:p>
    <w:p w14:paraId="654E696F">
      <w:pPr>
        <w:jc w:val="center"/>
        <w:rPr>
          <w:rFonts w:hint="eastAsia" w:ascii="宋体" w:hAnsi="宋体"/>
          <w:b/>
          <w:bCs/>
          <w:sz w:val="28"/>
          <w:szCs w:val="28"/>
        </w:rPr>
      </w:pPr>
    </w:p>
    <w:p w14:paraId="0C2FA92F">
      <w:pPr>
        <w:rPr>
          <w:rFonts w:hint="eastAsia" w:ascii="宋体" w:hAnsi="宋体"/>
          <w:b/>
          <w:bCs/>
          <w:sz w:val="28"/>
          <w:szCs w:val="28"/>
        </w:rPr>
      </w:pPr>
      <w:r>
        <w:rPr>
          <w:rFonts w:hint="eastAsia" w:ascii="宋体" w:hAnsi="宋体"/>
          <w:b/>
          <w:bCs/>
          <w:sz w:val="28"/>
          <w:szCs w:val="28"/>
        </w:rPr>
        <w:drawing>
          <wp:inline distT="0" distB="0" distL="114300" distR="114300">
            <wp:extent cx="5600700" cy="7912735"/>
            <wp:effectExtent l="0" t="0" r="7620" b="12065"/>
            <wp:docPr id="125" name="图片 125" descr="凯西土地使用证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凯西土地使用证_03"/>
                    <pic:cNvPicPr>
                      <a:picLocks noChangeAspect="1"/>
                    </pic:cNvPicPr>
                  </pic:nvPicPr>
                  <pic:blipFill>
                    <a:blip r:embed="rId55"/>
                    <a:stretch>
                      <a:fillRect/>
                    </a:stretch>
                  </pic:blipFill>
                  <pic:spPr>
                    <a:xfrm>
                      <a:off x="0" y="0"/>
                      <a:ext cx="5600700" cy="7912735"/>
                    </a:xfrm>
                    <a:prstGeom prst="rect">
                      <a:avLst/>
                    </a:prstGeom>
                  </pic:spPr>
                </pic:pic>
              </a:graphicData>
            </a:graphic>
          </wp:inline>
        </w:drawing>
      </w:r>
    </w:p>
    <w:p w14:paraId="1B7A2C18">
      <w:pPr>
        <w:pStyle w:val="39"/>
        <w:ind w:firstLine="562"/>
        <w:rPr>
          <w:rFonts w:hAnsi="宋体"/>
          <w:b/>
          <w:bCs/>
          <w:sz w:val="28"/>
          <w:szCs w:val="28"/>
        </w:rPr>
      </w:pPr>
    </w:p>
    <w:p w14:paraId="38FA5B27">
      <w:pPr>
        <w:pStyle w:val="39"/>
        <w:ind w:firstLine="0" w:firstLineChars="0"/>
        <w:rPr>
          <w:rFonts w:hAnsi="宋体"/>
          <w:b/>
          <w:bCs/>
          <w:sz w:val="28"/>
          <w:szCs w:val="28"/>
        </w:rPr>
      </w:pPr>
    </w:p>
    <w:p w14:paraId="7787B71D">
      <w:pPr>
        <w:pStyle w:val="21"/>
        <w:ind w:left="0" w:leftChars="0" w:firstLine="0" w:firstLineChars="0"/>
      </w:pPr>
      <w:r>
        <w:rPr>
          <w:rFonts w:hint="eastAsia" w:ascii="宋体" w:hAnsi="宋体"/>
          <w:b/>
          <w:bCs/>
          <w:sz w:val="28"/>
          <w:szCs w:val="28"/>
        </w:rPr>
        <w:t>附件6：</w:t>
      </w:r>
      <w:r>
        <w:rPr>
          <w:rFonts w:hint="eastAsia"/>
          <w:b/>
          <w:bCs/>
          <w:sz w:val="28"/>
          <w:szCs w:val="28"/>
        </w:rPr>
        <w:t>征询项目用地建议意见的回函</w:t>
      </w:r>
    </w:p>
    <w:p w14:paraId="2C88CC79">
      <w:pPr>
        <w:jc w:val="center"/>
        <w:rPr>
          <w:rFonts w:hint="eastAsia" w:ascii="宋体" w:hAnsi="宋体"/>
          <w:b/>
          <w:bCs/>
          <w:sz w:val="28"/>
          <w:szCs w:val="28"/>
        </w:rPr>
      </w:pPr>
      <w:r>
        <w:rPr>
          <w:rFonts w:ascii="宋体" w:hAnsi="宋体"/>
          <w:b/>
          <w:bCs/>
          <w:sz w:val="28"/>
          <w:szCs w:val="28"/>
        </w:rPr>
        <w:drawing>
          <wp:inline distT="0" distB="0" distL="114300" distR="114300">
            <wp:extent cx="5257800" cy="7440930"/>
            <wp:effectExtent l="0" t="0" r="0" b="11430"/>
            <wp:docPr id="134" name="图片 134" descr="3100ca05b71ae2194f8cd086967ba6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3100ca05b71ae2194f8cd086967ba6f0"/>
                    <pic:cNvPicPr>
                      <a:picLocks noChangeAspect="1"/>
                    </pic:cNvPicPr>
                  </pic:nvPicPr>
                  <pic:blipFill>
                    <a:blip r:embed="rId56"/>
                    <a:stretch>
                      <a:fillRect/>
                    </a:stretch>
                  </pic:blipFill>
                  <pic:spPr>
                    <a:xfrm>
                      <a:off x="0" y="0"/>
                      <a:ext cx="5257800" cy="7440930"/>
                    </a:xfrm>
                    <a:prstGeom prst="rect">
                      <a:avLst/>
                    </a:prstGeom>
                  </pic:spPr>
                </pic:pic>
              </a:graphicData>
            </a:graphic>
          </wp:inline>
        </w:drawing>
      </w:r>
    </w:p>
    <w:p w14:paraId="1718F807"/>
    <w:p w14:paraId="33EFF59E">
      <w:pPr>
        <w:pStyle w:val="39"/>
        <w:rPr>
          <w:rFonts w:hint="default"/>
        </w:rPr>
      </w:pPr>
    </w:p>
    <w:p w14:paraId="17AE7668">
      <w:pPr>
        <w:pStyle w:val="39"/>
        <w:ind w:firstLine="0" w:firstLineChars="0"/>
        <w:rPr>
          <w:rFonts w:hint="default"/>
        </w:rPr>
      </w:pPr>
      <w:r>
        <w:drawing>
          <wp:anchor distT="0" distB="0" distL="114300" distR="114300" simplePos="0" relativeHeight="251667456" behindDoc="1" locked="0" layoutInCell="1" allowOverlap="1">
            <wp:simplePos x="0" y="0"/>
            <wp:positionH relativeFrom="column">
              <wp:posOffset>15875</wp:posOffset>
            </wp:positionH>
            <wp:positionV relativeFrom="paragraph">
              <wp:posOffset>7620</wp:posOffset>
            </wp:positionV>
            <wp:extent cx="5608320" cy="7939405"/>
            <wp:effectExtent l="0" t="0" r="0" b="635"/>
            <wp:wrapNone/>
            <wp:docPr id="139" name="图片 139" descr="f8ad139b05f628841f8ef5291371d3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f8ad139b05f628841f8ef5291371d3f9"/>
                    <pic:cNvPicPr>
                      <a:picLocks noChangeAspect="1"/>
                    </pic:cNvPicPr>
                  </pic:nvPicPr>
                  <pic:blipFill>
                    <a:blip r:embed="rId57"/>
                    <a:stretch>
                      <a:fillRect/>
                    </a:stretch>
                  </pic:blipFill>
                  <pic:spPr>
                    <a:xfrm>
                      <a:off x="0" y="0"/>
                      <a:ext cx="5608320" cy="7939405"/>
                    </a:xfrm>
                    <a:prstGeom prst="rect">
                      <a:avLst/>
                    </a:prstGeom>
                  </pic:spPr>
                </pic:pic>
              </a:graphicData>
            </a:graphic>
          </wp:anchor>
        </w:drawing>
      </w:r>
    </w:p>
    <w:p w14:paraId="1B013C9D">
      <w:pPr>
        <w:pStyle w:val="39"/>
        <w:rPr>
          <w:rFonts w:hint="default"/>
        </w:rPr>
      </w:pPr>
    </w:p>
    <w:p w14:paraId="197F1BCB">
      <w:pPr>
        <w:pStyle w:val="39"/>
        <w:rPr>
          <w:rFonts w:hint="default"/>
        </w:rPr>
      </w:pPr>
    </w:p>
    <w:p w14:paraId="3C59FC89">
      <w:pPr>
        <w:pStyle w:val="39"/>
        <w:rPr>
          <w:rFonts w:hint="default"/>
        </w:rPr>
      </w:pPr>
    </w:p>
    <w:p w14:paraId="6339D9AD">
      <w:pPr>
        <w:pStyle w:val="39"/>
        <w:rPr>
          <w:rFonts w:hint="default"/>
        </w:rPr>
      </w:pPr>
    </w:p>
    <w:p w14:paraId="3D60ADBF">
      <w:pPr>
        <w:pStyle w:val="39"/>
        <w:rPr>
          <w:rFonts w:hint="default"/>
        </w:rPr>
      </w:pPr>
    </w:p>
    <w:p w14:paraId="40F64171">
      <w:pPr>
        <w:pStyle w:val="39"/>
        <w:rPr>
          <w:rFonts w:hint="default"/>
        </w:rPr>
      </w:pPr>
    </w:p>
    <w:p w14:paraId="423969B6">
      <w:pPr>
        <w:pStyle w:val="39"/>
        <w:rPr>
          <w:rFonts w:hint="default"/>
        </w:rPr>
      </w:pPr>
    </w:p>
    <w:p w14:paraId="2F9946E8">
      <w:pPr>
        <w:pStyle w:val="39"/>
        <w:rPr>
          <w:rFonts w:hint="default"/>
        </w:rPr>
      </w:pPr>
    </w:p>
    <w:p w14:paraId="2641F951">
      <w:pPr>
        <w:pStyle w:val="39"/>
        <w:rPr>
          <w:rFonts w:hint="default"/>
        </w:rPr>
      </w:pPr>
    </w:p>
    <w:p w14:paraId="4C065365">
      <w:pPr>
        <w:pStyle w:val="39"/>
        <w:rPr>
          <w:rFonts w:hint="default"/>
        </w:rPr>
      </w:pPr>
    </w:p>
    <w:p w14:paraId="29BA21A9">
      <w:pPr>
        <w:pStyle w:val="39"/>
        <w:rPr>
          <w:rFonts w:hint="default"/>
        </w:rPr>
      </w:pPr>
    </w:p>
    <w:p w14:paraId="64AA0D4F">
      <w:pPr>
        <w:pStyle w:val="39"/>
        <w:rPr>
          <w:rFonts w:hint="default"/>
        </w:rPr>
      </w:pPr>
    </w:p>
    <w:p w14:paraId="6ACD8363">
      <w:pPr>
        <w:pStyle w:val="39"/>
        <w:rPr>
          <w:rFonts w:hint="default"/>
        </w:rPr>
      </w:pPr>
    </w:p>
    <w:p w14:paraId="6936582F">
      <w:pPr>
        <w:pStyle w:val="39"/>
        <w:rPr>
          <w:rFonts w:hint="default"/>
        </w:rPr>
      </w:pPr>
    </w:p>
    <w:p w14:paraId="64E20094">
      <w:pPr>
        <w:pStyle w:val="39"/>
        <w:rPr>
          <w:rFonts w:hint="default"/>
        </w:rPr>
      </w:pPr>
    </w:p>
    <w:p w14:paraId="4D3D111F">
      <w:pPr>
        <w:pStyle w:val="39"/>
        <w:rPr>
          <w:rFonts w:hint="default"/>
        </w:rPr>
      </w:pPr>
    </w:p>
    <w:p w14:paraId="3AC6A68F">
      <w:pPr>
        <w:pStyle w:val="39"/>
        <w:rPr>
          <w:rFonts w:hint="default"/>
        </w:rPr>
      </w:pPr>
    </w:p>
    <w:p w14:paraId="71F07CAF">
      <w:pPr>
        <w:pStyle w:val="39"/>
        <w:rPr>
          <w:rFonts w:hint="default"/>
        </w:rPr>
      </w:pPr>
    </w:p>
    <w:p w14:paraId="31EC4361">
      <w:pPr>
        <w:pStyle w:val="39"/>
        <w:rPr>
          <w:rFonts w:hint="default"/>
        </w:rPr>
      </w:pPr>
    </w:p>
    <w:p w14:paraId="4FE1B92D">
      <w:pPr>
        <w:pStyle w:val="39"/>
        <w:rPr>
          <w:rFonts w:hint="default"/>
        </w:rPr>
      </w:pPr>
    </w:p>
    <w:p w14:paraId="2189E47E">
      <w:pPr>
        <w:pStyle w:val="39"/>
        <w:rPr>
          <w:rFonts w:hint="default"/>
        </w:rPr>
      </w:pPr>
    </w:p>
    <w:p w14:paraId="420F73E4">
      <w:pPr>
        <w:pStyle w:val="39"/>
        <w:rPr>
          <w:rFonts w:hint="default"/>
        </w:rPr>
      </w:pPr>
    </w:p>
    <w:p w14:paraId="65DDBB8E">
      <w:pPr>
        <w:pStyle w:val="39"/>
        <w:rPr>
          <w:rFonts w:hint="default"/>
        </w:rPr>
      </w:pPr>
    </w:p>
    <w:p w14:paraId="06712C9A">
      <w:pPr>
        <w:pStyle w:val="39"/>
        <w:rPr>
          <w:rFonts w:hint="default"/>
        </w:rPr>
      </w:pPr>
    </w:p>
    <w:p w14:paraId="3EC8C6A5">
      <w:pPr>
        <w:pStyle w:val="39"/>
        <w:rPr>
          <w:rFonts w:hint="default"/>
        </w:rPr>
      </w:pPr>
    </w:p>
    <w:p w14:paraId="37797259">
      <w:pPr>
        <w:wordWrap w:val="0"/>
        <w:rPr>
          <w:b/>
          <w:bCs/>
          <w:sz w:val="28"/>
          <w:szCs w:val="28"/>
        </w:rPr>
      </w:pPr>
    </w:p>
    <w:p w14:paraId="492481F8">
      <w:pPr>
        <w:wordWrap w:val="0"/>
        <w:rPr>
          <w:b/>
          <w:bCs/>
          <w:sz w:val="28"/>
          <w:szCs w:val="28"/>
        </w:rPr>
      </w:pPr>
    </w:p>
    <w:p w14:paraId="189AE56E">
      <w:pPr>
        <w:wordWrap w:val="0"/>
        <w:rPr>
          <w:b/>
          <w:bCs/>
          <w:sz w:val="28"/>
          <w:szCs w:val="28"/>
        </w:rPr>
      </w:pPr>
      <w:r>
        <w:rPr>
          <w:b/>
          <w:bCs/>
          <w:sz w:val="28"/>
          <w:szCs w:val="28"/>
        </w:rPr>
        <w:drawing>
          <wp:inline distT="0" distB="0" distL="114300" distR="114300">
            <wp:extent cx="5608320" cy="7934960"/>
            <wp:effectExtent l="0" t="0" r="0" b="5080"/>
            <wp:docPr id="143" name="图片 143" descr="e037774d00f4fdd00a1635149f0828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e037774d00f4fdd00a1635149f08283b"/>
                    <pic:cNvPicPr>
                      <a:picLocks noChangeAspect="1"/>
                    </pic:cNvPicPr>
                  </pic:nvPicPr>
                  <pic:blipFill>
                    <a:blip r:embed="rId58"/>
                    <a:stretch>
                      <a:fillRect/>
                    </a:stretch>
                  </pic:blipFill>
                  <pic:spPr>
                    <a:xfrm>
                      <a:off x="0" y="0"/>
                      <a:ext cx="5608320" cy="7934960"/>
                    </a:xfrm>
                    <a:prstGeom prst="rect">
                      <a:avLst/>
                    </a:prstGeom>
                  </pic:spPr>
                </pic:pic>
              </a:graphicData>
            </a:graphic>
          </wp:inline>
        </w:drawing>
      </w:r>
    </w:p>
    <w:p w14:paraId="09607ABD">
      <w:pPr>
        <w:wordWrap w:val="0"/>
        <w:rPr>
          <w:b/>
          <w:bCs/>
          <w:sz w:val="28"/>
          <w:szCs w:val="28"/>
        </w:rPr>
      </w:pPr>
    </w:p>
    <w:p w14:paraId="55516CF7">
      <w:pPr>
        <w:wordWrap w:val="0"/>
        <w:rPr>
          <w:b/>
          <w:bCs/>
          <w:sz w:val="28"/>
          <w:szCs w:val="28"/>
        </w:rPr>
      </w:pPr>
      <w:r>
        <w:rPr>
          <w:b/>
          <w:bCs/>
          <w:sz w:val="28"/>
          <w:szCs w:val="28"/>
        </w:rPr>
        <w:drawing>
          <wp:inline distT="0" distB="0" distL="114300" distR="114300">
            <wp:extent cx="5608320" cy="7930515"/>
            <wp:effectExtent l="0" t="0" r="0" b="9525"/>
            <wp:docPr id="147" name="图片 147" descr="b785ce89775849adc40c6f22f28741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b785ce89775849adc40c6f22f287419c"/>
                    <pic:cNvPicPr>
                      <a:picLocks noChangeAspect="1"/>
                    </pic:cNvPicPr>
                  </pic:nvPicPr>
                  <pic:blipFill>
                    <a:blip r:embed="rId59"/>
                    <a:stretch>
                      <a:fillRect/>
                    </a:stretch>
                  </pic:blipFill>
                  <pic:spPr>
                    <a:xfrm>
                      <a:off x="0" y="0"/>
                      <a:ext cx="5608320" cy="7930515"/>
                    </a:xfrm>
                    <a:prstGeom prst="rect">
                      <a:avLst/>
                    </a:prstGeom>
                  </pic:spPr>
                </pic:pic>
              </a:graphicData>
            </a:graphic>
          </wp:inline>
        </w:drawing>
      </w:r>
    </w:p>
    <w:p w14:paraId="2FCE246F">
      <w:pPr>
        <w:wordWrap w:val="0"/>
        <w:rPr>
          <w:b/>
          <w:bCs/>
          <w:sz w:val="28"/>
          <w:szCs w:val="28"/>
        </w:rPr>
      </w:pPr>
    </w:p>
    <w:p w14:paraId="125894F6">
      <w:pPr>
        <w:wordWrap w:val="0"/>
        <w:rPr>
          <w:b/>
          <w:bCs/>
          <w:sz w:val="28"/>
          <w:szCs w:val="28"/>
        </w:rPr>
      </w:pPr>
      <w:r>
        <w:rPr>
          <w:rFonts w:hint="eastAsia"/>
          <w:b/>
          <w:bCs/>
          <w:sz w:val="28"/>
          <w:szCs w:val="28"/>
        </w:rPr>
        <w:drawing>
          <wp:inline distT="0" distB="0" distL="114300" distR="114300">
            <wp:extent cx="5608320" cy="7759700"/>
            <wp:effectExtent l="0" t="0" r="0" b="12700"/>
            <wp:docPr id="148" name="图片 148" descr="b7b2e9180f18f996faf95120572817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b7b2e9180f18f996faf951205728174e"/>
                    <pic:cNvPicPr>
                      <a:picLocks noChangeAspect="1"/>
                    </pic:cNvPicPr>
                  </pic:nvPicPr>
                  <pic:blipFill>
                    <a:blip r:embed="rId60"/>
                    <a:stretch>
                      <a:fillRect/>
                    </a:stretch>
                  </pic:blipFill>
                  <pic:spPr>
                    <a:xfrm>
                      <a:off x="0" y="0"/>
                      <a:ext cx="5608320" cy="7759700"/>
                    </a:xfrm>
                    <a:prstGeom prst="rect">
                      <a:avLst/>
                    </a:prstGeom>
                  </pic:spPr>
                </pic:pic>
              </a:graphicData>
            </a:graphic>
          </wp:inline>
        </w:drawing>
      </w:r>
    </w:p>
    <w:p w14:paraId="6B5764A7">
      <w:pPr>
        <w:wordWrap w:val="0"/>
        <w:rPr>
          <w:b/>
          <w:bCs/>
          <w:sz w:val="28"/>
          <w:szCs w:val="28"/>
        </w:rPr>
      </w:pPr>
    </w:p>
    <w:p w14:paraId="12BD38DB">
      <w:pPr>
        <w:pStyle w:val="21"/>
        <w:ind w:left="0" w:leftChars="0" w:firstLine="0" w:firstLineChars="0"/>
      </w:pPr>
      <w:r>
        <w:rPr>
          <w:rFonts w:hint="eastAsia" w:ascii="宋体" w:hAnsi="宋体"/>
          <w:b/>
          <w:bCs/>
          <w:sz w:val="28"/>
          <w:szCs w:val="28"/>
        </w:rPr>
        <w:t>附件7：分区管控综合查询报告书</w:t>
      </w:r>
    </w:p>
    <w:p w14:paraId="003AE97A">
      <w:pPr>
        <w:jc w:val="center"/>
        <w:sectPr>
          <w:footerReference r:id="rId7" w:type="default"/>
          <w:pgSz w:w="11906" w:h="16838"/>
          <w:pgMar w:top="1702" w:right="1531" w:bottom="1702" w:left="1531" w:header="851" w:footer="1417" w:gutter="0"/>
          <w:pgNumType w:fmt="decimal"/>
          <w:cols w:space="425" w:num="1"/>
          <w:docGrid w:type="lines" w:linePitch="312" w:charSpace="0"/>
        </w:sectPr>
      </w:pPr>
      <w:r>
        <w:drawing>
          <wp:inline distT="0" distB="0" distL="114300" distR="114300">
            <wp:extent cx="5088255" cy="7200265"/>
            <wp:effectExtent l="0" t="0" r="17145" b="13335"/>
            <wp:docPr id="9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34"/>
                    <pic:cNvPicPr>
                      <a:picLocks noChangeAspect="1"/>
                    </pic:cNvPicPr>
                  </pic:nvPicPr>
                  <pic:blipFill>
                    <a:blip r:embed="rId61"/>
                    <a:stretch>
                      <a:fillRect/>
                    </a:stretch>
                  </pic:blipFill>
                  <pic:spPr>
                    <a:xfrm>
                      <a:off x="0" y="0"/>
                      <a:ext cx="5088255" cy="7200265"/>
                    </a:xfrm>
                    <a:prstGeom prst="rect">
                      <a:avLst/>
                    </a:prstGeom>
                    <a:noFill/>
                    <a:ln>
                      <a:noFill/>
                    </a:ln>
                  </pic:spPr>
                </pic:pic>
              </a:graphicData>
            </a:graphic>
          </wp:inline>
        </w:drawing>
      </w:r>
    </w:p>
    <w:p w14:paraId="6F1B9E79">
      <w:pPr>
        <w:pStyle w:val="21"/>
        <w:ind w:left="0" w:leftChars="0" w:firstLine="0" w:firstLineChars="0"/>
        <w:rPr>
          <w:b/>
          <w:bCs/>
          <w:sz w:val="28"/>
          <w:szCs w:val="28"/>
        </w:rPr>
      </w:pPr>
      <w:r>
        <w:drawing>
          <wp:inline distT="0" distB="0" distL="114300" distR="114300">
            <wp:extent cx="5614670" cy="7945120"/>
            <wp:effectExtent l="0" t="0" r="24130" b="5080"/>
            <wp:docPr id="9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35"/>
                    <pic:cNvPicPr>
                      <a:picLocks noChangeAspect="1"/>
                    </pic:cNvPicPr>
                  </pic:nvPicPr>
                  <pic:blipFill>
                    <a:blip r:embed="rId62"/>
                    <a:stretch>
                      <a:fillRect/>
                    </a:stretch>
                  </pic:blipFill>
                  <pic:spPr>
                    <a:xfrm>
                      <a:off x="0" y="0"/>
                      <a:ext cx="5614670" cy="7945120"/>
                    </a:xfrm>
                    <a:prstGeom prst="rect">
                      <a:avLst/>
                    </a:prstGeom>
                    <a:noFill/>
                    <a:ln>
                      <a:noFill/>
                    </a:ln>
                  </pic:spPr>
                </pic:pic>
              </a:graphicData>
            </a:graphic>
          </wp:inline>
        </w:drawing>
      </w:r>
    </w:p>
    <w:p w14:paraId="119B67CC">
      <w:pPr>
        <w:pStyle w:val="21"/>
        <w:ind w:left="0" w:leftChars="0" w:firstLine="0" w:firstLineChars="0"/>
        <w:rPr>
          <w:b/>
          <w:bCs/>
          <w:sz w:val="28"/>
          <w:szCs w:val="28"/>
        </w:rPr>
      </w:pPr>
    </w:p>
    <w:p w14:paraId="11E9A4E6">
      <w:pPr>
        <w:pStyle w:val="21"/>
        <w:ind w:left="0" w:leftChars="0" w:firstLine="0" w:firstLineChars="0"/>
        <w:rPr>
          <w:b/>
          <w:bCs/>
          <w:sz w:val="28"/>
          <w:szCs w:val="28"/>
        </w:rPr>
      </w:pPr>
      <w:r>
        <w:drawing>
          <wp:inline distT="0" distB="0" distL="114300" distR="114300">
            <wp:extent cx="5614670" cy="7945120"/>
            <wp:effectExtent l="0" t="0" r="24130" b="5080"/>
            <wp:docPr id="9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36"/>
                    <pic:cNvPicPr>
                      <a:picLocks noChangeAspect="1"/>
                    </pic:cNvPicPr>
                  </pic:nvPicPr>
                  <pic:blipFill>
                    <a:blip r:embed="rId63"/>
                    <a:stretch>
                      <a:fillRect/>
                    </a:stretch>
                  </pic:blipFill>
                  <pic:spPr>
                    <a:xfrm>
                      <a:off x="0" y="0"/>
                      <a:ext cx="5614670" cy="7945120"/>
                    </a:xfrm>
                    <a:prstGeom prst="rect">
                      <a:avLst/>
                    </a:prstGeom>
                    <a:noFill/>
                    <a:ln>
                      <a:noFill/>
                    </a:ln>
                  </pic:spPr>
                </pic:pic>
              </a:graphicData>
            </a:graphic>
          </wp:inline>
        </w:drawing>
      </w:r>
    </w:p>
    <w:p w14:paraId="4B67D057">
      <w:pPr>
        <w:pStyle w:val="21"/>
        <w:ind w:left="0" w:leftChars="0" w:firstLine="0" w:firstLineChars="0"/>
        <w:rPr>
          <w:b/>
          <w:bCs/>
          <w:sz w:val="28"/>
          <w:szCs w:val="28"/>
        </w:rPr>
      </w:pPr>
    </w:p>
    <w:p w14:paraId="68B069B4">
      <w:pPr>
        <w:pStyle w:val="21"/>
        <w:ind w:left="0" w:leftChars="0" w:firstLine="0" w:firstLineChars="0"/>
        <w:rPr>
          <w:b/>
          <w:bCs/>
          <w:sz w:val="28"/>
          <w:szCs w:val="28"/>
        </w:rPr>
      </w:pPr>
      <w:r>
        <w:drawing>
          <wp:inline distT="0" distB="0" distL="114300" distR="114300">
            <wp:extent cx="5614670" cy="7945120"/>
            <wp:effectExtent l="0" t="0" r="24130" b="5080"/>
            <wp:docPr id="9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37"/>
                    <pic:cNvPicPr>
                      <a:picLocks noChangeAspect="1"/>
                    </pic:cNvPicPr>
                  </pic:nvPicPr>
                  <pic:blipFill>
                    <a:blip r:embed="rId64"/>
                    <a:stretch>
                      <a:fillRect/>
                    </a:stretch>
                  </pic:blipFill>
                  <pic:spPr>
                    <a:xfrm>
                      <a:off x="0" y="0"/>
                      <a:ext cx="5614670" cy="7945120"/>
                    </a:xfrm>
                    <a:prstGeom prst="rect">
                      <a:avLst/>
                    </a:prstGeom>
                    <a:noFill/>
                    <a:ln>
                      <a:noFill/>
                    </a:ln>
                  </pic:spPr>
                </pic:pic>
              </a:graphicData>
            </a:graphic>
          </wp:inline>
        </w:drawing>
      </w:r>
    </w:p>
    <w:p w14:paraId="52D3FEE6">
      <w:pPr>
        <w:pStyle w:val="21"/>
        <w:ind w:left="0" w:leftChars="0" w:firstLine="0" w:firstLineChars="0"/>
        <w:rPr>
          <w:b/>
          <w:bCs/>
          <w:sz w:val="28"/>
          <w:szCs w:val="28"/>
        </w:rPr>
      </w:pPr>
    </w:p>
    <w:p w14:paraId="29E69599">
      <w:pPr>
        <w:pStyle w:val="21"/>
        <w:ind w:left="0" w:leftChars="0" w:firstLine="0" w:firstLineChars="0"/>
        <w:rPr>
          <w:b/>
          <w:bCs/>
          <w:sz w:val="28"/>
          <w:szCs w:val="28"/>
        </w:rPr>
      </w:pPr>
      <w:r>
        <w:drawing>
          <wp:inline distT="0" distB="0" distL="114300" distR="114300">
            <wp:extent cx="5614670" cy="7945120"/>
            <wp:effectExtent l="0" t="0" r="24130" b="5080"/>
            <wp:docPr id="96"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38"/>
                    <pic:cNvPicPr>
                      <a:picLocks noChangeAspect="1"/>
                    </pic:cNvPicPr>
                  </pic:nvPicPr>
                  <pic:blipFill>
                    <a:blip r:embed="rId65"/>
                    <a:stretch>
                      <a:fillRect/>
                    </a:stretch>
                  </pic:blipFill>
                  <pic:spPr>
                    <a:xfrm>
                      <a:off x="0" y="0"/>
                      <a:ext cx="5614670" cy="7945120"/>
                    </a:xfrm>
                    <a:prstGeom prst="rect">
                      <a:avLst/>
                    </a:prstGeom>
                    <a:noFill/>
                    <a:ln>
                      <a:noFill/>
                    </a:ln>
                  </pic:spPr>
                </pic:pic>
              </a:graphicData>
            </a:graphic>
          </wp:inline>
        </w:drawing>
      </w:r>
    </w:p>
    <w:p w14:paraId="0E05D278">
      <w:pPr>
        <w:pStyle w:val="21"/>
        <w:ind w:left="0" w:leftChars="0" w:firstLine="0" w:firstLineChars="0"/>
        <w:rPr>
          <w:b/>
          <w:bCs/>
          <w:sz w:val="28"/>
          <w:szCs w:val="28"/>
        </w:rPr>
      </w:pPr>
    </w:p>
    <w:p w14:paraId="10680ECD">
      <w:pPr>
        <w:pStyle w:val="21"/>
        <w:ind w:left="0" w:leftChars="0" w:firstLine="0" w:firstLineChars="0"/>
        <w:rPr>
          <w:b/>
          <w:bCs/>
          <w:sz w:val="28"/>
          <w:szCs w:val="28"/>
        </w:rPr>
      </w:pPr>
      <w:r>
        <w:drawing>
          <wp:inline distT="0" distB="0" distL="114300" distR="114300">
            <wp:extent cx="5614670" cy="7945120"/>
            <wp:effectExtent l="0" t="0" r="24130" b="5080"/>
            <wp:docPr id="97"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39"/>
                    <pic:cNvPicPr>
                      <a:picLocks noChangeAspect="1"/>
                    </pic:cNvPicPr>
                  </pic:nvPicPr>
                  <pic:blipFill>
                    <a:blip r:embed="rId66"/>
                    <a:stretch>
                      <a:fillRect/>
                    </a:stretch>
                  </pic:blipFill>
                  <pic:spPr>
                    <a:xfrm>
                      <a:off x="0" y="0"/>
                      <a:ext cx="5614670" cy="7945120"/>
                    </a:xfrm>
                    <a:prstGeom prst="rect">
                      <a:avLst/>
                    </a:prstGeom>
                    <a:noFill/>
                    <a:ln>
                      <a:noFill/>
                    </a:ln>
                  </pic:spPr>
                </pic:pic>
              </a:graphicData>
            </a:graphic>
          </wp:inline>
        </w:drawing>
      </w:r>
    </w:p>
    <w:p w14:paraId="030C93B6">
      <w:pPr>
        <w:pStyle w:val="21"/>
        <w:ind w:left="0" w:leftChars="0" w:firstLine="0" w:firstLineChars="0"/>
        <w:rPr>
          <w:b/>
          <w:bCs/>
          <w:sz w:val="28"/>
          <w:szCs w:val="28"/>
        </w:rPr>
      </w:pPr>
    </w:p>
    <w:p w14:paraId="148B5A4D">
      <w:pPr>
        <w:pStyle w:val="21"/>
        <w:ind w:left="0" w:leftChars="0" w:firstLine="0" w:firstLineChars="0"/>
        <w:rPr>
          <w:b/>
          <w:bCs/>
          <w:sz w:val="28"/>
          <w:szCs w:val="28"/>
        </w:rPr>
      </w:pPr>
      <w:r>
        <w:drawing>
          <wp:inline distT="0" distB="0" distL="114300" distR="114300">
            <wp:extent cx="5614670" cy="7945120"/>
            <wp:effectExtent l="0" t="0" r="24130" b="5080"/>
            <wp:docPr id="98"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40"/>
                    <pic:cNvPicPr>
                      <a:picLocks noChangeAspect="1"/>
                    </pic:cNvPicPr>
                  </pic:nvPicPr>
                  <pic:blipFill>
                    <a:blip r:embed="rId67"/>
                    <a:stretch>
                      <a:fillRect/>
                    </a:stretch>
                  </pic:blipFill>
                  <pic:spPr>
                    <a:xfrm>
                      <a:off x="0" y="0"/>
                      <a:ext cx="5614670" cy="7945120"/>
                    </a:xfrm>
                    <a:prstGeom prst="rect">
                      <a:avLst/>
                    </a:prstGeom>
                    <a:noFill/>
                    <a:ln>
                      <a:noFill/>
                    </a:ln>
                  </pic:spPr>
                </pic:pic>
              </a:graphicData>
            </a:graphic>
          </wp:inline>
        </w:drawing>
      </w:r>
    </w:p>
    <w:p w14:paraId="411403C2">
      <w:pPr>
        <w:pStyle w:val="21"/>
        <w:ind w:left="0" w:leftChars="0" w:firstLine="0" w:firstLineChars="0"/>
        <w:rPr>
          <w:b/>
          <w:bCs/>
          <w:sz w:val="28"/>
          <w:szCs w:val="28"/>
        </w:rPr>
      </w:pPr>
    </w:p>
    <w:p w14:paraId="37E0F468">
      <w:pPr>
        <w:pStyle w:val="21"/>
        <w:ind w:left="0" w:leftChars="0" w:firstLine="0" w:firstLineChars="0"/>
        <w:rPr>
          <w:b/>
          <w:bCs/>
          <w:sz w:val="28"/>
          <w:szCs w:val="28"/>
        </w:rPr>
      </w:pPr>
      <w:r>
        <w:drawing>
          <wp:inline distT="0" distB="0" distL="114300" distR="114300">
            <wp:extent cx="5614670" cy="7945120"/>
            <wp:effectExtent l="0" t="0" r="24130" b="5080"/>
            <wp:docPr id="99"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41"/>
                    <pic:cNvPicPr>
                      <a:picLocks noChangeAspect="1"/>
                    </pic:cNvPicPr>
                  </pic:nvPicPr>
                  <pic:blipFill>
                    <a:blip r:embed="rId68"/>
                    <a:stretch>
                      <a:fillRect/>
                    </a:stretch>
                  </pic:blipFill>
                  <pic:spPr>
                    <a:xfrm>
                      <a:off x="0" y="0"/>
                      <a:ext cx="5614670" cy="7945120"/>
                    </a:xfrm>
                    <a:prstGeom prst="rect">
                      <a:avLst/>
                    </a:prstGeom>
                    <a:noFill/>
                    <a:ln>
                      <a:noFill/>
                    </a:ln>
                  </pic:spPr>
                </pic:pic>
              </a:graphicData>
            </a:graphic>
          </wp:inline>
        </w:drawing>
      </w:r>
    </w:p>
    <w:p w14:paraId="4C0D05D5">
      <w:pPr>
        <w:pStyle w:val="21"/>
        <w:ind w:left="0" w:leftChars="0" w:firstLine="0" w:firstLineChars="0"/>
        <w:rPr>
          <w:b/>
          <w:bCs/>
          <w:sz w:val="28"/>
          <w:szCs w:val="28"/>
        </w:rPr>
      </w:pPr>
    </w:p>
    <w:p w14:paraId="2AA5A43B">
      <w:pPr>
        <w:pStyle w:val="21"/>
        <w:ind w:left="0" w:leftChars="0" w:firstLine="0" w:firstLineChars="0"/>
        <w:rPr>
          <w:b/>
          <w:bCs/>
          <w:sz w:val="28"/>
          <w:szCs w:val="28"/>
        </w:rPr>
      </w:pPr>
      <w:r>
        <w:drawing>
          <wp:inline distT="0" distB="0" distL="114300" distR="114300">
            <wp:extent cx="5614670" cy="7945120"/>
            <wp:effectExtent l="0" t="0" r="24130" b="5080"/>
            <wp:docPr id="10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42"/>
                    <pic:cNvPicPr>
                      <a:picLocks noChangeAspect="1"/>
                    </pic:cNvPicPr>
                  </pic:nvPicPr>
                  <pic:blipFill>
                    <a:blip r:embed="rId69"/>
                    <a:stretch>
                      <a:fillRect/>
                    </a:stretch>
                  </pic:blipFill>
                  <pic:spPr>
                    <a:xfrm>
                      <a:off x="0" y="0"/>
                      <a:ext cx="5614670" cy="7945120"/>
                    </a:xfrm>
                    <a:prstGeom prst="rect">
                      <a:avLst/>
                    </a:prstGeom>
                    <a:noFill/>
                    <a:ln>
                      <a:noFill/>
                    </a:ln>
                  </pic:spPr>
                </pic:pic>
              </a:graphicData>
            </a:graphic>
          </wp:inline>
        </w:drawing>
      </w:r>
    </w:p>
    <w:p w14:paraId="2F9A3BD5">
      <w:pPr>
        <w:pStyle w:val="21"/>
        <w:ind w:left="0" w:leftChars="0" w:firstLine="0" w:firstLineChars="0"/>
        <w:rPr>
          <w:b/>
          <w:bCs/>
          <w:sz w:val="28"/>
          <w:szCs w:val="28"/>
        </w:rPr>
      </w:pPr>
    </w:p>
    <w:p w14:paraId="4AF63065">
      <w:pPr>
        <w:pStyle w:val="21"/>
        <w:ind w:left="0" w:leftChars="0" w:firstLine="0" w:firstLineChars="0"/>
        <w:rPr>
          <w:b/>
          <w:bCs/>
          <w:sz w:val="28"/>
          <w:szCs w:val="28"/>
        </w:rPr>
      </w:pPr>
      <w:r>
        <w:drawing>
          <wp:inline distT="0" distB="0" distL="114300" distR="114300">
            <wp:extent cx="5614670" cy="7945120"/>
            <wp:effectExtent l="0" t="0" r="24130" b="5080"/>
            <wp:docPr id="101"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43"/>
                    <pic:cNvPicPr>
                      <a:picLocks noChangeAspect="1"/>
                    </pic:cNvPicPr>
                  </pic:nvPicPr>
                  <pic:blipFill>
                    <a:blip r:embed="rId70"/>
                    <a:stretch>
                      <a:fillRect/>
                    </a:stretch>
                  </pic:blipFill>
                  <pic:spPr>
                    <a:xfrm>
                      <a:off x="0" y="0"/>
                      <a:ext cx="5614670" cy="7945120"/>
                    </a:xfrm>
                    <a:prstGeom prst="rect">
                      <a:avLst/>
                    </a:prstGeom>
                    <a:noFill/>
                    <a:ln>
                      <a:noFill/>
                    </a:ln>
                  </pic:spPr>
                </pic:pic>
              </a:graphicData>
            </a:graphic>
          </wp:inline>
        </w:drawing>
      </w:r>
    </w:p>
    <w:p w14:paraId="61AB809C">
      <w:pPr>
        <w:pStyle w:val="21"/>
        <w:ind w:left="0" w:leftChars="0" w:firstLine="0" w:firstLineChars="0"/>
        <w:rPr>
          <w:b/>
          <w:bCs/>
          <w:sz w:val="28"/>
          <w:szCs w:val="28"/>
        </w:rPr>
      </w:pPr>
    </w:p>
    <w:p w14:paraId="0B71CC6C">
      <w:pPr>
        <w:pStyle w:val="21"/>
        <w:ind w:left="0" w:leftChars="0" w:firstLine="0" w:firstLineChars="0"/>
        <w:rPr>
          <w:b/>
          <w:bCs/>
          <w:sz w:val="28"/>
          <w:szCs w:val="28"/>
        </w:rPr>
      </w:pPr>
      <w:r>
        <w:rPr>
          <w:rFonts w:hint="eastAsia"/>
          <w:b/>
          <w:bCs/>
          <w:sz w:val="28"/>
          <w:szCs w:val="28"/>
        </w:rPr>
        <w:t>附件8：检测报告</w:t>
      </w:r>
    </w:p>
    <w:p w14:paraId="27BC065B">
      <w:pPr>
        <w:rPr>
          <w:b/>
          <w:bCs/>
          <w:sz w:val="28"/>
          <w:szCs w:val="28"/>
        </w:rPr>
      </w:pPr>
      <w:r>
        <w:drawing>
          <wp:inline distT="0" distB="0" distL="114300" distR="114300">
            <wp:extent cx="5614670" cy="7935595"/>
            <wp:effectExtent l="0" t="0" r="24130" b="14605"/>
            <wp:docPr id="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
                    <pic:cNvPicPr>
                      <a:picLocks noChangeAspect="1"/>
                    </pic:cNvPicPr>
                  </pic:nvPicPr>
                  <pic:blipFill>
                    <a:blip r:embed="rId71"/>
                    <a:stretch>
                      <a:fillRect/>
                    </a:stretch>
                  </pic:blipFill>
                  <pic:spPr>
                    <a:xfrm>
                      <a:off x="0" y="0"/>
                      <a:ext cx="5614670" cy="7935595"/>
                    </a:xfrm>
                    <a:prstGeom prst="rect">
                      <a:avLst/>
                    </a:prstGeom>
                    <a:noFill/>
                    <a:ln>
                      <a:noFill/>
                    </a:ln>
                  </pic:spPr>
                </pic:pic>
              </a:graphicData>
            </a:graphic>
          </wp:inline>
        </w:drawing>
      </w:r>
    </w:p>
    <w:p w14:paraId="734C9098">
      <w:pPr>
        <w:rPr>
          <w:b/>
          <w:bCs/>
          <w:sz w:val="28"/>
          <w:szCs w:val="28"/>
        </w:rPr>
      </w:pPr>
      <w:r>
        <w:drawing>
          <wp:inline distT="0" distB="0" distL="114300" distR="114300">
            <wp:extent cx="5614670" cy="7935595"/>
            <wp:effectExtent l="0" t="0" r="24130" b="14605"/>
            <wp:docPr id="4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
                    <pic:cNvPicPr>
                      <a:picLocks noChangeAspect="1"/>
                    </pic:cNvPicPr>
                  </pic:nvPicPr>
                  <pic:blipFill>
                    <a:blip r:embed="rId72"/>
                    <a:stretch>
                      <a:fillRect/>
                    </a:stretch>
                  </pic:blipFill>
                  <pic:spPr>
                    <a:xfrm>
                      <a:off x="0" y="0"/>
                      <a:ext cx="5614670" cy="7935595"/>
                    </a:xfrm>
                    <a:prstGeom prst="rect">
                      <a:avLst/>
                    </a:prstGeom>
                    <a:noFill/>
                    <a:ln>
                      <a:noFill/>
                    </a:ln>
                  </pic:spPr>
                </pic:pic>
              </a:graphicData>
            </a:graphic>
          </wp:inline>
        </w:drawing>
      </w:r>
    </w:p>
    <w:p w14:paraId="5B54189E">
      <w:pPr>
        <w:rPr>
          <w:b/>
          <w:bCs/>
          <w:sz w:val="28"/>
          <w:szCs w:val="28"/>
        </w:rPr>
      </w:pPr>
    </w:p>
    <w:p w14:paraId="444159E9">
      <w:pPr>
        <w:rPr>
          <w:b/>
          <w:bCs/>
          <w:sz w:val="28"/>
          <w:szCs w:val="28"/>
        </w:rPr>
      </w:pPr>
      <w:r>
        <w:drawing>
          <wp:inline distT="0" distB="0" distL="114300" distR="114300">
            <wp:extent cx="5614670" cy="7935595"/>
            <wp:effectExtent l="0" t="0" r="24130" b="14605"/>
            <wp:docPr id="4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
                    <pic:cNvPicPr>
                      <a:picLocks noChangeAspect="1"/>
                    </pic:cNvPicPr>
                  </pic:nvPicPr>
                  <pic:blipFill>
                    <a:blip r:embed="rId73"/>
                    <a:stretch>
                      <a:fillRect/>
                    </a:stretch>
                  </pic:blipFill>
                  <pic:spPr>
                    <a:xfrm>
                      <a:off x="0" y="0"/>
                      <a:ext cx="5614670" cy="7935595"/>
                    </a:xfrm>
                    <a:prstGeom prst="rect">
                      <a:avLst/>
                    </a:prstGeom>
                    <a:noFill/>
                    <a:ln>
                      <a:noFill/>
                    </a:ln>
                  </pic:spPr>
                </pic:pic>
              </a:graphicData>
            </a:graphic>
          </wp:inline>
        </w:drawing>
      </w:r>
    </w:p>
    <w:p w14:paraId="1A232ACB">
      <w:pPr>
        <w:rPr>
          <w:b/>
          <w:bCs/>
          <w:sz w:val="28"/>
          <w:szCs w:val="28"/>
        </w:rPr>
      </w:pPr>
    </w:p>
    <w:p w14:paraId="522D7DD8">
      <w:pPr>
        <w:rPr>
          <w:b/>
          <w:bCs/>
          <w:sz w:val="28"/>
          <w:szCs w:val="28"/>
        </w:rPr>
      </w:pPr>
      <w:r>
        <w:drawing>
          <wp:inline distT="0" distB="0" distL="114300" distR="114300">
            <wp:extent cx="5614670" cy="7935595"/>
            <wp:effectExtent l="0" t="0" r="24130" b="14605"/>
            <wp:docPr id="4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6"/>
                    <pic:cNvPicPr>
                      <a:picLocks noChangeAspect="1"/>
                    </pic:cNvPicPr>
                  </pic:nvPicPr>
                  <pic:blipFill>
                    <a:blip r:embed="rId74"/>
                    <a:stretch>
                      <a:fillRect/>
                    </a:stretch>
                  </pic:blipFill>
                  <pic:spPr>
                    <a:xfrm>
                      <a:off x="0" y="0"/>
                      <a:ext cx="5614670" cy="7935595"/>
                    </a:xfrm>
                    <a:prstGeom prst="rect">
                      <a:avLst/>
                    </a:prstGeom>
                    <a:noFill/>
                    <a:ln>
                      <a:noFill/>
                    </a:ln>
                  </pic:spPr>
                </pic:pic>
              </a:graphicData>
            </a:graphic>
          </wp:inline>
        </w:drawing>
      </w:r>
    </w:p>
    <w:p w14:paraId="3641A7FA">
      <w:pPr>
        <w:rPr>
          <w:b/>
          <w:bCs/>
          <w:sz w:val="28"/>
          <w:szCs w:val="28"/>
        </w:rPr>
      </w:pPr>
    </w:p>
    <w:p w14:paraId="0FD5F9DD">
      <w:pPr>
        <w:rPr>
          <w:b/>
          <w:bCs/>
          <w:sz w:val="28"/>
          <w:szCs w:val="28"/>
        </w:rPr>
      </w:pPr>
      <w:r>
        <w:drawing>
          <wp:inline distT="0" distB="0" distL="114300" distR="114300">
            <wp:extent cx="5614670" cy="7935595"/>
            <wp:effectExtent l="0" t="0" r="24130" b="14605"/>
            <wp:docPr id="5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7"/>
                    <pic:cNvPicPr>
                      <a:picLocks noChangeAspect="1"/>
                    </pic:cNvPicPr>
                  </pic:nvPicPr>
                  <pic:blipFill>
                    <a:blip r:embed="rId75"/>
                    <a:stretch>
                      <a:fillRect/>
                    </a:stretch>
                  </pic:blipFill>
                  <pic:spPr>
                    <a:xfrm>
                      <a:off x="0" y="0"/>
                      <a:ext cx="5614670" cy="7935595"/>
                    </a:xfrm>
                    <a:prstGeom prst="rect">
                      <a:avLst/>
                    </a:prstGeom>
                    <a:noFill/>
                    <a:ln>
                      <a:noFill/>
                    </a:ln>
                  </pic:spPr>
                </pic:pic>
              </a:graphicData>
            </a:graphic>
          </wp:inline>
        </w:drawing>
      </w:r>
    </w:p>
    <w:p w14:paraId="1EDF572C">
      <w:pPr>
        <w:rPr>
          <w:b/>
          <w:bCs/>
          <w:sz w:val="28"/>
          <w:szCs w:val="28"/>
        </w:rPr>
      </w:pPr>
    </w:p>
    <w:p w14:paraId="791FFC30">
      <w:pPr>
        <w:rPr>
          <w:b/>
          <w:bCs/>
          <w:sz w:val="28"/>
          <w:szCs w:val="28"/>
        </w:rPr>
      </w:pPr>
      <w:r>
        <w:drawing>
          <wp:inline distT="0" distB="0" distL="114300" distR="114300">
            <wp:extent cx="5614670" cy="7935595"/>
            <wp:effectExtent l="0" t="0" r="24130" b="14605"/>
            <wp:docPr id="5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8"/>
                    <pic:cNvPicPr>
                      <a:picLocks noChangeAspect="1"/>
                    </pic:cNvPicPr>
                  </pic:nvPicPr>
                  <pic:blipFill>
                    <a:blip r:embed="rId76"/>
                    <a:stretch>
                      <a:fillRect/>
                    </a:stretch>
                  </pic:blipFill>
                  <pic:spPr>
                    <a:xfrm>
                      <a:off x="0" y="0"/>
                      <a:ext cx="5614670" cy="7935595"/>
                    </a:xfrm>
                    <a:prstGeom prst="rect">
                      <a:avLst/>
                    </a:prstGeom>
                    <a:noFill/>
                    <a:ln>
                      <a:noFill/>
                    </a:ln>
                  </pic:spPr>
                </pic:pic>
              </a:graphicData>
            </a:graphic>
          </wp:inline>
        </w:drawing>
      </w:r>
    </w:p>
    <w:p w14:paraId="5B1AA908">
      <w:pPr>
        <w:rPr>
          <w:b/>
          <w:bCs/>
          <w:sz w:val="28"/>
          <w:szCs w:val="28"/>
        </w:rPr>
      </w:pPr>
    </w:p>
    <w:p w14:paraId="28D391D1">
      <w:pPr>
        <w:rPr>
          <w:b/>
          <w:bCs/>
          <w:sz w:val="28"/>
          <w:szCs w:val="28"/>
        </w:rPr>
      </w:pPr>
      <w:r>
        <w:drawing>
          <wp:inline distT="0" distB="0" distL="114300" distR="114300">
            <wp:extent cx="5614670" cy="7935595"/>
            <wp:effectExtent l="0" t="0" r="24130" b="14605"/>
            <wp:docPr id="5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9"/>
                    <pic:cNvPicPr>
                      <a:picLocks noChangeAspect="1"/>
                    </pic:cNvPicPr>
                  </pic:nvPicPr>
                  <pic:blipFill>
                    <a:blip r:embed="rId77"/>
                    <a:stretch>
                      <a:fillRect/>
                    </a:stretch>
                  </pic:blipFill>
                  <pic:spPr>
                    <a:xfrm>
                      <a:off x="0" y="0"/>
                      <a:ext cx="5614670" cy="7935595"/>
                    </a:xfrm>
                    <a:prstGeom prst="rect">
                      <a:avLst/>
                    </a:prstGeom>
                    <a:noFill/>
                    <a:ln>
                      <a:noFill/>
                    </a:ln>
                  </pic:spPr>
                </pic:pic>
              </a:graphicData>
            </a:graphic>
          </wp:inline>
        </w:drawing>
      </w:r>
    </w:p>
    <w:p w14:paraId="578DC6B5">
      <w:pPr>
        <w:rPr>
          <w:b/>
          <w:bCs/>
          <w:sz w:val="28"/>
          <w:szCs w:val="28"/>
        </w:rPr>
      </w:pPr>
    </w:p>
    <w:p w14:paraId="750CE80A">
      <w:pPr>
        <w:rPr>
          <w:b/>
          <w:bCs/>
          <w:sz w:val="28"/>
          <w:szCs w:val="28"/>
        </w:rPr>
      </w:pPr>
      <w:r>
        <w:drawing>
          <wp:inline distT="0" distB="0" distL="114300" distR="114300">
            <wp:extent cx="5614670" cy="7935595"/>
            <wp:effectExtent l="0" t="0" r="24130" b="14605"/>
            <wp:docPr id="5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0"/>
                    <pic:cNvPicPr>
                      <a:picLocks noChangeAspect="1"/>
                    </pic:cNvPicPr>
                  </pic:nvPicPr>
                  <pic:blipFill>
                    <a:blip r:embed="rId78"/>
                    <a:stretch>
                      <a:fillRect/>
                    </a:stretch>
                  </pic:blipFill>
                  <pic:spPr>
                    <a:xfrm>
                      <a:off x="0" y="0"/>
                      <a:ext cx="5614670" cy="7935595"/>
                    </a:xfrm>
                    <a:prstGeom prst="rect">
                      <a:avLst/>
                    </a:prstGeom>
                    <a:noFill/>
                    <a:ln>
                      <a:noFill/>
                    </a:ln>
                  </pic:spPr>
                </pic:pic>
              </a:graphicData>
            </a:graphic>
          </wp:inline>
        </w:drawing>
      </w:r>
    </w:p>
    <w:p w14:paraId="0B2EC31E">
      <w:pPr>
        <w:rPr>
          <w:b/>
          <w:bCs/>
          <w:sz w:val="28"/>
          <w:szCs w:val="28"/>
        </w:rPr>
      </w:pPr>
    </w:p>
    <w:p w14:paraId="1C001690">
      <w:pPr>
        <w:rPr>
          <w:b/>
          <w:bCs/>
          <w:sz w:val="28"/>
          <w:szCs w:val="28"/>
        </w:rPr>
      </w:pPr>
      <w:r>
        <w:drawing>
          <wp:inline distT="0" distB="0" distL="114300" distR="114300">
            <wp:extent cx="5614670" cy="7935595"/>
            <wp:effectExtent l="0" t="0" r="24130" b="14605"/>
            <wp:docPr id="5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1"/>
                    <pic:cNvPicPr>
                      <a:picLocks noChangeAspect="1"/>
                    </pic:cNvPicPr>
                  </pic:nvPicPr>
                  <pic:blipFill>
                    <a:blip r:embed="rId79"/>
                    <a:stretch>
                      <a:fillRect/>
                    </a:stretch>
                  </pic:blipFill>
                  <pic:spPr>
                    <a:xfrm>
                      <a:off x="0" y="0"/>
                      <a:ext cx="5614670" cy="7935595"/>
                    </a:xfrm>
                    <a:prstGeom prst="rect">
                      <a:avLst/>
                    </a:prstGeom>
                    <a:noFill/>
                    <a:ln>
                      <a:noFill/>
                    </a:ln>
                  </pic:spPr>
                </pic:pic>
              </a:graphicData>
            </a:graphic>
          </wp:inline>
        </w:drawing>
      </w:r>
    </w:p>
    <w:p w14:paraId="4A6E62C9">
      <w:pPr>
        <w:rPr>
          <w:b/>
          <w:bCs/>
          <w:sz w:val="28"/>
          <w:szCs w:val="28"/>
        </w:rPr>
      </w:pPr>
    </w:p>
    <w:p w14:paraId="07D09602">
      <w:pPr>
        <w:rPr>
          <w:b/>
          <w:bCs/>
          <w:sz w:val="28"/>
          <w:szCs w:val="28"/>
        </w:rPr>
      </w:pPr>
      <w:r>
        <w:drawing>
          <wp:inline distT="0" distB="0" distL="114300" distR="114300">
            <wp:extent cx="5614670" cy="7935595"/>
            <wp:effectExtent l="0" t="0" r="24130" b="14605"/>
            <wp:docPr id="5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2"/>
                    <pic:cNvPicPr>
                      <a:picLocks noChangeAspect="1"/>
                    </pic:cNvPicPr>
                  </pic:nvPicPr>
                  <pic:blipFill>
                    <a:blip r:embed="rId80"/>
                    <a:stretch>
                      <a:fillRect/>
                    </a:stretch>
                  </pic:blipFill>
                  <pic:spPr>
                    <a:xfrm>
                      <a:off x="0" y="0"/>
                      <a:ext cx="5614670" cy="7935595"/>
                    </a:xfrm>
                    <a:prstGeom prst="rect">
                      <a:avLst/>
                    </a:prstGeom>
                    <a:noFill/>
                    <a:ln>
                      <a:noFill/>
                    </a:ln>
                  </pic:spPr>
                </pic:pic>
              </a:graphicData>
            </a:graphic>
          </wp:inline>
        </w:drawing>
      </w:r>
    </w:p>
    <w:p w14:paraId="68178E29">
      <w:pPr>
        <w:rPr>
          <w:b/>
          <w:bCs/>
          <w:sz w:val="28"/>
          <w:szCs w:val="28"/>
        </w:rPr>
      </w:pPr>
    </w:p>
    <w:p w14:paraId="6AB5A704">
      <w:pPr>
        <w:rPr>
          <w:b/>
          <w:bCs/>
          <w:sz w:val="28"/>
          <w:szCs w:val="28"/>
        </w:rPr>
      </w:pPr>
      <w:r>
        <w:drawing>
          <wp:inline distT="0" distB="0" distL="114300" distR="114300">
            <wp:extent cx="5614670" cy="7935595"/>
            <wp:effectExtent l="0" t="0" r="24130" b="14605"/>
            <wp:docPr id="5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3"/>
                    <pic:cNvPicPr>
                      <a:picLocks noChangeAspect="1"/>
                    </pic:cNvPicPr>
                  </pic:nvPicPr>
                  <pic:blipFill>
                    <a:blip r:embed="rId81"/>
                    <a:stretch>
                      <a:fillRect/>
                    </a:stretch>
                  </pic:blipFill>
                  <pic:spPr>
                    <a:xfrm>
                      <a:off x="0" y="0"/>
                      <a:ext cx="5614670" cy="7935595"/>
                    </a:xfrm>
                    <a:prstGeom prst="rect">
                      <a:avLst/>
                    </a:prstGeom>
                    <a:noFill/>
                    <a:ln>
                      <a:noFill/>
                    </a:ln>
                  </pic:spPr>
                </pic:pic>
              </a:graphicData>
            </a:graphic>
          </wp:inline>
        </w:drawing>
      </w:r>
    </w:p>
    <w:p w14:paraId="55D5226A">
      <w:pPr>
        <w:rPr>
          <w:b/>
          <w:bCs/>
          <w:sz w:val="28"/>
          <w:szCs w:val="28"/>
        </w:rPr>
      </w:pPr>
    </w:p>
    <w:p w14:paraId="6C960DCD">
      <w:pPr>
        <w:rPr>
          <w:b/>
          <w:bCs/>
          <w:sz w:val="28"/>
          <w:szCs w:val="28"/>
        </w:rPr>
      </w:pPr>
      <w:r>
        <w:drawing>
          <wp:inline distT="0" distB="0" distL="114300" distR="114300">
            <wp:extent cx="5614670" cy="7935595"/>
            <wp:effectExtent l="0" t="0" r="24130" b="14605"/>
            <wp:docPr id="5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4"/>
                    <pic:cNvPicPr>
                      <a:picLocks noChangeAspect="1"/>
                    </pic:cNvPicPr>
                  </pic:nvPicPr>
                  <pic:blipFill>
                    <a:blip r:embed="rId82"/>
                    <a:stretch>
                      <a:fillRect/>
                    </a:stretch>
                  </pic:blipFill>
                  <pic:spPr>
                    <a:xfrm>
                      <a:off x="0" y="0"/>
                      <a:ext cx="5614670" cy="7935595"/>
                    </a:xfrm>
                    <a:prstGeom prst="rect">
                      <a:avLst/>
                    </a:prstGeom>
                    <a:noFill/>
                    <a:ln>
                      <a:noFill/>
                    </a:ln>
                  </pic:spPr>
                </pic:pic>
              </a:graphicData>
            </a:graphic>
          </wp:inline>
        </w:drawing>
      </w:r>
    </w:p>
    <w:p w14:paraId="539C74BF">
      <w:pPr>
        <w:rPr>
          <w:b/>
          <w:bCs/>
          <w:sz w:val="28"/>
          <w:szCs w:val="28"/>
        </w:rPr>
      </w:pPr>
    </w:p>
    <w:p w14:paraId="3437A638">
      <w:pPr>
        <w:rPr>
          <w:b/>
          <w:bCs/>
          <w:sz w:val="28"/>
          <w:szCs w:val="28"/>
        </w:rPr>
      </w:pPr>
      <w:r>
        <w:drawing>
          <wp:inline distT="0" distB="0" distL="114300" distR="114300">
            <wp:extent cx="5614670" cy="7935595"/>
            <wp:effectExtent l="0" t="0" r="24130" b="14605"/>
            <wp:docPr id="6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5"/>
                    <pic:cNvPicPr>
                      <a:picLocks noChangeAspect="1"/>
                    </pic:cNvPicPr>
                  </pic:nvPicPr>
                  <pic:blipFill>
                    <a:blip r:embed="rId83"/>
                    <a:stretch>
                      <a:fillRect/>
                    </a:stretch>
                  </pic:blipFill>
                  <pic:spPr>
                    <a:xfrm>
                      <a:off x="0" y="0"/>
                      <a:ext cx="5614670" cy="7935595"/>
                    </a:xfrm>
                    <a:prstGeom prst="rect">
                      <a:avLst/>
                    </a:prstGeom>
                    <a:noFill/>
                    <a:ln>
                      <a:noFill/>
                    </a:ln>
                  </pic:spPr>
                </pic:pic>
              </a:graphicData>
            </a:graphic>
          </wp:inline>
        </w:drawing>
      </w:r>
    </w:p>
    <w:p w14:paraId="55F07C39">
      <w:pPr>
        <w:rPr>
          <w:b/>
          <w:bCs/>
          <w:sz w:val="28"/>
          <w:szCs w:val="28"/>
        </w:rPr>
      </w:pPr>
    </w:p>
    <w:p w14:paraId="05DA744C">
      <w:pPr>
        <w:rPr>
          <w:b/>
          <w:bCs/>
          <w:sz w:val="28"/>
          <w:szCs w:val="28"/>
        </w:rPr>
      </w:pPr>
      <w:r>
        <w:drawing>
          <wp:inline distT="0" distB="0" distL="114300" distR="114300">
            <wp:extent cx="5614670" cy="7935595"/>
            <wp:effectExtent l="0" t="0" r="24130" b="14605"/>
            <wp:docPr id="6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6"/>
                    <pic:cNvPicPr>
                      <a:picLocks noChangeAspect="1"/>
                    </pic:cNvPicPr>
                  </pic:nvPicPr>
                  <pic:blipFill>
                    <a:blip r:embed="rId84"/>
                    <a:stretch>
                      <a:fillRect/>
                    </a:stretch>
                  </pic:blipFill>
                  <pic:spPr>
                    <a:xfrm>
                      <a:off x="0" y="0"/>
                      <a:ext cx="5614670" cy="7935595"/>
                    </a:xfrm>
                    <a:prstGeom prst="rect">
                      <a:avLst/>
                    </a:prstGeom>
                    <a:noFill/>
                    <a:ln>
                      <a:noFill/>
                    </a:ln>
                  </pic:spPr>
                </pic:pic>
              </a:graphicData>
            </a:graphic>
          </wp:inline>
        </w:drawing>
      </w:r>
    </w:p>
    <w:p w14:paraId="28AC3611">
      <w:pPr>
        <w:rPr>
          <w:b/>
          <w:bCs/>
          <w:sz w:val="28"/>
          <w:szCs w:val="28"/>
        </w:rPr>
      </w:pPr>
    </w:p>
    <w:p w14:paraId="71A2F553">
      <w:pPr>
        <w:rPr>
          <w:b/>
          <w:bCs/>
          <w:sz w:val="28"/>
          <w:szCs w:val="28"/>
        </w:rPr>
      </w:pPr>
      <w:r>
        <w:drawing>
          <wp:inline distT="0" distB="0" distL="114300" distR="114300">
            <wp:extent cx="5614670" cy="7935595"/>
            <wp:effectExtent l="0" t="0" r="24130" b="14605"/>
            <wp:docPr id="6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7"/>
                    <pic:cNvPicPr>
                      <a:picLocks noChangeAspect="1"/>
                    </pic:cNvPicPr>
                  </pic:nvPicPr>
                  <pic:blipFill>
                    <a:blip r:embed="rId85"/>
                    <a:stretch>
                      <a:fillRect/>
                    </a:stretch>
                  </pic:blipFill>
                  <pic:spPr>
                    <a:xfrm>
                      <a:off x="0" y="0"/>
                      <a:ext cx="5614670" cy="7935595"/>
                    </a:xfrm>
                    <a:prstGeom prst="rect">
                      <a:avLst/>
                    </a:prstGeom>
                    <a:noFill/>
                    <a:ln>
                      <a:noFill/>
                    </a:ln>
                  </pic:spPr>
                </pic:pic>
              </a:graphicData>
            </a:graphic>
          </wp:inline>
        </w:drawing>
      </w:r>
    </w:p>
    <w:p w14:paraId="13AA787A">
      <w:pPr>
        <w:rPr>
          <w:b/>
          <w:bCs/>
          <w:sz w:val="28"/>
          <w:szCs w:val="28"/>
        </w:rPr>
      </w:pPr>
    </w:p>
    <w:p w14:paraId="0DDC9599">
      <w:pPr>
        <w:rPr>
          <w:b/>
          <w:bCs/>
          <w:sz w:val="28"/>
          <w:szCs w:val="28"/>
        </w:rPr>
      </w:pPr>
      <w:r>
        <w:drawing>
          <wp:inline distT="0" distB="0" distL="114300" distR="114300">
            <wp:extent cx="5614670" cy="7935595"/>
            <wp:effectExtent l="0" t="0" r="24130" b="14605"/>
            <wp:docPr id="6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8"/>
                    <pic:cNvPicPr>
                      <a:picLocks noChangeAspect="1"/>
                    </pic:cNvPicPr>
                  </pic:nvPicPr>
                  <pic:blipFill>
                    <a:blip r:embed="rId86"/>
                    <a:stretch>
                      <a:fillRect/>
                    </a:stretch>
                  </pic:blipFill>
                  <pic:spPr>
                    <a:xfrm>
                      <a:off x="0" y="0"/>
                      <a:ext cx="5614670" cy="7935595"/>
                    </a:xfrm>
                    <a:prstGeom prst="rect">
                      <a:avLst/>
                    </a:prstGeom>
                    <a:noFill/>
                    <a:ln>
                      <a:noFill/>
                    </a:ln>
                  </pic:spPr>
                </pic:pic>
              </a:graphicData>
            </a:graphic>
          </wp:inline>
        </w:drawing>
      </w:r>
    </w:p>
    <w:p w14:paraId="6263C7AD">
      <w:pPr>
        <w:rPr>
          <w:b/>
          <w:bCs/>
          <w:sz w:val="28"/>
          <w:szCs w:val="28"/>
        </w:rPr>
      </w:pPr>
    </w:p>
    <w:p w14:paraId="28F0216C">
      <w:pPr>
        <w:rPr>
          <w:b/>
          <w:bCs/>
          <w:sz w:val="28"/>
          <w:szCs w:val="28"/>
        </w:rPr>
      </w:pPr>
      <w:r>
        <w:drawing>
          <wp:inline distT="0" distB="0" distL="114300" distR="114300">
            <wp:extent cx="5614670" cy="7935595"/>
            <wp:effectExtent l="0" t="0" r="24130" b="14605"/>
            <wp:docPr id="6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9"/>
                    <pic:cNvPicPr>
                      <a:picLocks noChangeAspect="1"/>
                    </pic:cNvPicPr>
                  </pic:nvPicPr>
                  <pic:blipFill>
                    <a:blip r:embed="rId87"/>
                    <a:stretch>
                      <a:fillRect/>
                    </a:stretch>
                  </pic:blipFill>
                  <pic:spPr>
                    <a:xfrm>
                      <a:off x="0" y="0"/>
                      <a:ext cx="5614670" cy="7935595"/>
                    </a:xfrm>
                    <a:prstGeom prst="rect">
                      <a:avLst/>
                    </a:prstGeom>
                    <a:noFill/>
                    <a:ln>
                      <a:noFill/>
                    </a:ln>
                  </pic:spPr>
                </pic:pic>
              </a:graphicData>
            </a:graphic>
          </wp:inline>
        </w:drawing>
      </w:r>
    </w:p>
    <w:p w14:paraId="1F3F0374">
      <w:pPr>
        <w:ind w:firstLine="562"/>
        <w:rPr>
          <w:b/>
          <w:bCs/>
          <w:sz w:val="28"/>
          <w:szCs w:val="28"/>
        </w:rPr>
      </w:pPr>
    </w:p>
    <w:p w14:paraId="4F743D1A">
      <w:pPr>
        <w:rPr>
          <w:b/>
          <w:bCs/>
          <w:sz w:val="28"/>
          <w:szCs w:val="28"/>
        </w:rPr>
      </w:pPr>
      <w:r>
        <w:drawing>
          <wp:inline distT="0" distB="0" distL="114300" distR="114300">
            <wp:extent cx="5614670" cy="7935595"/>
            <wp:effectExtent l="0" t="0" r="24130" b="14605"/>
            <wp:docPr id="6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0"/>
                    <pic:cNvPicPr>
                      <a:picLocks noChangeAspect="1"/>
                    </pic:cNvPicPr>
                  </pic:nvPicPr>
                  <pic:blipFill>
                    <a:blip r:embed="rId88"/>
                    <a:stretch>
                      <a:fillRect/>
                    </a:stretch>
                  </pic:blipFill>
                  <pic:spPr>
                    <a:xfrm>
                      <a:off x="0" y="0"/>
                      <a:ext cx="5614670" cy="7935595"/>
                    </a:xfrm>
                    <a:prstGeom prst="rect">
                      <a:avLst/>
                    </a:prstGeom>
                    <a:noFill/>
                    <a:ln>
                      <a:noFill/>
                    </a:ln>
                  </pic:spPr>
                </pic:pic>
              </a:graphicData>
            </a:graphic>
          </wp:inline>
        </w:drawing>
      </w:r>
    </w:p>
    <w:p w14:paraId="3958DE9F">
      <w:pPr>
        <w:ind w:firstLine="562"/>
        <w:rPr>
          <w:b/>
          <w:bCs/>
          <w:sz w:val="28"/>
          <w:szCs w:val="28"/>
        </w:rPr>
      </w:pPr>
    </w:p>
    <w:p w14:paraId="21613AE0">
      <w:pPr>
        <w:rPr>
          <w:b/>
          <w:bCs/>
          <w:sz w:val="28"/>
          <w:szCs w:val="28"/>
        </w:rPr>
      </w:pPr>
      <w:r>
        <w:drawing>
          <wp:inline distT="0" distB="0" distL="114300" distR="114300">
            <wp:extent cx="5614670" cy="7935595"/>
            <wp:effectExtent l="0" t="0" r="24130" b="14605"/>
            <wp:docPr id="7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1"/>
                    <pic:cNvPicPr>
                      <a:picLocks noChangeAspect="1"/>
                    </pic:cNvPicPr>
                  </pic:nvPicPr>
                  <pic:blipFill>
                    <a:blip r:embed="rId89"/>
                    <a:stretch>
                      <a:fillRect/>
                    </a:stretch>
                  </pic:blipFill>
                  <pic:spPr>
                    <a:xfrm>
                      <a:off x="0" y="0"/>
                      <a:ext cx="5614670" cy="7935595"/>
                    </a:xfrm>
                    <a:prstGeom prst="rect">
                      <a:avLst/>
                    </a:prstGeom>
                    <a:noFill/>
                    <a:ln>
                      <a:noFill/>
                    </a:ln>
                  </pic:spPr>
                </pic:pic>
              </a:graphicData>
            </a:graphic>
          </wp:inline>
        </w:drawing>
      </w:r>
    </w:p>
    <w:p w14:paraId="2A1C774C">
      <w:pPr>
        <w:ind w:firstLine="562"/>
        <w:rPr>
          <w:b/>
          <w:bCs/>
          <w:sz w:val="28"/>
          <w:szCs w:val="28"/>
        </w:rPr>
      </w:pPr>
    </w:p>
    <w:p w14:paraId="211962DF">
      <w:pPr>
        <w:rPr>
          <w:b/>
          <w:bCs/>
          <w:sz w:val="28"/>
          <w:szCs w:val="28"/>
        </w:rPr>
      </w:pPr>
      <w:r>
        <w:drawing>
          <wp:inline distT="0" distB="0" distL="114300" distR="114300">
            <wp:extent cx="5614670" cy="7935595"/>
            <wp:effectExtent l="0" t="0" r="24130" b="14605"/>
            <wp:docPr id="7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2"/>
                    <pic:cNvPicPr>
                      <a:picLocks noChangeAspect="1"/>
                    </pic:cNvPicPr>
                  </pic:nvPicPr>
                  <pic:blipFill>
                    <a:blip r:embed="rId90"/>
                    <a:stretch>
                      <a:fillRect/>
                    </a:stretch>
                  </pic:blipFill>
                  <pic:spPr>
                    <a:xfrm>
                      <a:off x="0" y="0"/>
                      <a:ext cx="5614670" cy="7935595"/>
                    </a:xfrm>
                    <a:prstGeom prst="rect">
                      <a:avLst/>
                    </a:prstGeom>
                    <a:noFill/>
                    <a:ln>
                      <a:noFill/>
                    </a:ln>
                  </pic:spPr>
                </pic:pic>
              </a:graphicData>
            </a:graphic>
          </wp:inline>
        </w:drawing>
      </w:r>
    </w:p>
    <w:p w14:paraId="65F2CAB1">
      <w:pPr>
        <w:ind w:firstLine="562"/>
        <w:rPr>
          <w:b/>
          <w:bCs/>
          <w:sz w:val="28"/>
          <w:szCs w:val="28"/>
        </w:rPr>
      </w:pPr>
    </w:p>
    <w:p w14:paraId="2E56E5A8">
      <w:pPr>
        <w:rPr>
          <w:b/>
          <w:bCs/>
          <w:sz w:val="28"/>
          <w:szCs w:val="28"/>
        </w:rPr>
      </w:pPr>
      <w:r>
        <w:drawing>
          <wp:inline distT="0" distB="0" distL="114300" distR="114300">
            <wp:extent cx="5614670" cy="7935595"/>
            <wp:effectExtent l="0" t="0" r="24130" b="14605"/>
            <wp:docPr id="7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23"/>
                    <pic:cNvPicPr>
                      <a:picLocks noChangeAspect="1"/>
                    </pic:cNvPicPr>
                  </pic:nvPicPr>
                  <pic:blipFill>
                    <a:blip r:embed="rId91"/>
                    <a:stretch>
                      <a:fillRect/>
                    </a:stretch>
                  </pic:blipFill>
                  <pic:spPr>
                    <a:xfrm>
                      <a:off x="0" y="0"/>
                      <a:ext cx="5614670" cy="7935595"/>
                    </a:xfrm>
                    <a:prstGeom prst="rect">
                      <a:avLst/>
                    </a:prstGeom>
                    <a:noFill/>
                    <a:ln>
                      <a:noFill/>
                    </a:ln>
                  </pic:spPr>
                </pic:pic>
              </a:graphicData>
            </a:graphic>
          </wp:inline>
        </w:drawing>
      </w:r>
    </w:p>
    <w:p w14:paraId="56B53373">
      <w:pPr>
        <w:ind w:firstLine="562"/>
        <w:rPr>
          <w:b/>
          <w:bCs/>
          <w:sz w:val="28"/>
          <w:szCs w:val="28"/>
        </w:rPr>
      </w:pPr>
    </w:p>
    <w:p w14:paraId="00839F51">
      <w:pPr>
        <w:rPr>
          <w:b/>
          <w:bCs/>
          <w:sz w:val="28"/>
          <w:szCs w:val="28"/>
        </w:rPr>
      </w:pPr>
      <w:r>
        <w:drawing>
          <wp:inline distT="0" distB="0" distL="114300" distR="114300">
            <wp:extent cx="5614670" cy="7935595"/>
            <wp:effectExtent l="0" t="0" r="24130" b="14605"/>
            <wp:docPr id="7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4"/>
                    <pic:cNvPicPr>
                      <a:picLocks noChangeAspect="1"/>
                    </pic:cNvPicPr>
                  </pic:nvPicPr>
                  <pic:blipFill>
                    <a:blip r:embed="rId92"/>
                    <a:stretch>
                      <a:fillRect/>
                    </a:stretch>
                  </pic:blipFill>
                  <pic:spPr>
                    <a:xfrm>
                      <a:off x="0" y="0"/>
                      <a:ext cx="5614670" cy="7935595"/>
                    </a:xfrm>
                    <a:prstGeom prst="rect">
                      <a:avLst/>
                    </a:prstGeom>
                    <a:noFill/>
                    <a:ln>
                      <a:noFill/>
                    </a:ln>
                  </pic:spPr>
                </pic:pic>
              </a:graphicData>
            </a:graphic>
          </wp:inline>
        </w:drawing>
      </w:r>
    </w:p>
    <w:p w14:paraId="5483A66A">
      <w:pPr>
        <w:ind w:firstLine="562"/>
        <w:rPr>
          <w:b/>
          <w:bCs/>
          <w:sz w:val="28"/>
          <w:szCs w:val="28"/>
        </w:rPr>
      </w:pPr>
    </w:p>
    <w:p w14:paraId="59940EFE">
      <w:pPr>
        <w:rPr>
          <w:b/>
          <w:bCs/>
          <w:sz w:val="28"/>
          <w:szCs w:val="28"/>
        </w:rPr>
      </w:pPr>
      <w:r>
        <w:drawing>
          <wp:inline distT="0" distB="0" distL="114300" distR="114300">
            <wp:extent cx="5614670" cy="7935595"/>
            <wp:effectExtent l="0" t="0" r="24130" b="14605"/>
            <wp:docPr id="7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5"/>
                    <pic:cNvPicPr>
                      <a:picLocks noChangeAspect="1"/>
                    </pic:cNvPicPr>
                  </pic:nvPicPr>
                  <pic:blipFill>
                    <a:blip r:embed="rId93"/>
                    <a:stretch>
                      <a:fillRect/>
                    </a:stretch>
                  </pic:blipFill>
                  <pic:spPr>
                    <a:xfrm>
                      <a:off x="0" y="0"/>
                      <a:ext cx="5614670" cy="7935595"/>
                    </a:xfrm>
                    <a:prstGeom prst="rect">
                      <a:avLst/>
                    </a:prstGeom>
                    <a:noFill/>
                    <a:ln>
                      <a:noFill/>
                    </a:ln>
                  </pic:spPr>
                </pic:pic>
              </a:graphicData>
            </a:graphic>
          </wp:inline>
        </w:drawing>
      </w:r>
    </w:p>
    <w:p w14:paraId="20100D74">
      <w:pPr>
        <w:ind w:firstLine="562"/>
        <w:rPr>
          <w:b/>
          <w:bCs/>
          <w:sz w:val="28"/>
          <w:szCs w:val="28"/>
        </w:rPr>
      </w:pPr>
    </w:p>
    <w:p w14:paraId="22E0D330">
      <w:pPr>
        <w:rPr>
          <w:b/>
          <w:bCs/>
          <w:sz w:val="28"/>
          <w:szCs w:val="28"/>
        </w:rPr>
      </w:pPr>
      <w:r>
        <w:drawing>
          <wp:inline distT="0" distB="0" distL="114300" distR="114300">
            <wp:extent cx="5614670" cy="7935595"/>
            <wp:effectExtent l="0" t="0" r="24130" b="14605"/>
            <wp:docPr id="8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26"/>
                    <pic:cNvPicPr>
                      <a:picLocks noChangeAspect="1"/>
                    </pic:cNvPicPr>
                  </pic:nvPicPr>
                  <pic:blipFill>
                    <a:blip r:embed="rId94"/>
                    <a:stretch>
                      <a:fillRect/>
                    </a:stretch>
                  </pic:blipFill>
                  <pic:spPr>
                    <a:xfrm>
                      <a:off x="0" y="0"/>
                      <a:ext cx="5614670" cy="7935595"/>
                    </a:xfrm>
                    <a:prstGeom prst="rect">
                      <a:avLst/>
                    </a:prstGeom>
                    <a:noFill/>
                    <a:ln>
                      <a:noFill/>
                    </a:ln>
                  </pic:spPr>
                </pic:pic>
              </a:graphicData>
            </a:graphic>
          </wp:inline>
        </w:drawing>
      </w:r>
    </w:p>
    <w:p w14:paraId="2612AD2F">
      <w:pPr>
        <w:ind w:firstLine="562"/>
        <w:rPr>
          <w:b/>
          <w:bCs/>
          <w:sz w:val="28"/>
          <w:szCs w:val="28"/>
        </w:rPr>
      </w:pPr>
    </w:p>
    <w:p w14:paraId="358AA843">
      <w:pPr>
        <w:rPr>
          <w:b/>
          <w:bCs/>
          <w:sz w:val="28"/>
          <w:szCs w:val="28"/>
        </w:rPr>
      </w:pPr>
      <w:r>
        <w:drawing>
          <wp:inline distT="0" distB="0" distL="114300" distR="114300">
            <wp:extent cx="5614670" cy="7935595"/>
            <wp:effectExtent l="0" t="0" r="24130" b="14605"/>
            <wp:docPr id="8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7"/>
                    <pic:cNvPicPr>
                      <a:picLocks noChangeAspect="1"/>
                    </pic:cNvPicPr>
                  </pic:nvPicPr>
                  <pic:blipFill>
                    <a:blip r:embed="rId95"/>
                    <a:stretch>
                      <a:fillRect/>
                    </a:stretch>
                  </pic:blipFill>
                  <pic:spPr>
                    <a:xfrm>
                      <a:off x="0" y="0"/>
                      <a:ext cx="5614670" cy="7935595"/>
                    </a:xfrm>
                    <a:prstGeom prst="rect">
                      <a:avLst/>
                    </a:prstGeom>
                    <a:noFill/>
                    <a:ln>
                      <a:noFill/>
                    </a:ln>
                  </pic:spPr>
                </pic:pic>
              </a:graphicData>
            </a:graphic>
          </wp:inline>
        </w:drawing>
      </w:r>
    </w:p>
    <w:p w14:paraId="2365D10F">
      <w:pPr>
        <w:ind w:firstLine="562"/>
        <w:rPr>
          <w:b/>
          <w:bCs/>
          <w:sz w:val="28"/>
          <w:szCs w:val="28"/>
        </w:rPr>
      </w:pPr>
    </w:p>
    <w:p w14:paraId="1411E134">
      <w:pPr>
        <w:rPr>
          <w:b/>
          <w:bCs/>
          <w:sz w:val="28"/>
          <w:szCs w:val="28"/>
        </w:rPr>
      </w:pPr>
      <w:r>
        <w:drawing>
          <wp:inline distT="0" distB="0" distL="114300" distR="114300">
            <wp:extent cx="5614670" cy="7935595"/>
            <wp:effectExtent l="0" t="0" r="24130" b="14605"/>
            <wp:docPr id="8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8"/>
                    <pic:cNvPicPr>
                      <a:picLocks noChangeAspect="1"/>
                    </pic:cNvPicPr>
                  </pic:nvPicPr>
                  <pic:blipFill>
                    <a:blip r:embed="rId96"/>
                    <a:stretch>
                      <a:fillRect/>
                    </a:stretch>
                  </pic:blipFill>
                  <pic:spPr>
                    <a:xfrm>
                      <a:off x="0" y="0"/>
                      <a:ext cx="5614670" cy="7935595"/>
                    </a:xfrm>
                    <a:prstGeom prst="rect">
                      <a:avLst/>
                    </a:prstGeom>
                    <a:noFill/>
                    <a:ln>
                      <a:noFill/>
                    </a:ln>
                  </pic:spPr>
                </pic:pic>
              </a:graphicData>
            </a:graphic>
          </wp:inline>
        </w:drawing>
      </w:r>
    </w:p>
    <w:p w14:paraId="0CF93693">
      <w:pPr>
        <w:ind w:firstLine="562"/>
        <w:rPr>
          <w:b/>
          <w:bCs/>
          <w:sz w:val="28"/>
          <w:szCs w:val="28"/>
        </w:rPr>
      </w:pPr>
    </w:p>
    <w:p w14:paraId="4FAF5F19">
      <w:pPr>
        <w:rPr>
          <w:b/>
          <w:bCs/>
          <w:sz w:val="28"/>
          <w:szCs w:val="28"/>
        </w:rPr>
      </w:pPr>
      <w:r>
        <w:drawing>
          <wp:inline distT="0" distB="0" distL="114300" distR="114300">
            <wp:extent cx="5614670" cy="7935595"/>
            <wp:effectExtent l="0" t="0" r="24130" b="14605"/>
            <wp:docPr id="8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9"/>
                    <pic:cNvPicPr>
                      <a:picLocks noChangeAspect="1"/>
                    </pic:cNvPicPr>
                  </pic:nvPicPr>
                  <pic:blipFill>
                    <a:blip r:embed="rId97"/>
                    <a:stretch>
                      <a:fillRect/>
                    </a:stretch>
                  </pic:blipFill>
                  <pic:spPr>
                    <a:xfrm>
                      <a:off x="0" y="0"/>
                      <a:ext cx="5614670" cy="7935595"/>
                    </a:xfrm>
                    <a:prstGeom prst="rect">
                      <a:avLst/>
                    </a:prstGeom>
                    <a:noFill/>
                    <a:ln>
                      <a:noFill/>
                    </a:ln>
                  </pic:spPr>
                </pic:pic>
              </a:graphicData>
            </a:graphic>
          </wp:inline>
        </w:drawing>
      </w:r>
    </w:p>
    <w:p w14:paraId="15E016AE">
      <w:pPr>
        <w:rPr>
          <w:b/>
          <w:bCs/>
          <w:sz w:val="28"/>
          <w:szCs w:val="28"/>
        </w:rPr>
      </w:pPr>
    </w:p>
    <w:p w14:paraId="50D2C775">
      <w:pPr>
        <w:rPr>
          <w:b/>
          <w:bCs/>
          <w:sz w:val="28"/>
          <w:szCs w:val="28"/>
        </w:rPr>
      </w:pPr>
      <w:r>
        <w:drawing>
          <wp:inline distT="0" distB="0" distL="114300" distR="114300">
            <wp:extent cx="5614670" cy="7935595"/>
            <wp:effectExtent l="0" t="0" r="24130" b="14605"/>
            <wp:docPr id="8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0"/>
                    <pic:cNvPicPr>
                      <a:picLocks noChangeAspect="1"/>
                    </pic:cNvPicPr>
                  </pic:nvPicPr>
                  <pic:blipFill>
                    <a:blip r:embed="rId98"/>
                    <a:stretch>
                      <a:fillRect/>
                    </a:stretch>
                  </pic:blipFill>
                  <pic:spPr>
                    <a:xfrm>
                      <a:off x="0" y="0"/>
                      <a:ext cx="5614670" cy="7935595"/>
                    </a:xfrm>
                    <a:prstGeom prst="rect">
                      <a:avLst/>
                    </a:prstGeom>
                    <a:noFill/>
                    <a:ln>
                      <a:noFill/>
                    </a:ln>
                  </pic:spPr>
                </pic:pic>
              </a:graphicData>
            </a:graphic>
          </wp:inline>
        </w:drawing>
      </w:r>
    </w:p>
    <w:p w14:paraId="413AC0D3">
      <w:pPr>
        <w:rPr>
          <w:b/>
          <w:bCs/>
          <w:sz w:val="28"/>
          <w:szCs w:val="28"/>
        </w:rPr>
      </w:pPr>
    </w:p>
    <w:p w14:paraId="06043905">
      <w:pPr>
        <w:rPr>
          <w:b/>
          <w:bCs/>
          <w:sz w:val="28"/>
          <w:szCs w:val="28"/>
        </w:rPr>
      </w:pPr>
      <w:r>
        <w:drawing>
          <wp:inline distT="0" distB="0" distL="114300" distR="114300">
            <wp:extent cx="5614670" cy="7935595"/>
            <wp:effectExtent l="0" t="0" r="24130" b="14605"/>
            <wp:docPr id="8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31"/>
                    <pic:cNvPicPr>
                      <a:picLocks noChangeAspect="1"/>
                    </pic:cNvPicPr>
                  </pic:nvPicPr>
                  <pic:blipFill>
                    <a:blip r:embed="rId99"/>
                    <a:stretch>
                      <a:fillRect/>
                    </a:stretch>
                  </pic:blipFill>
                  <pic:spPr>
                    <a:xfrm>
                      <a:off x="0" y="0"/>
                      <a:ext cx="5614670" cy="7935595"/>
                    </a:xfrm>
                    <a:prstGeom prst="rect">
                      <a:avLst/>
                    </a:prstGeom>
                    <a:noFill/>
                    <a:ln>
                      <a:noFill/>
                    </a:ln>
                  </pic:spPr>
                </pic:pic>
              </a:graphicData>
            </a:graphic>
          </wp:inline>
        </w:drawing>
      </w:r>
    </w:p>
    <w:p w14:paraId="6B0C2A8A">
      <w:pPr>
        <w:rPr>
          <w:b/>
          <w:bCs/>
          <w:sz w:val="28"/>
          <w:szCs w:val="28"/>
        </w:rPr>
      </w:pPr>
    </w:p>
    <w:p w14:paraId="4CC8D30A">
      <w:pPr>
        <w:rPr>
          <w:b/>
          <w:bCs/>
          <w:sz w:val="28"/>
          <w:szCs w:val="28"/>
        </w:rPr>
      </w:pPr>
      <w:r>
        <w:drawing>
          <wp:inline distT="0" distB="0" distL="114300" distR="114300">
            <wp:extent cx="5614670" cy="7935595"/>
            <wp:effectExtent l="0" t="0" r="24130" b="14605"/>
            <wp:docPr id="8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32"/>
                    <pic:cNvPicPr>
                      <a:picLocks noChangeAspect="1"/>
                    </pic:cNvPicPr>
                  </pic:nvPicPr>
                  <pic:blipFill>
                    <a:blip r:embed="rId100"/>
                    <a:stretch>
                      <a:fillRect/>
                    </a:stretch>
                  </pic:blipFill>
                  <pic:spPr>
                    <a:xfrm>
                      <a:off x="0" y="0"/>
                      <a:ext cx="5614670" cy="7935595"/>
                    </a:xfrm>
                    <a:prstGeom prst="rect">
                      <a:avLst/>
                    </a:prstGeom>
                    <a:noFill/>
                    <a:ln>
                      <a:noFill/>
                    </a:ln>
                  </pic:spPr>
                </pic:pic>
              </a:graphicData>
            </a:graphic>
          </wp:inline>
        </w:drawing>
      </w:r>
    </w:p>
    <w:p w14:paraId="4F54F77B">
      <w:pPr>
        <w:rPr>
          <w:b/>
          <w:bCs/>
          <w:sz w:val="28"/>
          <w:szCs w:val="28"/>
        </w:rPr>
      </w:pPr>
    </w:p>
    <w:p w14:paraId="09A70327">
      <w:r>
        <w:drawing>
          <wp:inline distT="0" distB="0" distL="114300" distR="114300">
            <wp:extent cx="5614670" cy="7935595"/>
            <wp:effectExtent l="0" t="0" r="24130" b="14605"/>
            <wp:docPr id="9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33"/>
                    <pic:cNvPicPr>
                      <a:picLocks noChangeAspect="1"/>
                    </pic:cNvPicPr>
                  </pic:nvPicPr>
                  <pic:blipFill>
                    <a:blip r:embed="rId101"/>
                    <a:stretch>
                      <a:fillRect/>
                    </a:stretch>
                  </pic:blipFill>
                  <pic:spPr>
                    <a:xfrm>
                      <a:off x="0" y="0"/>
                      <a:ext cx="5614670" cy="7935595"/>
                    </a:xfrm>
                    <a:prstGeom prst="rect">
                      <a:avLst/>
                    </a:prstGeom>
                    <a:noFill/>
                    <a:ln>
                      <a:noFill/>
                    </a:ln>
                  </pic:spPr>
                </pic:pic>
              </a:graphicData>
            </a:graphic>
          </wp:inline>
        </w:drawing>
      </w:r>
    </w:p>
    <w:p w14:paraId="7A8230CD">
      <w:pPr>
        <w:pStyle w:val="38"/>
        <w:ind w:firstLine="0"/>
        <w:rPr>
          <w:rFonts w:hint="eastAsia"/>
          <w:lang w:val="en-US" w:eastAsia="zh-CN"/>
        </w:rPr>
      </w:pPr>
    </w:p>
    <w:p w14:paraId="07875A47">
      <w:pPr>
        <w:pStyle w:val="38"/>
        <w:ind w:firstLine="0"/>
        <w:rPr>
          <w:rFonts w:hint="eastAsia"/>
          <w:lang w:val="en-US" w:eastAsia="zh-CN"/>
        </w:rPr>
      </w:pPr>
    </w:p>
    <w:p w14:paraId="4B795299">
      <w:pPr>
        <w:pStyle w:val="21"/>
        <w:ind w:left="0" w:leftChars="0" w:firstLine="0" w:firstLineChars="0"/>
        <w:rPr>
          <w:rFonts w:hint="default" w:cs="宋体"/>
          <w:b/>
          <w:bCs/>
          <w:color w:val="1331F5"/>
          <w:sz w:val="28"/>
          <w:szCs w:val="28"/>
          <w:lang w:val="en-US" w:eastAsia="zh-CN"/>
        </w:rPr>
      </w:pPr>
      <w:r>
        <w:rPr>
          <w:rFonts w:hint="eastAsia" w:cs="宋体"/>
          <w:b/>
          <w:bCs/>
          <w:color w:val="1331F5"/>
          <w:sz w:val="28"/>
          <w:szCs w:val="28"/>
          <w:lang w:val="en-US" w:eastAsia="zh-CN"/>
        </w:rPr>
        <w:t>附件9:张掖市生态环境局不予行政处罚决定书</w:t>
      </w:r>
    </w:p>
    <w:p w14:paraId="15F4D680">
      <w:pPr>
        <w:pStyle w:val="38"/>
        <w:ind w:firstLine="0"/>
        <w:rPr>
          <w:rFonts w:hint="eastAsia" w:eastAsiaTheme="minorEastAsia"/>
          <w:lang w:eastAsia="zh-CN"/>
        </w:rPr>
      </w:pPr>
      <w:r>
        <w:rPr>
          <w:rFonts w:hint="eastAsia" w:eastAsiaTheme="minorEastAsia"/>
          <w:lang w:eastAsia="zh-CN"/>
        </w:rPr>
        <w:drawing>
          <wp:inline distT="0" distB="0" distL="114300" distR="114300">
            <wp:extent cx="5608320" cy="7934960"/>
            <wp:effectExtent l="0" t="0" r="5080" b="15240"/>
            <wp:docPr id="13" name="图片 13" descr="cd8e2ef25384be247419121f60e59f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d8e2ef25384be247419121f60e59ff4"/>
                    <pic:cNvPicPr>
                      <a:picLocks noChangeAspect="1"/>
                    </pic:cNvPicPr>
                  </pic:nvPicPr>
                  <pic:blipFill>
                    <a:blip r:embed="rId102"/>
                    <a:stretch>
                      <a:fillRect/>
                    </a:stretch>
                  </pic:blipFill>
                  <pic:spPr>
                    <a:xfrm>
                      <a:off x="0" y="0"/>
                      <a:ext cx="5608320" cy="7934960"/>
                    </a:xfrm>
                    <a:prstGeom prst="rect">
                      <a:avLst/>
                    </a:prstGeom>
                  </pic:spPr>
                </pic:pic>
              </a:graphicData>
            </a:graphic>
          </wp:inline>
        </w:drawing>
      </w:r>
    </w:p>
    <w:p w14:paraId="3152E516">
      <w:pPr>
        <w:pStyle w:val="38"/>
        <w:ind w:firstLine="0"/>
        <w:rPr>
          <w:rFonts w:hint="eastAsia" w:eastAsiaTheme="minorEastAsia"/>
          <w:lang w:eastAsia="zh-CN"/>
        </w:rPr>
      </w:pPr>
      <w:r>
        <w:rPr>
          <w:rFonts w:hint="eastAsia" w:eastAsiaTheme="minorEastAsia"/>
          <w:lang w:eastAsia="zh-CN"/>
        </w:rPr>
        <w:drawing>
          <wp:inline distT="0" distB="0" distL="114300" distR="114300">
            <wp:extent cx="5608320" cy="7930515"/>
            <wp:effectExtent l="0" t="0" r="5080" b="19685"/>
            <wp:docPr id="18" name="图片 18" descr="ffc3ff65d7674da271abd379a89103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fc3ff65d7674da271abd379a89103b3"/>
                    <pic:cNvPicPr>
                      <a:picLocks noChangeAspect="1"/>
                    </pic:cNvPicPr>
                  </pic:nvPicPr>
                  <pic:blipFill>
                    <a:blip r:embed="rId103"/>
                    <a:stretch>
                      <a:fillRect/>
                    </a:stretch>
                  </pic:blipFill>
                  <pic:spPr>
                    <a:xfrm>
                      <a:off x="0" y="0"/>
                      <a:ext cx="5608320" cy="7930515"/>
                    </a:xfrm>
                    <a:prstGeom prst="rect">
                      <a:avLst/>
                    </a:prstGeom>
                  </pic:spPr>
                </pic:pic>
              </a:graphicData>
            </a:graphic>
          </wp:inline>
        </w:drawing>
      </w:r>
    </w:p>
    <w:p w14:paraId="2419B2FE">
      <w:pPr>
        <w:pStyle w:val="38"/>
        <w:ind w:firstLine="0"/>
        <w:rPr>
          <w:rFonts w:hint="eastAsia" w:eastAsiaTheme="minorEastAsia"/>
          <w:lang w:eastAsia="zh-CN"/>
        </w:rPr>
      </w:pPr>
    </w:p>
    <w:p w14:paraId="2D948A9B">
      <w:pPr>
        <w:pStyle w:val="38"/>
        <w:ind w:firstLine="0"/>
        <w:rPr>
          <w:rFonts w:hint="eastAsia" w:eastAsiaTheme="minorEastAsia"/>
          <w:lang w:eastAsia="zh-CN"/>
        </w:rPr>
      </w:pPr>
    </w:p>
    <w:p w14:paraId="05BC0122">
      <w:pPr>
        <w:pStyle w:val="38"/>
        <w:ind w:firstLine="0"/>
        <w:rPr>
          <w:rFonts w:hint="eastAsia" w:eastAsiaTheme="minorEastAsia"/>
          <w:lang w:eastAsia="zh-CN"/>
        </w:rPr>
      </w:pPr>
    </w:p>
    <w:p w14:paraId="61391829">
      <w:pPr>
        <w:pStyle w:val="38"/>
        <w:ind w:firstLine="0"/>
        <w:rPr>
          <w:rFonts w:hint="eastAsia" w:eastAsiaTheme="minorEastAsia"/>
          <w:lang w:eastAsia="zh-CN"/>
        </w:rPr>
        <w:sectPr>
          <w:pgSz w:w="11906" w:h="16838"/>
          <w:pgMar w:top="1702" w:right="1531" w:bottom="1702" w:left="1531" w:header="851" w:footer="1417" w:gutter="0"/>
          <w:pgNumType w:fmt="decimal"/>
          <w:cols w:space="425" w:num="1"/>
          <w:docGrid w:type="lines" w:linePitch="312" w:charSpace="0"/>
        </w:sectPr>
      </w:pPr>
      <w:r>
        <w:rPr>
          <w:rFonts w:hint="eastAsia" w:eastAsiaTheme="minorEastAsia"/>
          <w:lang w:eastAsia="zh-CN"/>
        </w:rPr>
        <w:drawing>
          <wp:inline distT="0" distB="0" distL="114300" distR="114300">
            <wp:extent cx="5603875" cy="7934960"/>
            <wp:effectExtent l="0" t="0" r="9525" b="15240"/>
            <wp:docPr id="32" name="图片 32" descr="ad2db3f6ad2e2f44466c3fdc4876e9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ad2db3f6ad2e2f44466c3fdc4876e9a0"/>
                    <pic:cNvPicPr>
                      <a:picLocks noChangeAspect="1"/>
                    </pic:cNvPicPr>
                  </pic:nvPicPr>
                  <pic:blipFill>
                    <a:blip r:embed="rId104"/>
                    <a:stretch>
                      <a:fillRect/>
                    </a:stretch>
                  </pic:blipFill>
                  <pic:spPr>
                    <a:xfrm>
                      <a:off x="0" y="0"/>
                      <a:ext cx="5603875" cy="7934960"/>
                    </a:xfrm>
                    <a:prstGeom prst="rect">
                      <a:avLst/>
                    </a:prstGeom>
                  </pic:spPr>
                </pic:pic>
              </a:graphicData>
            </a:graphic>
          </wp:inline>
        </w:drawing>
      </w:r>
    </w:p>
    <w:p w14:paraId="65B975E4">
      <w:pPr>
        <w:pStyle w:val="21"/>
        <w:ind w:left="0" w:leftChars="0" w:firstLine="0" w:firstLineChars="0"/>
        <w:rPr>
          <w:rFonts w:hint="default" w:eastAsiaTheme="minorEastAsia"/>
          <w:lang w:val="en-US" w:eastAsia="zh-CN"/>
        </w:rPr>
      </w:pPr>
      <w:r>
        <w:rPr>
          <w:rFonts w:hint="eastAsia" w:cs="宋体"/>
          <w:b/>
          <w:bCs/>
          <w:color w:val="1331F5"/>
          <w:sz w:val="28"/>
          <w:szCs w:val="28"/>
          <w:lang w:val="en-US" w:eastAsia="zh-CN"/>
        </w:rPr>
        <w:t>附件10：建设内容及规模的确认函</w:t>
      </w:r>
    </w:p>
    <w:p w14:paraId="5AC42230">
      <w:pPr>
        <w:pStyle w:val="38"/>
        <w:ind w:firstLine="0"/>
        <w:jc w:val="center"/>
        <w:rPr>
          <w:rFonts w:hint="eastAsia" w:eastAsiaTheme="minorEastAsia"/>
          <w:lang w:eastAsia="zh-CN"/>
        </w:rPr>
        <w:sectPr>
          <w:pgSz w:w="11906" w:h="16838"/>
          <w:pgMar w:top="1702" w:right="1531" w:bottom="1702" w:left="1531" w:header="851" w:footer="1417" w:gutter="0"/>
          <w:pgNumType w:fmt="decimal"/>
          <w:cols w:space="425" w:num="1"/>
          <w:docGrid w:type="lines" w:linePitch="312" w:charSpace="0"/>
        </w:sectPr>
      </w:pPr>
      <w:r>
        <w:rPr>
          <w:rFonts w:hint="eastAsia" w:eastAsiaTheme="minorEastAsia"/>
          <w:lang w:eastAsia="zh-CN"/>
        </w:rPr>
        <w:drawing>
          <wp:inline distT="0" distB="0" distL="114300" distR="114300">
            <wp:extent cx="5281295" cy="7473315"/>
            <wp:effectExtent l="0" t="0" r="1905" b="19685"/>
            <wp:docPr id="19" name="图片 19" descr="258abead42d29253a6b9774ffeaadb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258abead42d29253a6b9774ffeaadb65"/>
                    <pic:cNvPicPr>
                      <a:picLocks noChangeAspect="1"/>
                    </pic:cNvPicPr>
                  </pic:nvPicPr>
                  <pic:blipFill>
                    <a:blip r:embed="rId105"/>
                    <a:stretch>
                      <a:fillRect/>
                    </a:stretch>
                  </pic:blipFill>
                  <pic:spPr>
                    <a:xfrm>
                      <a:off x="0" y="0"/>
                      <a:ext cx="5281295" cy="7473315"/>
                    </a:xfrm>
                    <a:prstGeom prst="rect">
                      <a:avLst/>
                    </a:prstGeom>
                  </pic:spPr>
                </pic:pic>
              </a:graphicData>
            </a:graphic>
          </wp:inline>
        </w:drawing>
      </w:r>
    </w:p>
    <w:p w14:paraId="0FF307F7">
      <w:pPr>
        <w:pStyle w:val="38"/>
        <w:ind w:firstLine="0"/>
        <w:rPr>
          <w:rFonts w:hint="eastAsia" w:eastAsiaTheme="minorEastAsia"/>
          <w:lang w:eastAsia="zh-CN"/>
        </w:rPr>
      </w:pPr>
      <w:r>
        <w:rPr>
          <w:rFonts w:hint="eastAsia" w:eastAsiaTheme="minorEastAsia"/>
          <w:lang w:eastAsia="zh-CN"/>
        </w:rPr>
        <w:drawing>
          <wp:inline distT="0" distB="0" distL="114300" distR="114300">
            <wp:extent cx="5610225" cy="7937500"/>
            <wp:effectExtent l="0" t="0" r="3175" b="12700"/>
            <wp:docPr id="20" name="图片 20" descr="7e883d284dd4886ca5ffab0fc62abc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7e883d284dd4886ca5ffab0fc62abc68"/>
                    <pic:cNvPicPr>
                      <a:picLocks noChangeAspect="1"/>
                    </pic:cNvPicPr>
                  </pic:nvPicPr>
                  <pic:blipFill>
                    <a:blip r:embed="rId106"/>
                    <a:stretch>
                      <a:fillRect/>
                    </a:stretch>
                  </pic:blipFill>
                  <pic:spPr>
                    <a:xfrm>
                      <a:off x="0" y="0"/>
                      <a:ext cx="5610225" cy="7937500"/>
                    </a:xfrm>
                    <a:prstGeom prst="rect">
                      <a:avLst/>
                    </a:prstGeom>
                  </pic:spPr>
                </pic:pic>
              </a:graphicData>
            </a:graphic>
          </wp:inline>
        </w:drawing>
      </w:r>
    </w:p>
    <w:p w14:paraId="046E22D1">
      <w:pPr>
        <w:pStyle w:val="38"/>
        <w:ind w:firstLine="0"/>
        <w:rPr>
          <w:rFonts w:hint="eastAsia" w:eastAsiaTheme="minorEastAsia"/>
          <w:lang w:eastAsia="zh-CN"/>
        </w:rPr>
      </w:pPr>
    </w:p>
    <w:p w14:paraId="62C0ECD1">
      <w:pPr>
        <w:pStyle w:val="38"/>
        <w:ind w:firstLine="0"/>
        <w:rPr>
          <w:rFonts w:hint="eastAsia" w:eastAsiaTheme="minorEastAsia"/>
          <w:lang w:eastAsia="zh-CN"/>
        </w:rPr>
      </w:pPr>
    </w:p>
    <w:p w14:paraId="4AE93D80">
      <w:pPr>
        <w:pStyle w:val="38"/>
        <w:ind w:firstLine="0"/>
        <w:rPr>
          <w:rFonts w:hint="eastAsia" w:eastAsiaTheme="minorEastAsia"/>
          <w:lang w:eastAsia="zh-CN"/>
        </w:rPr>
        <w:sectPr>
          <w:pgSz w:w="11906" w:h="16838"/>
          <w:pgMar w:top="1702" w:right="1531" w:bottom="1702" w:left="1531" w:header="851" w:footer="1417" w:gutter="0"/>
          <w:pgNumType w:fmt="decimal"/>
          <w:cols w:space="425" w:num="1"/>
          <w:docGrid w:type="lines" w:linePitch="312" w:charSpace="0"/>
        </w:sectPr>
      </w:pPr>
      <w:r>
        <w:rPr>
          <w:rFonts w:hint="eastAsia" w:eastAsiaTheme="minorEastAsia"/>
          <w:lang w:eastAsia="zh-CN"/>
        </w:rPr>
        <w:drawing>
          <wp:inline distT="0" distB="0" distL="114300" distR="114300">
            <wp:extent cx="5596255" cy="7917815"/>
            <wp:effectExtent l="0" t="0" r="17145" b="6985"/>
            <wp:docPr id="23" name="图片 23" descr="1a29d1befa52b7bb01a0e676537c21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a29d1befa52b7bb01a0e676537c216e"/>
                    <pic:cNvPicPr>
                      <a:picLocks noChangeAspect="1"/>
                    </pic:cNvPicPr>
                  </pic:nvPicPr>
                  <pic:blipFill>
                    <a:blip r:embed="rId107"/>
                    <a:stretch>
                      <a:fillRect/>
                    </a:stretch>
                  </pic:blipFill>
                  <pic:spPr>
                    <a:xfrm>
                      <a:off x="0" y="0"/>
                      <a:ext cx="5596255" cy="7917815"/>
                    </a:xfrm>
                    <a:prstGeom prst="rect">
                      <a:avLst/>
                    </a:prstGeom>
                  </pic:spPr>
                </pic:pic>
              </a:graphicData>
            </a:graphic>
          </wp:inline>
        </w:drawing>
      </w:r>
    </w:p>
    <w:p w14:paraId="56B4E440">
      <w:pPr>
        <w:pStyle w:val="21"/>
        <w:ind w:left="0" w:leftChars="0" w:firstLine="0" w:firstLineChars="0"/>
        <w:rPr>
          <w:b/>
          <w:bCs/>
          <w:sz w:val="28"/>
          <w:szCs w:val="28"/>
        </w:rPr>
      </w:pPr>
      <w:r>
        <w:rPr>
          <w:rFonts w:hint="eastAsia"/>
          <w:b/>
          <w:bCs/>
          <w:sz w:val="28"/>
          <w:szCs w:val="28"/>
        </w:rPr>
        <w:t>附图1：凹凸棒石新材料初级加工区</w:t>
      </w:r>
      <w:r>
        <w:rPr>
          <w:rFonts w:hint="eastAsia"/>
          <w:b/>
          <w:bCs/>
          <w:color w:val="000000" w:themeColor="text1"/>
          <w:sz w:val="28"/>
          <w:szCs w:val="28"/>
          <w14:textFill>
            <w14:solidFill>
              <w14:schemeClr w14:val="tx1"/>
            </w14:solidFill>
          </w14:textFill>
        </w:rPr>
        <w:t>—功能结构规划图</w:t>
      </w:r>
    </w:p>
    <w:p w14:paraId="74A55186">
      <w:pPr>
        <w:jc w:val="center"/>
      </w:pPr>
      <w:r>
        <mc:AlternateContent>
          <mc:Choice Requires="wps">
            <w:drawing>
              <wp:anchor distT="0" distB="0" distL="114300" distR="114300" simplePos="0" relativeHeight="251702272" behindDoc="0" locked="0" layoutInCell="1" allowOverlap="1">
                <wp:simplePos x="0" y="0"/>
                <wp:positionH relativeFrom="column">
                  <wp:posOffset>1513205</wp:posOffset>
                </wp:positionH>
                <wp:positionV relativeFrom="paragraph">
                  <wp:posOffset>3924300</wp:posOffset>
                </wp:positionV>
                <wp:extent cx="1512570" cy="458470"/>
                <wp:effectExtent l="6350" t="6350" r="767080" b="17780"/>
                <wp:wrapNone/>
                <wp:docPr id="151" name="圆角矩形标注 151"/>
                <wp:cNvGraphicFramePr/>
                <a:graphic xmlns:a="http://schemas.openxmlformats.org/drawingml/2006/main">
                  <a:graphicData uri="http://schemas.microsoft.com/office/word/2010/wordprocessingShape">
                    <wps:wsp>
                      <wps:cNvSpPr/>
                      <wps:spPr>
                        <a:xfrm>
                          <a:off x="2800350" y="6734810"/>
                          <a:ext cx="1512570" cy="458470"/>
                        </a:xfrm>
                        <a:prstGeom prst="wedgeRoundRectCallout">
                          <a:avLst>
                            <a:gd name="adj1" fmla="val 96053"/>
                            <a:gd name="adj2" fmla="val -25484"/>
                            <a:gd name="adj3" fmla="val 1666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40C2750E">
                            <w:pPr>
                              <w:pStyle w:val="2"/>
                              <w:rPr>
                                <w:rFonts w:hint="eastAsia" w:ascii="华文楷体" w:hAnsi="华文楷体" w:eastAsia="华文楷体" w:cs="华文楷体"/>
                                <w:b/>
                                <w:bCs w:val="0"/>
                                <w:sz w:val="28"/>
                                <w:szCs w:val="28"/>
                              </w:rPr>
                            </w:pPr>
                            <w:r>
                              <w:rPr>
                                <w:rFonts w:hint="eastAsia" w:ascii="华文楷体" w:hAnsi="华文楷体" w:eastAsia="华文楷体" w:cs="华文楷体"/>
                                <w:b/>
                                <w:bCs w:val="0"/>
                                <w:sz w:val="28"/>
                                <w:szCs w:val="28"/>
                              </w:rPr>
                              <w:t>本项目位置示意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19.15pt;margin-top:309pt;height:36.1pt;width:119.1pt;z-index:251702272;v-text-anchor:middle;mso-width-relative:page;mso-height-relative:page;" fillcolor="#5B9BD5 [3204]" filled="t" stroked="t" coordsize="21600,21600" o:gfxdata="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" adj="31547,5295,14400">
                <v:fill on="t" focussize="0,0"/>
                <v:stroke weight="1pt" color="#2E75B6 [2404]" miterlimit="8" joinstyle="miter"/>
                <v:imagedata o:title=""/>
                <o:lock v:ext="edit" aspectratio="f"/>
                <v:textbox>
                  <w:txbxContent>
                    <w:p w14:paraId="40C2750E">
                      <w:pPr>
                        <w:pStyle w:val="2"/>
                        <w:rPr>
                          <w:rFonts w:hint="eastAsia" w:ascii="华文楷体" w:hAnsi="华文楷体" w:eastAsia="华文楷体" w:cs="华文楷体"/>
                          <w:b/>
                          <w:bCs w:val="0"/>
                          <w:sz w:val="28"/>
                          <w:szCs w:val="28"/>
                        </w:rPr>
                      </w:pPr>
                      <w:r>
                        <w:rPr>
                          <w:rFonts w:hint="eastAsia" w:ascii="华文楷体" w:hAnsi="华文楷体" w:eastAsia="华文楷体" w:cs="华文楷体"/>
                          <w:b/>
                          <w:bCs w:val="0"/>
                          <w:sz w:val="28"/>
                          <w:szCs w:val="28"/>
                        </w:rPr>
                        <w:t>本项目位置示意</w:t>
                      </w:r>
                    </w:p>
                  </w:txbxContent>
                </v:textbox>
              </v:shap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3676650</wp:posOffset>
                </wp:positionH>
                <wp:positionV relativeFrom="paragraph">
                  <wp:posOffset>3881755</wp:posOffset>
                </wp:positionV>
                <wp:extent cx="233680" cy="234315"/>
                <wp:effectExtent l="18415" t="21590" r="27305" b="23495"/>
                <wp:wrapNone/>
                <wp:docPr id="150" name="五角星 150"/>
                <wp:cNvGraphicFramePr/>
                <a:graphic xmlns:a="http://schemas.openxmlformats.org/drawingml/2006/main">
                  <a:graphicData uri="http://schemas.microsoft.com/office/word/2010/wordprocessingShape">
                    <wps:wsp>
                      <wps:cNvSpPr/>
                      <wps:spPr>
                        <a:xfrm>
                          <a:off x="4982210" y="5151120"/>
                          <a:ext cx="233680" cy="234315"/>
                        </a:xfrm>
                        <a:prstGeom prst="star5">
                          <a:avLst/>
                        </a:prstGeom>
                        <a:solidFill>
                          <a:srgbClr val="FFFF00"/>
                        </a:solidFill>
                        <a:ln>
                          <a:solidFill>
                            <a:srgbClr val="022DF6"/>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89.5pt;margin-top:305.65pt;height:18.45pt;width:18.4pt;z-index:251701248;v-text-anchor:middle;mso-width-relative:page;mso-height-relative:page;" fillcolor="#FFFF00" filled="t" stroked="t" coordsize="233680,234315" o:gfxdata="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B48dYm2gAAAAsB&#10;AAAPAAAAAAAAAAEAIAAAACIAAABkcnMvZG93bnJldi54bWxQSwECFAAUAAAACACHTuJA2nCxzosC&#10;AAAHBQAADgAAAAAAAAABACAAAAApAQAAZHJzL2Uyb0RvYy54bWxQSwUGAAAAAAYABgBZAQAAJgYA&#10;AAAA&#10;" path="m0,89500l89258,89500,116840,0,144421,89500,233679,89500,161468,144814,189050,234314,116840,178999,44629,234314,72211,144814xe">
                <v:path o:connectlocs="116840,0;0,89500;44629,234314;189050,234314;233679,89500" o:connectangles="247,164,82,82,0"/>
                <v:fill on="t" focussize="0,0"/>
                <v:stroke weight="1pt" color="#022DF6 [2404]" miterlimit="8" joinstyle="miter"/>
                <v:imagedata o:title=""/>
                <o:lock v:ext="edit" aspectratio="f"/>
              </v:shape>
            </w:pict>
          </mc:Fallback>
        </mc:AlternateContent>
      </w:r>
      <w:r>
        <w:drawing>
          <wp:inline distT="0" distB="0" distL="114300" distR="114300">
            <wp:extent cx="6954520" cy="4920615"/>
            <wp:effectExtent l="0" t="0" r="5080" b="6985"/>
            <wp:docPr id="14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48"/>
                    <pic:cNvPicPr>
                      <a:picLocks noChangeAspect="1"/>
                    </pic:cNvPicPr>
                  </pic:nvPicPr>
                  <pic:blipFill>
                    <a:blip r:embed="rId108"/>
                    <a:stretch>
                      <a:fillRect/>
                    </a:stretch>
                  </pic:blipFill>
                  <pic:spPr>
                    <a:xfrm>
                      <a:off x="0" y="0"/>
                      <a:ext cx="6954520" cy="4920615"/>
                    </a:xfrm>
                    <a:prstGeom prst="rect">
                      <a:avLst/>
                    </a:prstGeom>
                    <a:noFill/>
                    <a:ln>
                      <a:noFill/>
                    </a:ln>
                  </pic:spPr>
                </pic:pic>
              </a:graphicData>
            </a:graphic>
          </wp:inline>
        </w:drawing>
      </w:r>
    </w:p>
    <w:p w14:paraId="05357F90">
      <w:pPr>
        <w:rPr>
          <w:b/>
          <w:bCs/>
          <w:sz w:val="28"/>
          <w:szCs w:val="28"/>
        </w:rPr>
      </w:pPr>
      <w:r>
        <w:rPr>
          <w:rFonts w:hint="eastAsia"/>
          <w:b/>
          <w:bCs/>
          <w:sz w:val="28"/>
          <w:szCs w:val="28"/>
        </w:rPr>
        <w:t>附图2：</w:t>
      </w:r>
      <w:r>
        <w:rPr>
          <w:b/>
          <w:bCs/>
          <w:sz w:val="28"/>
          <w:szCs w:val="28"/>
        </w:rPr>
        <w:t>凹凸棒石新材料初级加工区-士地利用规划</w:t>
      </w:r>
      <w:r>
        <w:rPr>
          <w:rFonts w:hint="eastAsia"/>
          <w:b/>
          <w:bCs/>
          <w:sz w:val="28"/>
          <w:szCs w:val="28"/>
        </w:rPr>
        <w:t>与本项目位置关系示意</w:t>
      </w:r>
    </w:p>
    <w:p w14:paraId="706B70C8">
      <w:pPr>
        <w:pStyle w:val="21"/>
        <w:ind w:left="0" w:leftChars="0" w:firstLine="0" w:firstLineChars="0"/>
        <w:jc w:val="center"/>
        <w:rPr>
          <w:b/>
          <w:bCs/>
          <w:sz w:val="28"/>
          <w:szCs w:val="28"/>
        </w:rPr>
      </w:pPr>
      <w:r>
        <mc:AlternateContent>
          <mc:Choice Requires="wps">
            <w:drawing>
              <wp:anchor distT="0" distB="0" distL="114300" distR="114300" simplePos="0" relativeHeight="251660288" behindDoc="0" locked="0" layoutInCell="1" allowOverlap="1">
                <wp:simplePos x="0" y="0"/>
                <wp:positionH relativeFrom="column">
                  <wp:posOffset>3602990</wp:posOffset>
                </wp:positionH>
                <wp:positionV relativeFrom="paragraph">
                  <wp:posOffset>4085590</wp:posOffset>
                </wp:positionV>
                <wp:extent cx="161290" cy="146685"/>
                <wp:effectExtent l="20320" t="19685" r="31750" b="16510"/>
                <wp:wrapNone/>
                <wp:docPr id="154" name="五角星 154"/>
                <wp:cNvGraphicFramePr/>
                <a:graphic xmlns:a="http://schemas.openxmlformats.org/drawingml/2006/main">
                  <a:graphicData uri="http://schemas.microsoft.com/office/word/2010/wordprocessingShape">
                    <wps:wsp>
                      <wps:cNvSpPr/>
                      <wps:spPr>
                        <a:xfrm>
                          <a:off x="0" y="0"/>
                          <a:ext cx="161290" cy="146685"/>
                        </a:xfrm>
                        <a:prstGeom prst="star5">
                          <a:avLst/>
                        </a:prstGeom>
                        <a:solidFill>
                          <a:srgbClr val="00B0F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83.7pt;margin-top:321.7pt;height:11.55pt;width:12.7pt;z-index:251660288;v-text-anchor:middle;mso-width-relative:page;mso-height-relative:page;" fillcolor="#00B0F0" filled="t" stroked="t" coordsize="161290,146685" o:gfxdata="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NHkm3bbAAAACwEAAA8AAAAAAAAAAQAg&#10;AAAAIgAAAGRycy9kb3ducmV2LnhtbFBLAQIUABQAAAAIAIdO4kCUUe0LfQIAAPsEAAAOAAAAAAAA&#10;AAEAIAAAACoBAABkcnMvZTJvRG9jLnhtbFBLBQYAAAAABgAGAFkBAAAZBgAAAAA=&#10;" path="m0,56028l61607,56028,80645,0,99682,56028,161289,56028,111448,90655,130486,146684,80645,112056,30803,146684,49841,90655xe">
                <v:path o:connectlocs="80645,0;0,56028;30803,146684;130486,146684;161289,56028" o:connectangles="247,164,82,82,0"/>
                <v:fill on="t" focussize="0,0"/>
                <v:stroke weight="1pt" color="#FF0000 [2404]" miterlimit="8" joinstyle="miter"/>
                <v:imagedata o:title=""/>
                <o:lock v:ext="edit" aspectratio="f"/>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1660525</wp:posOffset>
                </wp:positionH>
                <wp:positionV relativeFrom="paragraph">
                  <wp:posOffset>4308475</wp:posOffset>
                </wp:positionV>
                <wp:extent cx="1355090" cy="314960"/>
                <wp:effectExtent l="6350" t="145415" r="665480" b="12065"/>
                <wp:wrapNone/>
                <wp:docPr id="155" name="圆角矩形标注 155"/>
                <wp:cNvGraphicFramePr/>
                <a:graphic xmlns:a="http://schemas.openxmlformats.org/drawingml/2006/main">
                  <a:graphicData uri="http://schemas.microsoft.com/office/word/2010/wordprocessingShape">
                    <wps:wsp>
                      <wps:cNvSpPr/>
                      <wps:spPr>
                        <a:xfrm>
                          <a:off x="0" y="0"/>
                          <a:ext cx="1355090" cy="314960"/>
                        </a:xfrm>
                        <a:prstGeom prst="wedgeRoundRectCallout">
                          <a:avLst>
                            <a:gd name="adj1" fmla="val 95267"/>
                            <a:gd name="adj2" fmla="val -89717"/>
                            <a:gd name="adj3" fmla="val 1666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5DE38263">
                            <w:pPr>
                              <w:jc w:val="center"/>
                              <w:rPr>
                                <w:b/>
                                <w:bCs/>
                                <w:color w:val="0000FF"/>
                              </w:rPr>
                            </w:pPr>
                            <w:r>
                              <w:rPr>
                                <w:rFonts w:hint="eastAsia"/>
                                <w:b/>
                                <w:bCs/>
                                <w:color w:val="0000FF"/>
                              </w:rPr>
                              <w:t>本项目所在位置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30.75pt;margin-top:339.25pt;height:24.8pt;width:106.7pt;z-index:251661312;v-text-anchor:middle;mso-width-relative:page;mso-height-relative:page;" fillcolor="#5B9BD5 [3204]" filled="t" stroked="t" coordsize="21600,21600" o:gfxdata="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" adj="31378,-8579,14400">
                <v:fill on="t" focussize="0,0"/>
                <v:stroke weight="1pt" color="#2E75B6 [2404]" miterlimit="8" joinstyle="miter"/>
                <v:imagedata o:title=""/>
                <o:lock v:ext="edit" aspectratio="f"/>
                <v:textbox>
                  <w:txbxContent>
                    <w:p w14:paraId="5DE38263">
                      <w:pPr>
                        <w:jc w:val="center"/>
                        <w:rPr>
                          <w:b/>
                          <w:bCs/>
                          <w:color w:val="0000FF"/>
                        </w:rPr>
                      </w:pPr>
                      <w:r>
                        <w:rPr>
                          <w:rFonts w:hint="eastAsia"/>
                          <w:b/>
                          <w:bCs/>
                          <w:color w:val="0000FF"/>
                        </w:rPr>
                        <w:t>本项目所在位置</w:t>
                      </w:r>
                    </w:p>
                  </w:txbxContent>
                </v:textbox>
              </v:shape>
            </w:pict>
          </mc:Fallback>
        </mc:AlternateContent>
      </w:r>
      <w:r>
        <w:rPr>
          <w:rFonts w:hint="eastAsia"/>
          <w:b/>
          <w:bCs/>
          <w:sz w:val="28"/>
          <w:szCs w:val="28"/>
        </w:rPr>
        <w:drawing>
          <wp:inline distT="0" distB="0" distL="114300" distR="114300">
            <wp:extent cx="7129780" cy="5045710"/>
            <wp:effectExtent l="0" t="0" r="2540" b="13970"/>
            <wp:docPr id="133" name="图片 133" descr="图2.1-17凹凸棒石新材料产业园初级加工区-土地利用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图2.1-17凹凸棒石新材料产业园初级加工区-土地利用规划图"/>
                    <pic:cNvPicPr>
                      <a:picLocks noChangeAspect="1"/>
                    </pic:cNvPicPr>
                  </pic:nvPicPr>
                  <pic:blipFill>
                    <a:blip r:embed="rId109"/>
                    <a:stretch>
                      <a:fillRect/>
                    </a:stretch>
                  </pic:blipFill>
                  <pic:spPr>
                    <a:xfrm>
                      <a:off x="0" y="0"/>
                      <a:ext cx="7129780" cy="5045710"/>
                    </a:xfrm>
                    <a:prstGeom prst="rect">
                      <a:avLst/>
                    </a:prstGeom>
                  </pic:spPr>
                </pic:pic>
              </a:graphicData>
            </a:graphic>
          </wp:inline>
        </w:drawing>
      </w:r>
    </w:p>
    <w:p w14:paraId="64D28EB5"/>
    <w:p w14:paraId="7CB99EE0">
      <w:pPr>
        <w:jc w:val="center"/>
      </w:pPr>
    </w:p>
    <w:p w14:paraId="7810F181">
      <w:pPr>
        <w:pStyle w:val="21"/>
        <w:ind w:left="0" w:leftChars="0" w:firstLine="0" w:firstLineChars="0"/>
      </w:pPr>
      <w:r>
        <w:rPr>
          <w:rFonts w:hint="eastAsia"/>
          <w:b/>
          <w:bCs/>
          <w:sz w:val="28"/>
          <w:szCs w:val="28"/>
        </w:rPr>
        <w:t>附图3：张掖市生态环境管控单元分布图与本项目位置关系示意</w:t>
      </w:r>
    </w:p>
    <w:p w14:paraId="3D0DE510">
      <w:pPr>
        <w:pStyle w:val="21"/>
        <w:ind w:left="0" w:leftChars="0" w:firstLine="0" w:firstLineChars="0"/>
        <w:jc w:val="center"/>
        <w:rPr>
          <w:b/>
          <w:bCs/>
          <w:sz w:val="28"/>
          <w:szCs w:val="28"/>
        </w:rPr>
      </w:pPr>
      <w:r>
        <mc:AlternateContent>
          <mc:Choice Requires="wps">
            <w:drawing>
              <wp:anchor distT="0" distB="0" distL="114300" distR="114300" simplePos="0" relativeHeight="251662336" behindDoc="0" locked="0" layoutInCell="1" allowOverlap="1">
                <wp:simplePos x="0" y="0"/>
                <wp:positionH relativeFrom="column">
                  <wp:posOffset>4107815</wp:posOffset>
                </wp:positionH>
                <wp:positionV relativeFrom="paragraph">
                  <wp:posOffset>2040255</wp:posOffset>
                </wp:positionV>
                <wp:extent cx="107315" cy="95250"/>
                <wp:effectExtent l="20955" t="19050" r="24130" b="38100"/>
                <wp:wrapNone/>
                <wp:docPr id="156" name="五角星 156"/>
                <wp:cNvGraphicFramePr/>
                <a:graphic xmlns:a="http://schemas.openxmlformats.org/drawingml/2006/main">
                  <a:graphicData uri="http://schemas.microsoft.com/office/word/2010/wordprocessingShape">
                    <wps:wsp>
                      <wps:cNvSpPr/>
                      <wps:spPr>
                        <a:xfrm>
                          <a:off x="6027420" y="3860800"/>
                          <a:ext cx="107315" cy="95250"/>
                        </a:xfrm>
                        <a:prstGeom prst="star5">
                          <a:avLst/>
                        </a:prstGeom>
                        <a:solidFill>
                          <a:srgbClr val="FFFF00"/>
                        </a:solidFill>
                        <a:ln>
                          <a:solidFill>
                            <a:srgbClr val="022DF6"/>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23.45pt;margin-top:160.65pt;height:7.5pt;width:8.45pt;z-index:251662336;v-text-anchor:middle;mso-width-relative:page;mso-height-relative:page;" fillcolor="#FFFF00" filled="t" stroked="t" coordsize="107315,95250" o:gfxdata="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MVeEnfYAAAACwEAAA8A&#10;AAAAAAAAAQAgAAAAIgAAAGRycy9kb3ducmV2LnhtbFBLAQIUABQAAAAIAIdO4kAqJ/reiQIAAAYF&#10;AAAOAAAAAAAAAAEAIAAAACcBAABkcnMvZTJvRG9jLnhtbFBLBQYAAAAABgAGAFkBAAAiBgAAAAA=&#10;" path="m0,36382l40990,36382,53657,0,66324,36382,107314,36382,74152,58867,86819,95249,53657,72764,20495,95249,33162,58867xe">
                <v:path o:connectlocs="53657,0;0,36382;20495,95249;86819,95249;107314,36382" o:connectangles="247,164,82,82,0"/>
                <v:fill on="t" focussize="0,0"/>
                <v:stroke weight="1pt" color="#022DF6 [2404]" miterlimit="8" joinstyle="miter"/>
                <v:imagedata o:title=""/>
                <o:lock v:ext="edit" aspectratio="f"/>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5017135</wp:posOffset>
                </wp:positionH>
                <wp:positionV relativeFrom="paragraph">
                  <wp:posOffset>1768475</wp:posOffset>
                </wp:positionV>
                <wp:extent cx="1162050" cy="310515"/>
                <wp:effectExtent l="826135" t="6350" r="8255" b="48895"/>
                <wp:wrapNone/>
                <wp:docPr id="158" name="圆角矩形标注 158"/>
                <wp:cNvGraphicFramePr/>
                <a:graphic xmlns:a="http://schemas.openxmlformats.org/drawingml/2006/main">
                  <a:graphicData uri="http://schemas.microsoft.com/office/word/2010/wordprocessingShape">
                    <wps:wsp>
                      <wps:cNvSpPr/>
                      <wps:spPr>
                        <a:xfrm>
                          <a:off x="2972435" y="4346575"/>
                          <a:ext cx="1162050" cy="310515"/>
                        </a:xfrm>
                        <a:prstGeom prst="wedgeRoundRectCallout">
                          <a:avLst>
                            <a:gd name="adj1" fmla="val -116721"/>
                            <a:gd name="adj2" fmla="val 60020"/>
                            <a:gd name="adj3" fmla="val 16667"/>
                          </a:avLst>
                        </a:prstGeom>
                        <a:solidFill>
                          <a:srgbClr val="FFFF00"/>
                        </a:solidFill>
                      </wps:spPr>
                      <wps:style>
                        <a:lnRef idx="2">
                          <a:schemeClr val="accent1">
                            <a:lumMod val="75000"/>
                          </a:schemeClr>
                        </a:lnRef>
                        <a:fillRef idx="1">
                          <a:schemeClr val="accent1"/>
                        </a:fillRef>
                        <a:effectRef idx="0">
                          <a:srgbClr val="FFFFFF"/>
                        </a:effectRef>
                        <a:fontRef idx="minor">
                          <a:schemeClr val="lt1"/>
                        </a:fontRef>
                      </wps:style>
                      <wps:txbx>
                        <w:txbxContent>
                          <w:p w14:paraId="3D425056">
                            <w:pPr>
                              <w:jc w:val="center"/>
                              <w:rPr>
                                <w:b/>
                                <w:bCs/>
                              </w:rPr>
                            </w:pPr>
                            <w:r>
                              <w:rPr>
                                <w:rFonts w:hint="eastAsia"/>
                                <w:b/>
                                <w:bCs/>
                                <w:color w:val="022DF6"/>
                              </w:rPr>
                              <w:t>本项目所处位置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395.05pt;margin-top:139.25pt;height:24.45pt;width:91.5pt;z-index:251663360;v-text-anchor:middle;mso-width-relative:page;mso-height-relative:page;" fillcolor="#FFFF00" filled="t" stroked="t" coordsize="21600,21600" o:gfxdata="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" adj="-14412,23764,14400">
                <v:fill on="t" focussize="0,0"/>
                <v:stroke weight="1pt" color="#2E75B6 [2404]" miterlimit="8" joinstyle="miter"/>
                <v:imagedata o:title=""/>
                <o:lock v:ext="edit" aspectratio="f"/>
                <v:textbox>
                  <w:txbxContent>
                    <w:p w14:paraId="3D425056">
                      <w:pPr>
                        <w:jc w:val="center"/>
                        <w:rPr>
                          <w:b/>
                          <w:bCs/>
                        </w:rPr>
                      </w:pPr>
                      <w:r>
                        <w:rPr>
                          <w:rFonts w:hint="eastAsia"/>
                          <w:b/>
                          <w:bCs/>
                          <w:color w:val="022DF6"/>
                        </w:rPr>
                        <w:t>本项目所处位置</w:t>
                      </w:r>
                    </w:p>
                  </w:txbxContent>
                </v:textbox>
              </v:shape>
            </w:pict>
          </mc:Fallback>
        </mc:AlternateContent>
      </w:r>
      <w:r>
        <w:drawing>
          <wp:inline distT="0" distB="0" distL="114300" distR="114300">
            <wp:extent cx="7110095" cy="4628515"/>
            <wp:effectExtent l="0" t="0" r="6985" b="4445"/>
            <wp:docPr id="1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
                    <pic:cNvPicPr>
                      <a:picLocks noChangeAspect="1"/>
                    </pic:cNvPicPr>
                  </pic:nvPicPr>
                  <pic:blipFill>
                    <a:blip r:embed="rId110"/>
                    <a:stretch>
                      <a:fillRect/>
                    </a:stretch>
                  </pic:blipFill>
                  <pic:spPr>
                    <a:xfrm>
                      <a:off x="0" y="0"/>
                      <a:ext cx="7110095" cy="4628515"/>
                    </a:xfrm>
                    <a:prstGeom prst="rect">
                      <a:avLst/>
                    </a:prstGeom>
                    <a:noFill/>
                    <a:ln>
                      <a:noFill/>
                    </a:ln>
                  </pic:spPr>
                </pic:pic>
              </a:graphicData>
            </a:graphic>
          </wp:inline>
        </w:drawing>
      </w:r>
    </w:p>
    <w:p w14:paraId="591972C0">
      <w:pPr>
        <w:pStyle w:val="21"/>
        <w:ind w:left="0" w:leftChars="0" w:firstLine="0" w:firstLineChars="0"/>
        <w:rPr>
          <w:b/>
          <w:bCs/>
          <w:sz w:val="28"/>
          <w:szCs w:val="28"/>
        </w:rPr>
      </w:pPr>
    </w:p>
    <w:p w14:paraId="405404B8">
      <w:pPr>
        <w:pStyle w:val="21"/>
        <w:ind w:left="0" w:leftChars="0" w:firstLine="0" w:firstLineChars="0"/>
        <w:rPr>
          <w:b/>
          <w:bCs/>
          <w:sz w:val="28"/>
          <w:szCs w:val="28"/>
        </w:rPr>
      </w:pPr>
      <w:r>
        <w:rPr>
          <w:rFonts w:hint="eastAsia"/>
          <w:b/>
          <w:bCs/>
          <w:sz w:val="28"/>
          <w:szCs w:val="28"/>
        </w:rPr>
        <w:t>附图3（续）：甘肃省生态环境管控单元分布图与本项目位置关系示意</w:t>
      </w:r>
    </w:p>
    <w:p w14:paraId="7245DFEE">
      <w:pPr>
        <w:pStyle w:val="21"/>
        <w:ind w:left="0" w:leftChars="0" w:firstLine="0" w:firstLineChars="0"/>
        <w:rPr>
          <w:b/>
          <w:bCs/>
          <w:sz w:val="28"/>
          <w:szCs w:val="28"/>
        </w:rPr>
      </w:pPr>
      <w:r>
        <w:rPr>
          <w:rFonts w:ascii="方正仿宋简体" w:hAnsi="方正仿宋" w:eastAsia="方正仿宋简体" w:cs="Times New Roman"/>
          <w:sz w:val="40"/>
          <w:szCs w:val="40"/>
        </w:rPr>
        <w:drawing>
          <wp:anchor distT="0" distB="0" distL="114300" distR="114300" simplePos="0" relativeHeight="251664384" behindDoc="0" locked="0" layoutInCell="1" allowOverlap="1">
            <wp:simplePos x="0" y="0"/>
            <wp:positionH relativeFrom="column">
              <wp:posOffset>636270</wp:posOffset>
            </wp:positionH>
            <wp:positionV relativeFrom="paragraph">
              <wp:posOffset>54610</wp:posOffset>
            </wp:positionV>
            <wp:extent cx="6825615" cy="4829810"/>
            <wp:effectExtent l="0" t="0" r="1905" b="1270"/>
            <wp:wrapSquare wrapText="bothSides"/>
            <wp:docPr id="159" name="图片 2" descr="甘肃省管控单元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2" descr="甘肃省管控单元分布图"/>
                    <pic:cNvPicPr>
                      <a:picLocks noChangeAspect="1"/>
                    </pic:cNvPicPr>
                  </pic:nvPicPr>
                  <pic:blipFill>
                    <a:blip r:embed="rId111"/>
                    <a:stretch>
                      <a:fillRect/>
                    </a:stretch>
                  </pic:blipFill>
                  <pic:spPr>
                    <a:xfrm>
                      <a:off x="0" y="0"/>
                      <a:ext cx="6825615" cy="4829810"/>
                    </a:xfrm>
                    <a:prstGeom prst="rect">
                      <a:avLst/>
                    </a:prstGeom>
                    <a:noFill/>
                    <a:ln>
                      <a:noFill/>
                    </a:ln>
                  </pic:spPr>
                </pic:pic>
              </a:graphicData>
            </a:graphic>
          </wp:anchor>
        </w:drawing>
      </w:r>
      <w:r>
        <w:rPr>
          <w:rFonts w:hint="eastAsia"/>
          <w:b/>
          <w:bCs/>
          <w:sz w:val="28"/>
          <w:szCs w:val="28"/>
        </w:rPr>
        <w:t xml:space="preserve">  </w:t>
      </w:r>
    </w:p>
    <w:p w14:paraId="7DACAC89">
      <w:pPr>
        <w:pStyle w:val="21"/>
        <w:ind w:left="0" w:leftChars="0" w:firstLine="0" w:firstLineChars="0"/>
        <w:rPr>
          <w:b/>
          <w:bCs/>
          <w:sz w:val="28"/>
          <w:szCs w:val="28"/>
        </w:rPr>
      </w:pPr>
    </w:p>
    <w:p w14:paraId="6464065E">
      <w:pPr>
        <w:pStyle w:val="21"/>
        <w:ind w:left="0" w:leftChars="0" w:firstLine="0" w:firstLineChars="0"/>
        <w:rPr>
          <w:b/>
          <w:bCs/>
          <w:sz w:val="28"/>
          <w:szCs w:val="28"/>
        </w:rPr>
      </w:pPr>
    </w:p>
    <w:p w14:paraId="6C553510">
      <w:pPr>
        <w:pStyle w:val="21"/>
        <w:ind w:left="0" w:leftChars="0" w:firstLine="0" w:firstLineChars="0"/>
        <w:rPr>
          <w:b/>
          <w:bCs/>
          <w:sz w:val="28"/>
          <w:szCs w:val="28"/>
        </w:rPr>
      </w:pPr>
      <w:r>
        <w:rPr>
          <w:sz w:val="28"/>
        </w:rPr>
        <mc:AlternateContent>
          <mc:Choice Requires="wps">
            <w:drawing>
              <wp:anchor distT="0" distB="0" distL="114300" distR="114300" simplePos="0" relativeHeight="251666432" behindDoc="0" locked="0" layoutInCell="1" allowOverlap="1">
                <wp:simplePos x="0" y="0"/>
                <wp:positionH relativeFrom="column">
                  <wp:posOffset>3715385</wp:posOffset>
                </wp:positionH>
                <wp:positionV relativeFrom="paragraph">
                  <wp:posOffset>80645</wp:posOffset>
                </wp:positionV>
                <wp:extent cx="1203960" cy="283210"/>
                <wp:effectExtent l="378460" t="6350" r="17780" b="574040"/>
                <wp:wrapNone/>
                <wp:docPr id="161" name="圆角矩形标注 161"/>
                <wp:cNvGraphicFramePr/>
                <a:graphic xmlns:a="http://schemas.openxmlformats.org/drawingml/2006/main">
                  <a:graphicData uri="http://schemas.microsoft.com/office/word/2010/wordprocessingShape">
                    <wps:wsp>
                      <wps:cNvSpPr/>
                      <wps:spPr>
                        <a:xfrm>
                          <a:off x="5412105" y="2412365"/>
                          <a:ext cx="1203960" cy="283210"/>
                        </a:xfrm>
                        <a:prstGeom prst="wedgeRoundRectCallout">
                          <a:avLst>
                            <a:gd name="adj1" fmla="val -78111"/>
                            <a:gd name="adj2" fmla="val 240134"/>
                            <a:gd name="adj3" fmla="val 16667"/>
                          </a:avLst>
                        </a:prstGeom>
                        <a:solidFill>
                          <a:srgbClr val="FFFF00"/>
                        </a:solidFill>
                      </wps:spPr>
                      <wps:style>
                        <a:lnRef idx="2">
                          <a:schemeClr val="accent1">
                            <a:lumMod val="75000"/>
                          </a:schemeClr>
                        </a:lnRef>
                        <a:fillRef idx="1">
                          <a:schemeClr val="accent1"/>
                        </a:fillRef>
                        <a:effectRef idx="0">
                          <a:srgbClr val="FFFFFF"/>
                        </a:effectRef>
                        <a:fontRef idx="minor">
                          <a:schemeClr val="lt1"/>
                        </a:fontRef>
                      </wps:style>
                      <wps:txbx>
                        <w:txbxContent>
                          <w:p w14:paraId="01D8047B">
                            <w:pPr>
                              <w:jc w:val="center"/>
                              <w:rPr>
                                <w:b/>
                                <w:bCs/>
                                <w:color w:val="022DF6"/>
                              </w:rPr>
                            </w:pPr>
                            <w:r>
                              <w:rPr>
                                <w:rFonts w:hint="eastAsia"/>
                                <w:b/>
                                <w:bCs/>
                                <w:color w:val="022DF6"/>
                              </w:rPr>
                              <w:t>本项目所处位置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92.55pt;margin-top:6.35pt;height:22.3pt;width:94.8pt;z-index:251666432;v-text-anchor:middle;mso-width-relative:page;mso-height-relative:page;" fillcolor="#FFFF00" filled="t" stroked="t" coordsize="21600,21600" o:gfxdata="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&#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" adj="-6072,62669,14400">
                <v:fill on="t" focussize="0,0"/>
                <v:stroke weight="1pt" color="#2E75B6 [2404]" miterlimit="8" joinstyle="miter"/>
                <v:imagedata o:title=""/>
                <o:lock v:ext="edit" aspectratio="f"/>
                <v:textbox>
                  <w:txbxContent>
                    <w:p w14:paraId="01D8047B">
                      <w:pPr>
                        <w:jc w:val="center"/>
                        <w:rPr>
                          <w:b/>
                          <w:bCs/>
                          <w:color w:val="022DF6"/>
                        </w:rPr>
                      </w:pPr>
                      <w:r>
                        <w:rPr>
                          <w:rFonts w:hint="eastAsia"/>
                          <w:b/>
                          <w:bCs/>
                          <w:color w:val="022DF6"/>
                        </w:rPr>
                        <w:t>本项目所处位置</w:t>
                      </w:r>
                    </w:p>
                  </w:txbxContent>
                </v:textbox>
              </v:shape>
            </w:pict>
          </mc:Fallback>
        </mc:AlternateContent>
      </w:r>
    </w:p>
    <w:p w14:paraId="1BE19CC1">
      <w:pPr>
        <w:pStyle w:val="21"/>
        <w:ind w:left="0" w:leftChars="0" w:firstLine="0" w:firstLineChars="0"/>
        <w:rPr>
          <w:b/>
          <w:bCs/>
          <w:sz w:val="28"/>
          <w:szCs w:val="28"/>
        </w:rPr>
      </w:pPr>
    </w:p>
    <w:p w14:paraId="394747FE">
      <w:pPr>
        <w:pStyle w:val="21"/>
        <w:ind w:left="0" w:leftChars="0" w:firstLine="0" w:firstLineChars="0"/>
        <w:rPr>
          <w:b/>
          <w:bCs/>
          <w:sz w:val="28"/>
          <w:szCs w:val="28"/>
        </w:rPr>
      </w:pPr>
      <w:r>
        <w:rPr>
          <w:sz w:val="28"/>
        </w:rPr>
        <mc:AlternateContent>
          <mc:Choice Requires="wps">
            <w:drawing>
              <wp:anchor distT="0" distB="0" distL="114300" distR="114300" simplePos="0" relativeHeight="251665408" behindDoc="0" locked="0" layoutInCell="1" allowOverlap="1">
                <wp:simplePos x="0" y="0"/>
                <wp:positionH relativeFrom="column">
                  <wp:posOffset>3278505</wp:posOffset>
                </wp:positionH>
                <wp:positionV relativeFrom="paragraph">
                  <wp:posOffset>113030</wp:posOffset>
                </wp:positionV>
                <wp:extent cx="87630" cy="81915"/>
                <wp:effectExtent l="19685" t="20320" r="19685" b="24765"/>
                <wp:wrapNone/>
                <wp:docPr id="160" name="五角星 160"/>
                <wp:cNvGraphicFramePr/>
                <a:graphic xmlns:a="http://schemas.openxmlformats.org/drawingml/2006/main">
                  <a:graphicData uri="http://schemas.microsoft.com/office/word/2010/wordprocessingShape">
                    <wps:wsp>
                      <wps:cNvSpPr/>
                      <wps:spPr>
                        <a:xfrm>
                          <a:off x="4792345" y="3258820"/>
                          <a:ext cx="87630" cy="81915"/>
                        </a:xfrm>
                        <a:prstGeom prst="star5">
                          <a:avLst/>
                        </a:prstGeom>
                        <a:solidFill>
                          <a:srgbClr val="FFFF00"/>
                        </a:solidFill>
                        <a:ln>
                          <a:solidFill>
                            <a:srgbClr val="022DF6"/>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58.15pt;margin-top:8.9pt;height:6.45pt;width:6.9pt;z-index:251665408;v-text-anchor:middle;mso-width-relative:page;mso-height-relative:page;" fillcolor="#FFFF00" filled="t" stroked="t" coordsize="87630,81915" o:gfxdata="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BHrW8H2QAAAAkBAAAP&#10;AAAAAAAAAAEAIAAAACIAAABkcnMvZG93bnJldi54bWxQSwECFAAUAAAACACHTuJA+SATaokCAAAF&#10;BQAADgAAAAAAAAABACAAAAAoAQAAZHJzL2Uyb0RvYy54bWxQSwUGAAAAAAYABgBZAQAAIwYAAAAA&#10;" path="m0,31288l33471,31288,43815,0,54158,31288,87629,31288,60550,50626,70894,81914,43815,62577,16735,81914,27079,50626xe">
                <v:path o:connectlocs="43815,0;0,31288;16735,81914;70894,81914;87629,31288" o:connectangles="247,164,82,82,0"/>
                <v:fill on="t" focussize="0,0"/>
                <v:stroke weight="1pt" color="#022DF6 [2404]" miterlimit="8" joinstyle="miter"/>
                <v:imagedata o:title=""/>
                <o:lock v:ext="edit" aspectratio="f"/>
              </v:shape>
            </w:pict>
          </mc:Fallback>
        </mc:AlternateContent>
      </w:r>
    </w:p>
    <w:p w14:paraId="7EA1B7BB">
      <w:pPr>
        <w:pStyle w:val="21"/>
        <w:ind w:left="0" w:leftChars="0" w:firstLine="0" w:firstLineChars="0"/>
        <w:rPr>
          <w:b/>
          <w:bCs/>
          <w:sz w:val="28"/>
          <w:szCs w:val="28"/>
        </w:rPr>
      </w:pPr>
    </w:p>
    <w:p w14:paraId="1D1286AF">
      <w:pPr>
        <w:pStyle w:val="21"/>
        <w:ind w:left="0" w:leftChars="0" w:firstLine="0" w:firstLineChars="0"/>
        <w:rPr>
          <w:b/>
          <w:bCs/>
          <w:sz w:val="28"/>
          <w:szCs w:val="28"/>
        </w:rPr>
      </w:pPr>
    </w:p>
    <w:p w14:paraId="6AC5A3E4">
      <w:pPr>
        <w:pStyle w:val="21"/>
        <w:ind w:left="0" w:leftChars="0" w:firstLine="0" w:firstLineChars="0"/>
        <w:rPr>
          <w:b/>
          <w:bCs/>
          <w:sz w:val="28"/>
          <w:szCs w:val="28"/>
        </w:rPr>
      </w:pPr>
    </w:p>
    <w:p w14:paraId="3B2D4422">
      <w:pPr>
        <w:pStyle w:val="21"/>
        <w:ind w:left="0" w:leftChars="0" w:firstLine="0" w:firstLineChars="0"/>
        <w:rPr>
          <w:b/>
          <w:bCs/>
          <w:sz w:val="28"/>
          <w:szCs w:val="28"/>
        </w:rPr>
      </w:pPr>
    </w:p>
    <w:p w14:paraId="529BB22E">
      <w:pPr>
        <w:pStyle w:val="21"/>
        <w:ind w:left="0" w:leftChars="0" w:firstLine="0" w:firstLineChars="0"/>
        <w:rPr>
          <w:b/>
          <w:bCs/>
          <w:sz w:val="28"/>
          <w:szCs w:val="28"/>
        </w:rPr>
      </w:pPr>
    </w:p>
    <w:p w14:paraId="3A0F62C8">
      <w:pPr>
        <w:pStyle w:val="21"/>
        <w:ind w:left="0" w:leftChars="0" w:firstLine="0" w:firstLineChars="0"/>
        <w:rPr>
          <w:b/>
          <w:bCs/>
          <w:sz w:val="28"/>
          <w:szCs w:val="28"/>
        </w:rPr>
      </w:pPr>
    </w:p>
    <w:p w14:paraId="7B4D64D9">
      <w:pPr>
        <w:pStyle w:val="21"/>
        <w:ind w:left="0" w:leftChars="0" w:firstLine="0" w:firstLineChars="0"/>
        <w:rPr>
          <w:b/>
          <w:bCs/>
          <w:sz w:val="28"/>
          <w:szCs w:val="28"/>
        </w:rPr>
        <w:sectPr>
          <w:pgSz w:w="16838" w:h="11906" w:orient="landscape"/>
          <w:pgMar w:top="1531" w:right="1702" w:bottom="1531" w:left="1702" w:header="851" w:footer="1417" w:gutter="0"/>
          <w:pgNumType w:fmt="decimal"/>
          <w:cols w:space="425" w:num="1"/>
          <w:docGrid w:type="lines" w:linePitch="312" w:charSpace="0"/>
        </w:sectPr>
      </w:pPr>
    </w:p>
    <w:p w14:paraId="6322E2FF">
      <w:pPr>
        <w:pStyle w:val="21"/>
        <w:ind w:left="0" w:leftChars="0" w:firstLine="0" w:firstLineChars="0"/>
      </w:pPr>
      <w:r>
        <w:rPr>
          <w:rFonts w:hint="eastAsia"/>
          <w:b/>
          <w:bCs/>
          <w:sz w:val="28"/>
          <w:szCs w:val="28"/>
        </w:rPr>
        <w:t>附图4：项目交通地理位置图</w:t>
      </w:r>
    </w:p>
    <w:p w14:paraId="4C6B4EBE">
      <w:r>
        <mc:AlternateContent>
          <mc:Choice Requires="wps">
            <w:drawing>
              <wp:anchor distT="0" distB="0" distL="114300" distR="114300" simplePos="0" relativeHeight="251672576" behindDoc="0" locked="0" layoutInCell="1" allowOverlap="1">
                <wp:simplePos x="0" y="0"/>
                <wp:positionH relativeFrom="column">
                  <wp:posOffset>4092575</wp:posOffset>
                </wp:positionH>
                <wp:positionV relativeFrom="paragraph">
                  <wp:posOffset>2301240</wp:posOffset>
                </wp:positionV>
                <wp:extent cx="175895" cy="158750"/>
                <wp:effectExtent l="20320" t="19685" r="32385" b="24765"/>
                <wp:wrapNone/>
                <wp:docPr id="105" name="五角星 105"/>
                <wp:cNvGraphicFramePr/>
                <a:graphic xmlns:a="http://schemas.openxmlformats.org/drawingml/2006/main">
                  <a:graphicData uri="http://schemas.microsoft.com/office/word/2010/wordprocessingShape">
                    <wps:wsp>
                      <wps:cNvSpPr/>
                      <wps:spPr>
                        <a:xfrm>
                          <a:off x="2248535" y="6978015"/>
                          <a:ext cx="175895" cy="158750"/>
                        </a:xfrm>
                        <a:prstGeom prst="star5">
                          <a:avLst/>
                        </a:prstGeom>
                        <a:solidFill>
                          <a:srgbClr val="FFFF00"/>
                        </a:solidFill>
                        <a:ln>
                          <a:solidFill>
                            <a:srgbClr val="022DF6"/>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22.25pt;margin-top:181.2pt;height:12.5pt;width:13.85pt;z-index:251672576;v-text-anchor:middle;mso-width-relative:page;mso-height-relative:page;" fillcolor="#FFFF00" filled="t" stroked="t" coordsize="175895,158750" o:gfxdata="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C7oRc+2QAAAAsB&#10;AAAPAAAAAAAAAAEAIAAAACIAAABkcnMvZG93bnJldi54bWxQSwECFAAUAAAACACHTuJAwOXwgowC&#10;AAAHBQAADgAAAAAAAAABACAAAAAoAQAAZHJzL2Uyb0RvYy54bWxQSwUGAAAAAAYABgBZAQAAJgYA&#10;AAAA&#10;" path="m0,60636l67186,60637,87947,0,108708,60637,175894,60636,121539,98112,142301,158749,87947,121273,33593,158749,54355,98112xe">
                <v:path o:connectlocs="87947,0;0,60636;33593,158749;142301,158749;175894,60636" o:connectangles="247,164,82,82,0"/>
                <v:fill on="t" focussize="0,0"/>
                <v:stroke weight="1pt" color="#022DF6 [2404]" miterlimit="8" joinstyle="miter"/>
                <v:imagedata o:title=""/>
                <o:lock v:ext="edit" aspectratio="f"/>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3891915</wp:posOffset>
                </wp:positionH>
                <wp:positionV relativeFrom="paragraph">
                  <wp:posOffset>3102610</wp:posOffset>
                </wp:positionV>
                <wp:extent cx="1236980" cy="292100"/>
                <wp:effectExtent l="6350" t="666750" r="26670" b="6350"/>
                <wp:wrapNone/>
                <wp:docPr id="171" name="圆角矩形标注 171"/>
                <wp:cNvGraphicFramePr/>
                <a:graphic xmlns:a="http://schemas.openxmlformats.org/drawingml/2006/main">
                  <a:graphicData uri="http://schemas.microsoft.com/office/word/2010/wordprocessingShape">
                    <wps:wsp>
                      <wps:cNvSpPr/>
                      <wps:spPr>
                        <a:xfrm>
                          <a:off x="4986655" y="5454015"/>
                          <a:ext cx="1236980" cy="292100"/>
                        </a:xfrm>
                        <a:prstGeom prst="wedgeRoundRectCallout">
                          <a:avLst>
                            <a:gd name="adj1" fmla="val -25513"/>
                            <a:gd name="adj2" fmla="val -268913"/>
                            <a:gd name="adj3" fmla="val 16667"/>
                          </a:avLst>
                        </a:prstGeom>
                        <a:solidFill>
                          <a:srgbClr val="FFFF00"/>
                        </a:solidFill>
                      </wps:spPr>
                      <wps:style>
                        <a:lnRef idx="2">
                          <a:schemeClr val="accent1">
                            <a:lumMod val="75000"/>
                          </a:schemeClr>
                        </a:lnRef>
                        <a:fillRef idx="1">
                          <a:schemeClr val="accent1"/>
                        </a:fillRef>
                        <a:effectRef idx="0">
                          <a:srgbClr val="FFFFFF"/>
                        </a:effectRef>
                        <a:fontRef idx="minor">
                          <a:schemeClr val="lt1"/>
                        </a:fontRef>
                      </wps:style>
                      <wps:txbx>
                        <w:txbxContent>
                          <w:p w14:paraId="7C87C561">
                            <w:pPr>
                              <w:jc w:val="center"/>
                              <w:rPr>
                                <w:rFonts w:hint="eastAsia" w:ascii="方正楷体_GB2312" w:hAnsi="方正楷体_GB2312" w:eastAsia="方正楷体_GB2312" w:cs="方正楷体_GB2312"/>
                                <w:b/>
                                <w:bCs/>
                                <w:color w:val="1C0CF2"/>
                                <w:highlight w:val="yellow"/>
                              </w:rPr>
                            </w:pPr>
                            <w:r>
                              <w:rPr>
                                <w:rFonts w:hint="eastAsia" w:ascii="方正楷体_GB2312" w:hAnsi="方正楷体_GB2312" w:eastAsia="方正楷体_GB2312" w:cs="方正楷体_GB2312"/>
                                <w:b/>
                                <w:bCs/>
                                <w:color w:val="1C0CF2"/>
                                <w:highlight w:val="yellow"/>
                              </w:rPr>
                              <w:t>本项目位置示意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306.45pt;margin-top:244.3pt;height:23pt;width:97.4pt;z-index:251668480;v-text-anchor:middle;mso-width-relative:page;mso-height-relative:page;" fillcolor="#FFFF00" filled="t" stroked="t" coordsize="21600,21600" o:gfxdata="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" adj="5289,-47285,14400">
                <v:fill on="t" focussize="0,0"/>
                <v:stroke weight="1pt" color="#2E75B6 [2404]" miterlimit="8" joinstyle="miter"/>
                <v:imagedata o:title=""/>
                <o:lock v:ext="edit" aspectratio="f"/>
                <v:textbox>
                  <w:txbxContent>
                    <w:p w14:paraId="7C87C561">
                      <w:pPr>
                        <w:jc w:val="center"/>
                        <w:rPr>
                          <w:rFonts w:hint="eastAsia" w:ascii="方正楷体_GB2312" w:hAnsi="方正楷体_GB2312" w:eastAsia="方正楷体_GB2312" w:cs="方正楷体_GB2312"/>
                          <w:b/>
                          <w:bCs/>
                          <w:color w:val="1C0CF2"/>
                          <w:highlight w:val="yellow"/>
                        </w:rPr>
                      </w:pPr>
                      <w:r>
                        <w:rPr>
                          <w:rFonts w:hint="eastAsia" w:ascii="方正楷体_GB2312" w:hAnsi="方正楷体_GB2312" w:eastAsia="方正楷体_GB2312" w:cs="方正楷体_GB2312"/>
                          <w:b/>
                          <w:bCs/>
                          <w:color w:val="1C0CF2"/>
                          <w:highlight w:val="yellow"/>
                        </w:rPr>
                        <w:t>本项目位置示意</w:t>
                      </w:r>
                    </w:p>
                  </w:txbxContent>
                </v:textbox>
              </v:shape>
            </w:pict>
          </mc:Fallback>
        </mc:AlternateContent>
      </w:r>
      <w:r>
        <w:drawing>
          <wp:inline distT="0" distB="0" distL="114300" distR="114300">
            <wp:extent cx="5605780" cy="7920990"/>
            <wp:effectExtent l="0" t="0" r="7620" b="3810"/>
            <wp:docPr id="10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44"/>
                    <pic:cNvPicPr>
                      <a:picLocks noChangeAspect="1"/>
                    </pic:cNvPicPr>
                  </pic:nvPicPr>
                  <pic:blipFill>
                    <a:blip r:embed="rId112"/>
                    <a:stretch>
                      <a:fillRect/>
                    </a:stretch>
                  </pic:blipFill>
                  <pic:spPr>
                    <a:xfrm>
                      <a:off x="0" y="0"/>
                      <a:ext cx="5605780" cy="7920990"/>
                    </a:xfrm>
                    <a:prstGeom prst="rect">
                      <a:avLst/>
                    </a:prstGeom>
                    <a:noFill/>
                    <a:ln>
                      <a:noFill/>
                    </a:ln>
                  </pic:spPr>
                </pic:pic>
              </a:graphicData>
            </a:graphic>
          </wp:inline>
        </w:drawing>
      </w:r>
    </w:p>
    <w:p w14:paraId="4BB89D66"/>
    <w:p w14:paraId="047B2BBF">
      <w:pPr>
        <w:sectPr>
          <w:pgSz w:w="11906" w:h="16838"/>
          <w:pgMar w:top="1702" w:right="1531" w:bottom="1702" w:left="1531" w:header="851" w:footer="1417" w:gutter="0"/>
          <w:pgNumType w:fmt="decimal"/>
          <w:cols w:space="425" w:num="1"/>
          <w:docGrid w:type="lines" w:linePitch="312" w:charSpace="0"/>
        </w:sectPr>
      </w:pPr>
    </w:p>
    <w:p w14:paraId="044A0220">
      <w:pPr>
        <w:pStyle w:val="21"/>
        <w:ind w:left="0" w:leftChars="0" w:firstLine="0" w:firstLineChars="0"/>
        <w:rPr>
          <w:b/>
          <w:bCs/>
          <w:sz w:val="28"/>
          <w:szCs w:val="28"/>
        </w:rPr>
      </w:pPr>
      <w:r>
        <w:rPr>
          <w:rFonts w:hint="eastAsia"/>
          <w:b/>
          <w:bCs/>
          <w:sz w:val="28"/>
          <w:szCs w:val="28"/>
        </w:rPr>
        <w:t>附图5：项目周边关系示意图</w:t>
      </w:r>
    </w:p>
    <w:p w14:paraId="264040E5">
      <w:pPr>
        <w:jc w:val="center"/>
      </w:pPr>
    </w:p>
    <w:p w14:paraId="0A065EAC">
      <w:pPr>
        <w:pStyle w:val="21"/>
        <w:ind w:left="0" w:leftChars="0" w:firstLine="0" w:firstLineChars="0"/>
        <w:jc w:val="center"/>
        <w:rPr>
          <w:b/>
          <w:bCs/>
          <w:sz w:val="28"/>
          <w:szCs w:val="28"/>
        </w:rPr>
      </w:pPr>
      <w:r>
        <w:rPr>
          <w:rFonts w:hint="default" w:cs="宋体"/>
          <w:b/>
          <w:bCs/>
          <w:sz w:val="28"/>
          <w:szCs w:val="28"/>
          <w:lang w:val="en-US" w:eastAsia="zh-CN"/>
        </w:rPr>
        <w:drawing>
          <wp:anchor distT="0" distB="0" distL="114300" distR="114300" simplePos="0" relativeHeight="251705344" behindDoc="0" locked="0" layoutInCell="1" allowOverlap="1">
            <wp:simplePos x="0" y="0"/>
            <wp:positionH relativeFrom="column">
              <wp:posOffset>7602220</wp:posOffset>
            </wp:positionH>
            <wp:positionV relativeFrom="paragraph">
              <wp:posOffset>21590</wp:posOffset>
            </wp:positionV>
            <wp:extent cx="641985" cy="653415"/>
            <wp:effectExtent l="0" t="0" r="18415" b="6985"/>
            <wp:wrapNone/>
            <wp:docPr id="38" name="图片 38" descr="79f65cb8bb7dd793a56cbd136cbc61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79f65cb8bb7dd793a56cbd136cbc616b"/>
                    <pic:cNvPicPr>
                      <a:picLocks noChangeAspect="1"/>
                    </pic:cNvPicPr>
                  </pic:nvPicPr>
                  <pic:blipFill>
                    <a:blip r:embed="rId113"/>
                    <a:stretch>
                      <a:fillRect/>
                    </a:stretch>
                  </pic:blipFill>
                  <pic:spPr>
                    <a:xfrm>
                      <a:off x="0" y="0"/>
                      <a:ext cx="641985" cy="653415"/>
                    </a:xfrm>
                    <a:prstGeom prst="rect">
                      <a:avLst/>
                    </a:prstGeom>
                  </pic:spPr>
                </pic:pic>
              </a:graphicData>
            </a:graphic>
          </wp:anchor>
        </w:drawing>
      </w:r>
      <w:r>
        <mc:AlternateContent>
          <mc:Choice Requires="wps">
            <w:drawing>
              <wp:anchor distT="0" distB="0" distL="114300" distR="114300" simplePos="0" relativeHeight="251685888" behindDoc="0" locked="0" layoutInCell="1" allowOverlap="1">
                <wp:simplePos x="0" y="0"/>
                <wp:positionH relativeFrom="column">
                  <wp:posOffset>5581650</wp:posOffset>
                </wp:positionH>
                <wp:positionV relativeFrom="paragraph">
                  <wp:posOffset>3572510</wp:posOffset>
                </wp:positionV>
                <wp:extent cx="1504315" cy="280035"/>
                <wp:effectExtent l="960755" t="37465" r="24130" b="12700"/>
                <wp:wrapNone/>
                <wp:docPr id="123" name="圆角矩形标注 123"/>
                <wp:cNvGraphicFramePr/>
                <a:graphic xmlns:a="http://schemas.openxmlformats.org/drawingml/2006/main">
                  <a:graphicData uri="http://schemas.microsoft.com/office/word/2010/wordprocessingShape">
                    <wps:wsp>
                      <wps:cNvSpPr/>
                      <wps:spPr>
                        <a:xfrm>
                          <a:off x="6662420" y="5139055"/>
                          <a:ext cx="1504315" cy="280035"/>
                        </a:xfrm>
                        <a:prstGeom prst="wedgeRoundRectCallout">
                          <a:avLst>
                            <a:gd name="adj1" fmla="val -110489"/>
                            <a:gd name="adj2" fmla="val -59750"/>
                            <a:gd name="adj3" fmla="val 1666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05ECF07E">
                            <w:pPr>
                              <w:jc w:val="center"/>
                              <w:rPr>
                                <w:rFonts w:hint="eastAsia" w:ascii="华文楷体" w:hAnsi="华文楷体" w:eastAsia="华文楷体" w:cs="华文楷体"/>
                                <w:b/>
                                <w:bCs/>
                                <w:sz w:val="18"/>
                                <w:szCs w:val="18"/>
                              </w:rPr>
                            </w:pPr>
                            <w:r>
                              <w:rPr>
                                <w:rFonts w:hint="eastAsia" w:ascii="华文楷体" w:hAnsi="华文楷体" w:eastAsia="华文楷体" w:cs="华文楷体"/>
                                <w:b/>
                                <w:bCs/>
                                <w:sz w:val="18"/>
                                <w:szCs w:val="18"/>
                              </w:rPr>
                              <w:t>直河位置及汇入方向示意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439.5pt;margin-top:281.3pt;height:22.05pt;width:118.45pt;z-index:251685888;v-text-anchor:middle;mso-width-relative:page;mso-height-relative:page;" fillcolor="#5B9BD5 [3204]" filled="t" stroked="t" coordsize="21600,21600" o:gfxdata="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" adj="-13066,-2106,14400">
                <v:fill on="t" focussize="0,0"/>
                <v:stroke weight="1pt" color="#2E75B6 [2404]" miterlimit="8" joinstyle="miter"/>
                <v:imagedata o:title=""/>
                <o:lock v:ext="edit" aspectratio="f"/>
                <v:textbox>
                  <w:txbxContent>
                    <w:p w14:paraId="05ECF07E">
                      <w:pPr>
                        <w:jc w:val="center"/>
                        <w:rPr>
                          <w:rFonts w:hint="eastAsia" w:ascii="华文楷体" w:hAnsi="华文楷体" w:eastAsia="华文楷体" w:cs="华文楷体"/>
                          <w:b/>
                          <w:bCs/>
                          <w:sz w:val="18"/>
                          <w:szCs w:val="18"/>
                        </w:rPr>
                      </w:pPr>
                      <w:r>
                        <w:rPr>
                          <w:rFonts w:hint="eastAsia" w:ascii="华文楷体" w:hAnsi="华文楷体" w:eastAsia="华文楷体" w:cs="华文楷体"/>
                          <w:b/>
                          <w:bCs/>
                          <w:sz w:val="18"/>
                          <w:szCs w:val="18"/>
                        </w:rPr>
                        <w:t>直河位置及汇入方向示意</w:t>
                      </w: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4493260</wp:posOffset>
                </wp:positionH>
                <wp:positionV relativeFrom="paragraph">
                  <wp:posOffset>3040380</wp:posOffset>
                </wp:positionV>
                <wp:extent cx="985520" cy="106045"/>
                <wp:effectExtent l="0" t="246380" r="0" b="257175"/>
                <wp:wrapNone/>
                <wp:docPr id="122" name="左箭头 122"/>
                <wp:cNvGraphicFramePr/>
                <a:graphic xmlns:a="http://schemas.openxmlformats.org/drawingml/2006/main">
                  <a:graphicData uri="http://schemas.microsoft.com/office/word/2010/wordprocessingShape">
                    <wps:wsp>
                      <wps:cNvSpPr/>
                      <wps:spPr>
                        <a:xfrm rot="19620000">
                          <a:off x="5506720" y="4229100"/>
                          <a:ext cx="985520" cy="106045"/>
                        </a:xfrm>
                        <a:prstGeom prst="lef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6" type="#_x0000_t66" style="position:absolute;left:0pt;margin-left:353.8pt;margin-top:239.4pt;height:8.35pt;width:77.6pt;rotation:-2162688f;z-index:251684864;v-text-anchor:middle;mso-width-relative:page;mso-height-relative:page;" fillcolor="#5B9BD5 [3204]" filled="t" stroked="t" coordsize="21600,21600" o:gfxdata="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AHp6TfaAAAACwEAAA8AAAAAAAAAAQAgAAAAIgAAAGRycy9kb3ducmV2Lnht&#10;bFBLAQIUABQAAAAIAIdO4kBTkW33ogIAADwFAAAOAAAAAAAAAAEAIAAAACkBAABkcnMvZTJvRG9j&#10;LnhtbFBLBQYAAAAABgAGAFkBAAA9BgAAAAA=&#10;" adj="1162,5400">
                <v:fill on="t" focussize="0,0"/>
                <v:stroke weight="1pt" color="#2E75B6 [2404]" miterlimit="8" joinstyle="miter"/>
                <v:imagedata o:title=""/>
                <o:lock v:ext="edit" aspectratio="f"/>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2585085</wp:posOffset>
                </wp:positionH>
                <wp:positionV relativeFrom="paragraph">
                  <wp:posOffset>1852295</wp:posOffset>
                </wp:positionV>
                <wp:extent cx="3959860" cy="2775585"/>
                <wp:effectExtent l="1905" t="4445" r="26035" b="13970"/>
                <wp:wrapNone/>
                <wp:docPr id="121" name="任意多边形 121"/>
                <wp:cNvGraphicFramePr/>
                <a:graphic xmlns:a="http://schemas.openxmlformats.org/drawingml/2006/main">
                  <a:graphicData uri="http://schemas.microsoft.com/office/word/2010/wordprocessingShape">
                    <wps:wsp>
                      <wps:cNvSpPr/>
                      <wps:spPr>
                        <a:xfrm>
                          <a:off x="3665855" y="3418840"/>
                          <a:ext cx="3959860" cy="2775585"/>
                        </a:xfrm>
                        <a:custGeom>
                          <a:avLst/>
                          <a:gdLst>
                            <a:gd name="connisteX0" fmla="*/ 3959860 w 3959860"/>
                            <a:gd name="connsiteY0" fmla="*/ 0 h 2775585"/>
                            <a:gd name="connisteX1" fmla="*/ 2797175 w 3959860"/>
                            <a:gd name="connsiteY1" fmla="*/ 1221105 h 2775585"/>
                            <a:gd name="connisteX2" fmla="*/ 713740 w 3959860"/>
                            <a:gd name="connsiteY2" fmla="*/ 2526665 h 2775585"/>
                            <a:gd name="connisteX3" fmla="*/ 641985 w 3959860"/>
                            <a:gd name="connsiteY3" fmla="*/ 2548255 h 2775585"/>
                            <a:gd name="connisteX4" fmla="*/ 570865 w 3959860"/>
                            <a:gd name="connsiteY4" fmla="*/ 2568575 h 2775585"/>
                            <a:gd name="connisteX5" fmla="*/ 506730 w 3959860"/>
                            <a:gd name="connsiteY5" fmla="*/ 2576830 h 2775585"/>
                            <a:gd name="connisteX6" fmla="*/ 442595 w 3959860"/>
                            <a:gd name="connsiteY6" fmla="*/ 2597150 h 2775585"/>
                            <a:gd name="connisteX7" fmla="*/ 50165 w 3959860"/>
                            <a:gd name="connsiteY7" fmla="*/ 2762250 h 2775585"/>
                            <a:gd name="connisteX8" fmla="*/ 121285 w 3959860"/>
                            <a:gd name="connsiteY8" fmla="*/ 2733675 h 2775585"/>
                            <a:gd name="connisteX9" fmla="*/ 0 w 3959860"/>
                            <a:gd name="connsiteY9" fmla="*/ 2775585 h 277558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Lst>
                          <a:rect l="l" t="t" r="r" b="b"/>
                          <a:pathLst>
                            <a:path w="3959860" h="2775585">
                              <a:moveTo>
                                <a:pt x="3959860" y="0"/>
                              </a:moveTo>
                              <a:lnTo>
                                <a:pt x="2797175" y="1221105"/>
                              </a:lnTo>
                              <a:lnTo>
                                <a:pt x="713740" y="2526665"/>
                              </a:lnTo>
                              <a:lnTo>
                                <a:pt x="641985" y="2548255"/>
                              </a:lnTo>
                              <a:lnTo>
                                <a:pt x="570865" y="2568575"/>
                              </a:lnTo>
                              <a:lnTo>
                                <a:pt x="506730" y="2576830"/>
                              </a:lnTo>
                              <a:lnTo>
                                <a:pt x="442595" y="2597150"/>
                              </a:lnTo>
                              <a:lnTo>
                                <a:pt x="50165" y="2762250"/>
                              </a:lnTo>
                              <a:lnTo>
                                <a:pt x="121285" y="2733675"/>
                              </a:lnTo>
                              <a:lnTo>
                                <a:pt x="0" y="2775585"/>
                              </a:lnTo>
                            </a:path>
                          </a:pathLst>
                        </a:custGeom>
                        <a:solidFill>
                          <a:srgbClr val="92D050"/>
                        </a:solidFill>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03.55pt;margin-top:145.85pt;height:218.55pt;width:311.8pt;z-index:251683840;mso-width-relative:page;mso-height-relative:page;" fillcolor="#92D050" filled="t" stroked="t" coordsize="3959860,2775585" o:gfxdata="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" path="m3959860,0l2797175,1221105,713740,2526665,641985,2548255,570865,2568575,506730,2576830,442595,2597150,50165,2762250,121285,2733675,0,2775585e">
                <v:path o:connectlocs="3959860,0;2797175,1221105;713740,2526665;641985,2548255;570865,2568575;506730,2576830;442595,2597150;50165,2762250;121285,2733675;0,2775585" o:connectangles="0,0,0,0,0,0,0,0,0,0"/>
                <v:fill on="t" focussize="0,0"/>
                <v:stroke weight="1pt" color="#2E75B6 [2404]" miterlimit="8" joinstyle="miter"/>
                <v:imagedata o:title=""/>
                <o:lock v:ext="edit" aspectratio="f"/>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2334895</wp:posOffset>
                </wp:positionH>
                <wp:positionV relativeFrom="paragraph">
                  <wp:posOffset>2372360</wp:posOffset>
                </wp:positionV>
                <wp:extent cx="1127760" cy="278130"/>
                <wp:effectExtent l="424815" t="0" r="0" b="0"/>
                <wp:wrapNone/>
                <wp:docPr id="119" name="文本框 119"/>
                <wp:cNvGraphicFramePr/>
                <a:graphic xmlns:a="http://schemas.openxmlformats.org/drawingml/2006/main">
                  <a:graphicData uri="http://schemas.microsoft.com/office/word/2010/wordprocessingShape">
                    <wps:wsp>
                      <wps:cNvSpPr txBox="1"/>
                      <wps:spPr>
                        <a:xfrm rot="3600000">
                          <a:off x="5948680" y="4502150"/>
                          <a:ext cx="112776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A0FD07">
                            <w:pPr>
                              <w:rPr>
                                <w:rFonts w:hint="eastAsia" w:ascii="华文楷体" w:hAnsi="华文楷体" w:eastAsia="华文楷体" w:cs="华文楷体"/>
                                <w:b/>
                                <w:bCs/>
                                <w:color w:val="FFFF00"/>
                                <w:sz w:val="18"/>
                                <w:szCs w:val="18"/>
                              </w:rPr>
                            </w:pPr>
                            <w:r>
                              <w:rPr>
                                <w:rFonts w:hint="eastAsia" w:ascii="华文楷体" w:hAnsi="华文楷体" w:eastAsia="华文楷体" w:cs="华文楷体"/>
                                <w:b/>
                                <w:bCs/>
                                <w:color w:val="FFFF00"/>
                                <w:sz w:val="18"/>
                                <w:szCs w:val="18"/>
                              </w:rPr>
                              <w:t>预留二期建设用地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3.85pt;margin-top:186.8pt;height:21.9pt;width:88.8pt;rotation:3932160f;z-index:251682816;mso-width-relative:page;mso-height-relative:page;" filled="f" stroked="f" coordsize="21600,21600" o:gfxdata="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tJpPOdwAAAALAQAA&#10;DwAAAAAAAAABACAAAAAiAAAAZHJzL2Rvd25yZXYueG1sUEsBAhQAFAAAAAgAh07iQLl+d+5OAgAA&#10;hAQAAA4AAAAAAAAAAQAgAAAAKwEAAGRycy9lMm9Eb2MueG1sUEsFBgAAAAAGAAYAWQEAAOsFAAAA&#10;AA==&#10;">
                <v:fill on="f" focussize="0,0"/>
                <v:stroke on="f" weight="0.5pt"/>
                <v:imagedata o:title=""/>
                <o:lock v:ext="edit" aspectratio="f"/>
                <v:textbox>
                  <w:txbxContent>
                    <w:p w14:paraId="49A0FD07">
                      <w:pPr>
                        <w:rPr>
                          <w:rFonts w:hint="eastAsia" w:ascii="华文楷体" w:hAnsi="华文楷体" w:eastAsia="华文楷体" w:cs="华文楷体"/>
                          <w:b/>
                          <w:bCs/>
                          <w:color w:val="FFFF00"/>
                          <w:sz w:val="18"/>
                          <w:szCs w:val="18"/>
                        </w:rPr>
                      </w:pPr>
                      <w:r>
                        <w:rPr>
                          <w:rFonts w:hint="eastAsia" w:ascii="华文楷体" w:hAnsi="华文楷体" w:eastAsia="华文楷体" w:cs="华文楷体"/>
                          <w:b/>
                          <w:bCs/>
                          <w:color w:val="FFFF00"/>
                          <w:sz w:val="18"/>
                          <w:szCs w:val="18"/>
                        </w:rPr>
                        <w:t>预留二期建设用地</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2456815</wp:posOffset>
                </wp:positionH>
                <wp:positionV relativeFrom="paragraph">
                  <wp:posOffset>2014855</wp:posOffset>
                </wp:positionV>
                <wp:extent cx="820420" cy="920750"/>
                <wp:effectExtent l="8890" t="8255" r="8890" b="10795"/>
                <wp:wrapNone/>
                <wp:docPr id="118" name="任意多边形 118"/>
                <wp:cNvGraphicFramePr/>
                <a:graphic xmlns:a="http://schemas.openxmlformats.org/drawingml/2006/main">
                  <a:graphicData uri="http://schemas.microsoft.com/office/word/2010/wordprocessingShape">
                    <wps:wsp>
                      <wps:cNvSpPr/>
                      <wps:spPr>
                        <a:xfrm>
                          <a:off x="3515995" y="3602990"/>
                          <a:ext cx="820420" cy="920750"/>
                        </a:xfrm>
                        <a:custGeom>
                          <a:avLst/>
                          <a:gdLst>
                            <a:gd name="connisteX0" fmla="*/ 470535 w 820420"/>
                            <a:gd name="connsiteY0" fmla="*/ 0 h 920750"/>
                            <a:gd name="connisteX1" fmla="*/ 0 w 820420"/>
                            <a:gd name="connsiteY1" fmla="*/ 243205 h 920750"/>
                            <a:gd name="connisteX2" fmla="*/ 356870 w 820420"/>
                            <a:gd name="connsiteY2" fmla="*/ 920750 h 920750"/>
                            <a:gd name="connisteX3" fmla="*/ 820420 w 820420"/>
                            <a:gd name="connsiteY3" fmla="*/ 678180 h 920750"/>
                            <a:gd name="connisteX4" fmla="*/ 470535 w 820420"/>
                            <a:gd name="connsiteY4" fmla="*/ 0 h 92075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820420" h="920750">
                              <a:moveTo>
                                <a:pt x="470535" y="0"/>
                              </a:moveTo>
                              <a:lnTo>
                                <a:pt x="0" y="243205"/>
                              </a:lnTo>
                              <a:lnTo>
                                <a:pt x="356870" y="920750"/>
                              </a:lnTo>
                              <a:lnTo>
                                <a:pt x="820420" y="678180"/>
                              </a:lnTo>
                              <a:lnTo>
                                <a:pt x="470535" y="0"/>
                              </a:lnTo>
                              <a:close/>
                            </a:path>
                          </a:pathLst>
                        </a:custGeom>
                        <a:solidFill>
                          <a:schemeClr val="accent1">
                            <a:alpha val="25000"/>
                          </a:schemeClr>
                        </a:solidFill>
                        <a:ln>
                          <a:solidFill>
                            <a:srgbClr val="022DF6"/>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93.45pt;margin-top:158.65pt;height:72.5pt;width:64.6pt;z-index:251681792;mso-width-relative:page;mso-height-relative:page;" fillcolor="#5B9BD5 [3204]" filled="t" stroked="t" coordsize="820420,920750" o:gfxdata="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" path="m470535,0l0,243205,356870,920750,820420,678180,470535,0xe">
                <v:path o:connectlocs="470535,0;0,243205;356870,920750;820420,678180;470535,0" o:connectangles="0,0,0,0,0"/>
                <v:fill on="t" opacity="16384f" focussize="0,0"/>
                <v:stroke weight="1pt" color="#022DF6 [2404]" miterlimit="8" joinstyle="miter"/>
                <v:imagedata o:title=""/>
                <o:lock v:ext="edit" aspectratio="f"/>
              </v:shape>
            </w:pict>
          </mc:Fallback>
        </mc:AlternateContent>
      </w:r>
      <w:r>
        <w:drawing>
          <wp:inline distT="0" distB="0" distL="114300" distR="114300">
            <wp:extent cx="8025130" cy="4944745"/>
            <wp:effectExtent l="0" t="0" r="1270" b="8255"/>
            <wp:docPr id="10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5"/>
                    <pic:cNvPicPr>
                      <a:picLocks noChangeAspect="1"/>
                    </pic:cNvPicPr>
                  </pic:nvPicPr>
                  <pic:blipFill>
                    <a:blip r:embed="rId114"/>
                    <a:stretch>
                      <a:fillRect/>
                    </a:stretch>
                  </pic:blipFill>
                  <pic:spPr>
                    <a:xfrm>
                      <a:off x="0" y="0"/>
                      <a:ext cx="8025130" cy="4944745"/>
                    </a:xfrm>
                    <a:prstGeom prst="rect">
                      <a:avLst/>
                    </a:prstGeom>
                    <a:noFill/>
                    <a:ln>
                      <a:noFill/>
                    </a:ln>
                  </pic:spPr>
                </pic:pic>
              </a:graphicData>
            </a:graphic>
          </wp:inline>
        </w:drawing>
      </w:r>
      <w:r>
        <mc:AlternateContent>
          <mc:Choice Requires="wps">
            <w:drawing>
              <wp:anchor distT="0" distB="0" distL="114300" distR="114300" simplePos="0" relativeHeight="251680768" behindDoc="0" locked="0" layoutInCell="1" allowOverlap="1">
                <wp:simplePos x="0" y="0"/>
                <wp:positionH relativeFrom="column">
                  <wp:posOffset>1821180</wp:posOffset>
                </wp:positionH>
                <wp:positionV relativeFrom="paragraph">
                  <wp:posOffset>3366770</wp:posOffset>
                </wp:positionV>
                <wp:extent cx="1940560" cy="293370"/>
                <wp:effectExtent l="0" t="0" r="0" b="0"/>
                <wp:wrapNone/>
                <wp:docPr id="117" name="文本框 117"/>
                <wp:cNvGraphicFramePr/>
                <a:graphic xmlns:a="http://schemas.openxmlformats.org/drawingml/2006/main">
                  <a:graphicData uri="http://schemas.microsoft.com/office/word/2010/wordprocessingShape">
                    <wps:wsp>
                      <wps:cNvSpPr txBox="1"/>
                      <wps:spPr>
                        <a:xfrm rot="19980000">
                          <a:off x="5242560" y="4718050"/>
                          <a:ext cx="1940560" cy="293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0350B9">
                            <w:pPr>
                              <w:rPr>
                                <w:rFonts w:hint="eastAsia" w:ascii="华文楷体" w:hAnsi="华文楷体" w:eastAsia="华文楷体" w:cs="华文楷体"/>
                                <w:b/>
                                <w:color w:val="FFFF00"/>
                                <w:sz w:val="18"/>
                                <w:szCs w:val="18"/>
                              </w:rPr>
                            </w:pPr>
                            <w:r>
                              <w:rPr>
                                <w:rFonts w:hint="eastAsia" w:ascii="华文楷体" w:hAnsi="华文楷体" w:eastAsia="华文楷体" w:cs="华文楷体"/>
                                <w:b/>
                                <w:color w:val="FFFF00"/>
                                <w:sz w:val="18"/>
                                <w:szCs w:val="18"/>
                                <w:shd w:val="clear" w:color="auto" w:fill="FFFFFF"/>
                              </w:rPr>
                              <w:t>凹凸棒石初级加工园区污水处理厂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3.4pt;margin-top:265.1pt;height:23.1pt;width:152.8pt;rotation:-1769472f;z-index:251680768;mso-width-relative:page;mso-height-relative:page;" filled="f" stroked="f" coordsize="21600,21600" o:gfxdata="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lGjqq1wAAAAsBAAAPAAAA&#10;AAAAAAEAIAAAACIAAABkcnMvZG93bnJldi54bWxQSwECFAAUAAAACACHTuJAcDHqBU8CAACFBAAA&#10;DgAAAAAAAAABACAAAAAmAQAAZHJzL2Uyb0RvYy54bWxQSwUGAAAAAAYABgBZAQAA5wUAAAAA&#10;">
                <v:fill on="f" focussize="0,0"/>
                <v:stroke on="f" weight="0.5pt"/>
                <v:imagedata o:title=""/>
                <o:lock v:ext="edit" aspectratio="f"/>
                <v:textbox>
                  <w:txbxContent>
                    <w:p w14:paraId="6A0350B9">
                      <w:pPr>
                        <w:rPr>
                          <w:rFonts w:hint="eastAsia" w:ascii="华文楷体" w:hAnsi="华文楷体" w:eastAsia="华文楷体" w:cs="华文楷体"/>
                          <w:b/>
                          <w:color w:val="FFFF00"/>
                          <w:sz w:val="18"/>
                          <w:szCs w:val="18"/>
                        </w:rPr>
                      </w:pPr>
                      <w:r>
                        <w:rPr>
                          <w:rFonts w:hint="eastAsia" w:ascii="华文楷体" w:hAnsi="华文楷体" w:eastAsia="华文楷体" w:cs="华文楷体"/>
                          <w:b/>
                          <w:color w:val="FFFF00"/>
                          <w:sz w:val="18"/>
                          <w:szCs w:val="18"/>
                          <w:shd w:val="clear" w:color="auto" w:fill="FFFFFF"/>
                        </w:rPr>
                        <w:t>凹凸棒石初级加工园区污水处理厂</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2278380</wp:posOffset>
                </wp:positionH>
                <wp:positionV relativeFrom="paragraph">
                  <wp:posOffset>3044825</wp:posOffset>
                </wp:positionV>
                <wp:extent cx="1091565" cy="1191260"/>
                <wp:effectExtent l="7620" t="8255" r="18415" b="19685"/>
                <wp:wrapNone/>
                <wp:docPr id="114" name="任意多边形 114"/>
                <wp:cNvGraphicFramePr/>
                <a:graphic xmlns:a="http://schemas.openxmlformats.org/drawingml/2006/main">
                  <a:graphicData uri="http://schemas.microsoft.com/office/word/2010/wordprocessingShape">
                    <wps:wsp>
                      <wps:cNvSpPr/>
                      <wps:spPr>
                        <a:xfrm>
                          <a:off x="3359150" y="4611370"/>
                          <a:ext cx="1091565" cy="1191260"/>
                        </a:xfrm>
                        <a:custGeom>
                          <a:avLst/>
                          <a:gdLst>
                            <a:gd name="connisteX0" fmla="*/ 0 w 1091565"/>
                            <a:gd name="connsiteY0" fmla="*/ 313055 h 1191260"/>
                            <a:gd name="connisteX1" fmla="*/ 635000 w 1091565"/>
                            <a:gd name="connsiteY1" fmla="*/ 0 h 1191260"/>
                            <a:gd name="connisteX2" fmla="*/ 1091565 w 1091565"/>
                            <a:gd name="connsiteY2" fmla="*/ 706120 h 1191260"/>
                            <a:gd name="connisteX3" fmla="*/ 220980 w 1091565"/>
                            <a:gd name="connsiteY3" fmla="*/ 1191260 h 1191260"/>
                            <a:gd name="connisteX4" fmla="*/ 0 w 1091565"/>
                            <a:gd name="connsiteY4" fmla="*/ 313055 h 119126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1091565" h="1191260">
                              <a:moveTo>
                                <a:pt x="0" y="313055"/>
                              </a:moveTo>
                              <a:lnTo>
                                <a:pt x="635000" y="0"/>
                              </a:lnTo>
                              <a:lnTo>
                                <a:pt x="1091565" y="706120"/>
                              </a:lnTo>
                              <a:lnTo>
                                <a:pt x="220980" y="1191260"/>
                              </a:lnTo>
                              <a:lnTo>
                                <a:pt x="0" y="313055"/>
                              </a:lnTo>
                              <a:close/>
                            </a:path>
                          </a:pathLst>
                        </a:custGeom>
                        <a:solidFill>
                          <a:schemeClr val="accent1">
                            <a:alpha val="25000"/>
                          </a:schemeClr>
                        </a:solidFill>
                        <a:ln>
                          <a:solidFill>
                            <a:srgbClr val="022DF6"/>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79.4pt;margin-top:239.75pt;height:93.8pt;width:85.95pt;z-index:251679744;mso-width-relative:page;mso-height-relative:page;" fillcolor="#5B9BD5 [3204]" filled="t" stroked="t" coordsize="1091565,1191260" o:gfxdata="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" path="m0,313055l635000,0,1091565,706120,220980,1191260,0,313055xe">
                <v:path o:connectlocs="0,313055;635000,0;1091565,706120;220980,1191260;0,313055" o:connectangles="0,0,0,0,0"/>
                <v:fill on="t" opacity="16384f" focussize="0,0"/>
                <v:stroke weight="1pt" color="#022DF6 [2404]" miterlimit="8" joinstyle="miter"/>
                <v:imagedata o:title=""/>
                <o:lock v:ext="edit" aspectratio="f"/>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3462655</wp:posOffset>
                </wp:positionH>
                <wp:positionV relativeFrom="paragraph">
                  <wp:posOffset>594360</wp:posOffset>
                </wp:positionV>
                <wp:extent cx="1076960" cy="299720"/>
                <wp:effectExtent l="22860" t="6350" r="17780" b="963930"/>
                <wp:wrapNone/>
                <wp:docPr id="108" name="圆角矩形标注 108"/>
                <wp:cNvGraphicFramePr/>
                <a:graphic xmlns:a="http://schemas.openxmlformats.org/drawingml/2006/main">
                  <a:graphicData uri="http://schemas.microsoft.com/office/word/2010/wordprocessingShape">
                    <wps:wsp>
                      <wps:cNvSpPr/>
                      <wps:spPr>
                        <a:xfrm>
                          <a:off x="5549900" y="4366260"/>
                          <a:ext cx="1076960" cy="299720"/>
                        </a:xfrm>
                        <a:prstGeom prst="wedgeRoundRectCallout">
                          <a:avLst>
                            <a:gd name="adj1" fmla="val -50648"/>
                            <a:gd name="adj2" fmla="val 350635"/>
                            <a:gd name="adj3" fmla="val 1666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60D9EBE7">
                            <w:pPr>
                              <w:jc w:val="center"/>
                              <w:rPr>
                                <w:rFonts w:hint="eastAsia" w:ascii="华文楷体" w:hAnsi="华文楷体" w:eastAsia="华文楷体" w:cs="华文楷体"/>
                                <w:b/>
                                <w:bCs/>
                                <w:sz w:val="18"/>
                                <w:szCs w:val="18"/>
                              </w:rPr>
                            </w:pPr>
                            <w:r>
                              <w:rPr>
                                <w:rFonts w:hint="eastAsia" w:ascii="华文楷体" w:hAnsi="华文楷体" w:eastAsia="华文楷体" w:cs="华文楷体"/>
                                <w:b/>
                                <w:bCs/>
                                <w:sz w:val="18"/>
                                <w:szCs w:val="18"/>
                              </w:rPr>
                              <w:t>本项目厂界示意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72.65pt;margin-top:46.8pt;height:23.6pt;width:84.8pt;z-index:251674624;v-text-anchor:middle;mso-width-relative:page;mso-height-relative:page;" fillcolor="#5B9BD5 [3204]" filled="t" stroked="t" coordsize="21600,21600" o:gfxdata="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" adj="-140,86537,14400">
                <v:fill on="t" focussize="0,0"/>
                <v:stroke weight="1pt" color="#2E75B6 [2404]" miterlimit="8" joinstyle="miter"/>
                <v:imagedata o:title=""/>
                <o:lock v:ext="edit" aspectratio="f"/>
                <v:textbox>
                  <w:txbxContent>
                    <w:p w14:paraId="60D9EBE7">
                      <w:pPr>
                        <w:jc w:val="center"/>
                        <w:rPr>
                          <w:rFonts w:hint="eastAsia" w:ascii="华文楷体" w:hAnsi="华文楷体" w:eastAsia="华文楷体" w:cs="华文楷体"/>
                          <w:b/>
                          <w:bCs/>
                          <w:sz w:val="18"/>
                          <w:szCs w:val="18"/>
                        </w:rPr>
                      </w:pPr>
                      <w:r>
                        <w:rPr>
                          <w:rFonts w:hint="eastAsia" w:ascii="华文楷体" w:hAnsi="华文楷体" w:eastAsia="华文楷体" w:cs="华文楷体"/>
                          <w:b/>
                          <w:bCs/>
                          <w:sz w:val="18"/>
                          <w:szCs w:val="18"/>
                        </w:rPr>
                        <w:t>本项目厂界示意</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2000250</wp:posOffset>
                </wp:positionH>
                <wp:positionV relativeFrom="paragraph">
                  <wp:posOffset>1491615</wp:posOffset>
                </wp:positionV>
                <wp:extent cx="1662430" cy="294005"/>
                <wp:effectExtent l="0" t="0" r="0" b="0"/>
                <wp:wrapNone/>
                <wp:docPr id="113" name="文本框 113"/>
                <wp:cNvGraphicFramePr/>
                <a:graphic xmlns:a="http://schemas.openxmlformats.org/drawingml/2006/main">
                  <a:graphicData uri="http://schemas.microsoft.com/office/word/2010/wordprocessingShape">
                    <wps:wsp>
                      <wps:cNvSpPr txBox="1"/>
                      <wps:spPr>
                        <a:xfrm rot="20040000">
                          <a:off x="6448425" y="4434840"/>
                          <a:ext cx="1662430"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6D6B50">
                            <w:pPr>
                              <w:rPr>
                                <w:rFonts w:hint="eastAsia" w:ascii="华文楷体" w:hAnsi="华文楷体" w:eastAsia="华文楷体" w:cs="华文楷体"/>
                                <w:b/>
                                <w:color w:val="FFFF00"/>
                                <w:szCs w:val="21"/>
                              </w:rPr>
                            </w:pPr>
                            <w:r>
                              <w:rPr>
                                <w:rFonts w:hint="eastAsia" w:ascii="华文楷体" w:hAnsi="华文楷体" w:eastAsia="华文楷体" w:cs="华文楷体"/>
                                <w:b/>
                                <w:color w:val="FFFF00"/>
                                <w:szCs w:val="21"/>
                                <w:shd w:val="clear" w:color="auto" w:fill="FFFFFF"/>
                              </w:rPr>
                              <w:t>临泽县奋君矿业有限公司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7.5pt;margin-top:117.45pt;height:23.15pt;width:130.9pt;rotation:-1703936f;z-index:251678720;mso-width-relative:page;mso-height-relative:page;" filled="f" stroked="f" coordsize="21600,21600" o:gfxdata="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c1ZxkdoAAAALAQAADwAA&#10;AAAAAAABACAAAAAiAAAAZHJzL2Rvd25yZXYueG1sUEsBAhQAFAAAAAgAh07iQIkYF+FNAgAAhQQA&#10;AA4AAAAAAAAAAQAgAAAAKQEAAGRycy9lMm9Eb2MueG1sUEsFBgAAAAAGAAYAWQEAAOgFAAAAAA==&#10;">
                <v:fill on="f" focussize="0,0"/>
                <v:stroke on="f" weight="0.5pt"/>
                <v:imagedata o:title=""/>
                <o:lock v:ext="edit" aspectratio="f"/>
                <v:textbox>
                  <w:txbxContent>
                    <w:p w14:paraId="4E6D6B50">
                      <w:pPr>
                        <w:rPr>
                          <w:rFonts w:hint="eastAsia" w:ascii="华文楷体" w:hAnsi="华文楷体" w:eastAsia="华文楷体" w:cs="华文楷体"/>
                          <w:b/>
                          <w:color w:val="FFFF00"/>
                          <w:szCs w:val="21"/>
                        </w:rPr>
                      </w:pPr>
                      <w:r>
                        <w:rPr>
                          <w:rFonts w:hint="eastAsia" w:ascii="华文楷体" w:hAnsi="华文楷体" w:eastAsia="华文楷体" w:cs="华文楷体"/>
                          <w:b/>
                          <w:color w:val="FFFF00"/>
                          <w:szCs w:val="21"/>
                          <w:shd w:val="clear" w:color="auto" w:fill="FFFFFF"/>
                        </w:rPr>
                        <w:t>临泽县奋君矿业有限公司</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2178685</wp:posOffset>
                </wp:positionH>
                <wp:positionV relativeFrom="paragraph">
                  <wp:posOffset>1213485</wp:posOffset>
                </wp:positionV>
                <wp:extent cx="1248410" cy="920115"/>
                <wp:effectExtent l="8255" t="8255" r="13335" b="11430"/>
                <wp:wrapNone/>
                <wp:docPr id="112" name="任意多边形 112"/>
                <wp:cNvGraphicFramePr/>
                <a:graphic xmlns:a="http://schemas.openxmlformats.org/drawingml/2006/main">
                  <a:graphicData uri="http://schemas.microsoft.com/office/word/2010/wordprocessingShape">
                    <wps:wsp>
                      <wps:cNvSpPr/>
                      <wps:spPr>
                        <a:xfrm>
                          <a:off x="3259455" y="2780030"/>
                          <a:ext cx="1248410" cy="920115"/>
                        </a:xfrm>
                        <a:custGeom>
                          <a:avLst/>
                          <a:gdLst>
                            <a:gd name="connisteX0" fmla="*/ 1248410 w 1248410"/>
                            <a:gd name="connsiteY0" fmla="*/ 399415 h 920115"/>
                            <a:gd name="connisteX1" fmla="*/ 1076960 w 1248410"/>
                            <a:gd name="connsiteY1" fmla="*/ 0 h 920115"/>
                            <a:gd name="connisteX2" fmla="*/ 0 w 1248410"/>
                            <a:gd name="connsiteY2" fmla="*/ 492125 h 920115"/>
                            <a:gd name="connisteX3" fmla="*/ 207010 w 1248410"/>
                            <a:gd name="connsiteY3" fmla="*/ 920115 h 920115"/>
                            <a:gd name="connisteX4" fmla="*/ 1248410 w 1248410"/>
                            <a:gd name="connsiteY4" fmla="*/ 399415 h 92011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1248410" h="920115">
                              <a:moveTo>
                                <a:pt x="1248410" y="399415"/>
                              </a:moveTo>
                              <a:lnTo>
                                <a:pt x="1076960" y="0"/>
                              </a:lnTo>
                              <a:lnTo>
                                <a:pt x="0" y="492125"/>
                              </a:lnTo>
                              <a:lnTo>
                                <a:pt x="207010" y="920115"/>
                              </a:lnTo>
                              <a:lnTo>
                                <a:pt x="1248410" y="399415"/>
                              </a:lnTo>
                              <a:close/>
                            </a:path>
                          </a:pathLst>
                        </a:custGeom>
                        <a:solidFill>
                          <a:schemeClr val="accent1">
                            <a:alpha val="19000"/>
                          </a:schemeClr>
                        </a:solidFill>
                        <a:ln>
                          <a:solidFill>
                            <a:srgbClr val="022DF6"/>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71.55pt;margin-top:95.55pt;height:72.45pt;width:98.3pt;z-index:251677696;mso-width-relative:page;mso-height-relative:page;" fillcolor="#5B9BD5 [3204]" filled="t" stroked="t" coordsize="1248410,920115" o:gfxdata="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" path="m1248410,399415l1076960,0,0,492125,207010,920115,1248410,399415xe">
                <v:path o:connectlocs="1248410,399415;1076960,0;0,492125;207010,920115;1248410,399415" o:connectangles="0,0,0,0,0"/>
                <v:fill on="t" opacity="12451f" focussize="0,0"/>
                <v:stroke weight="1pt" color="#022DF6 [2404]" miterlimit="8" joinstyle="miter"/>
                <v:imagedata o:title=""/>
                <o:lock v:ext="edit" aspectratio="f"/>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3626485</wp:posOffset>
                </wp:positionH>
                <wp:positionV relativeFrom="paragraph">
                  <wp:posOffset>1553210</wp:posOffset>
                </wp:positionV>
                <wp:extent cx="1605915" cy="300355"/>
                <wp:effectExtent l="0" t="0" r="0" b="0"/>
                <wp:wrapNone/>
                <wp:docPr id="110" name="文本框 110"/>
                <wp:cNvGraphicFramePr/>
                <a:graphic xmlns:a="http://schemas.openxmlformats.org/drawingml/2006/main">
                  <a:graphicData uri="http://schemas.microsoft.com/office/word/2010/wordprocessingShape">
                    <wps:wsp>
                      <wps:cNvSpPr txBox="1"/>
                      <wps:spPr>
                        <a:xfrm>
                          <a:off x="6512560" y="3811905"/>
                          <a:ext cx="1605915" cy="3003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6AD35C">
                            <w:pPr>
                              <w:rPr>
                                <w:rFonts w:hint="eastAsia" w:ascii="华文楷体" w:hAnsi="华文楷体" w:eastAsia="华文楷体" w:cs="华文楷体"/>
                                <w:b/>
                                <w:color w:val="FFFF00"/>
                                <w:szCs w:val="21"/>
                              </w:rPr>
                            </w:pPr>
                            <w:r>
                              <w:rPr>
                                <w:rFonts w:hint="eastAsia" w:ascii="华文楷体" w:hAnsi="华文楷体" w:eastAsia="华文楷体" w:cs="华文楷体"/>
                                <w:b/>
                                <w:color w:val="FFFF00"/>
                                <w:szCs w:val="21"/>
                                <w:shd w:val="clear" w:color="auto" w:fill="FFFFFF"/>
                              </w:rPr>
                              <w:t>甘肃融万科技有限公司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5.55pt;margin-top:122.3pt;height:23.65pt;width:126.45pt;z-index:251676672;mso-width-relative:page;mso-height-relative:page;" filled="f" stroked="f" coordsize="21600,21600" o:gfxdata="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8XVbLNwAAAALAQAADwAAAAAA&#10;AAABACAAAAAiAAAAZHJzL2Rvd25yZXYueG1sUEsBAhQAFAAAAAgAh07iQEISmm5IAgAAdgQAAA4A&#10;AAAAAAAAAQAgAAAAKwEAAGRycy9lMm9Eb2MueG1sUEsFBgAAAAAGAAYAWQEAAOUFAAAAAA==&#10;">
                <v:fill on="f" focussize="0,0"/>
                <v:stroke on="f" weight="0.5pt"/>
                <v:imagedata o:title=""/>
                <o:lock v:ext="edit" aspectratio="f"/>
                <v:textbox>
                  <w:txbxContent>
                    <w:p w14:paraId="566AD35C">
                      <w:pPr>
                        <w:rPr>
                          <w:rFonts w:hint="eastAsia" w:ascii="华文楷体" w:hAnsi="华文楷体" w:eastAsia="华文楷体" w:cs="华文楷体"/>
                          <w:b/>
                          <w:color w:val="FFFF00"/>
                          <w:szCs w:val="21"/>
                        </w:rPr>
                      </w:pPr>
                      <w:r>
                        <w:rPr>
                          <w:rFonts w:hint="eastAsia" w:ascii="华文楷体" w:hAnsi="华文楷体" w:eastAsia="华文楷体" w:cs="华文楷体"/>
                          <w:b/>
                          <w:color w:val="FFFF00"/>
                          <w:szCs w:val="21"/>
                          <w:shd w:val="clear" w:color="auto" w:fill="FFFFFF"/>
                        </w:rPr>
                        <w:t>甘肃融万科技有限公司</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3555365</wp:posOffset>
                </wp:positionH>
                <wp:positionV relativeFrom="paragraph">
                  <wp:posOffset>1081405</wp:posOffset>
                </wp:positionV>
                <wp:extent cx="1626870" cy="1313815"/>
                <wp:effectExtent l="8255" t="8255" r="15875" b="24130"/>
                <wp:wrapNone/>
                <wp:docPr id="109" name="任意多边形 109"/>
                <wp:cNvGraphicFramePr/>
                <a:graphic xmlns:a="http://schemas.openxmlformats.org/drawingml/2006/main">
                  <a:graphicData uri="http://schemas.microsoft.com/office/word/2010/wordprocessingShape">
                    <wps:wsp>
                      <wps:cNvSpPr/>
                      <wps:spPr>
                        <a:xfrm>
                          <a:off x="4636135" y="2647950"/>
                          <a:ext cx="1626870" cy="1313815"/>
                        </a:xfrm>
                        <a:custGeom>
                          <a:avLst/>
                          <a:gdLst>
                            <a:gd name="connisteX0" fmla="*/ 1626870 w 1626870"/>
                            <a:gd name="connsiteY0" fmla="*/ 742315 h 1313815"/>
                            <a:gd name="connisteX1" fmla="*/ 1205865 w 1626870"/>
                            <a:gd name="connsiteY1" fmla="*/ 0 h 1313815"/>
                            <a:gd name="connisteX2" fmla="*/ 0 w 1626870"/>
                            <a:gd name="connsiteY2" fmla="*/ 606425 h 1313815"/>
                            <a:gd name="connisteX3" fmla="*/ 356870 w 1626870"/>
                            <a:gd name="connsiteY3" fmla="*/ 1313815 h 1313815"/>
                            <a:gd name="connisteX4" fmla="*/ 1584325 w 1626870"/>
                            <a:gd name="connsiteY4" fmla="*/ 735330 h 1313815"/>
                            <a:gd name="connisteX5" fmla="*/ 1626870 w 1626870"/>
                            <a:gd name="connsiteY5" fmla="*/ 742315 h 131381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1626870" h="1313815">
                              <a:moveTo>
                                <a:pt x="1626870" y="742315"/>
                              </a:moveTo>
                              <a:lnTo>
                                <a:pt x="1205865" y="0"/>
                              </a:lnTo>
                              <a:lnTo>
                                <a:pt x="0" y="606425"/>
                              </a:lnTo>
                              <a:lnTo>
                                <a:pt x="356870" y="1313815"/>
                              </a:lnTo>
                              <a:lnTo>
                                <a:pt x="1584325" y="735330"/>
                              </a:lnTo>
                              <a:lnTo>
                                <a:pt x="1626870" y="742315"/>
                              </a:lnTo>
                              <a:close/>
                            </a:path>
                          </a:pathLst>
                        </a:custGeom>
                        <a:solidFill>
                          <a:schemeClr val="accent1">
                            <a:alpha val="30000"/>
                          </a:schemeClr>
                        </a:solidFill>
                        <a:ln>
                          <a:solidFill>
                            <a:srgbClr val="022DF6"/>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79.95pt;margin-top:85.15pt;height:103.45pt;width:128.1pt;z-index:251675648;mso-width-relative:page;mso-height-relative:page;" fillcolor="#5B9BD5 [3204]" filled="t" stroked="t" coordsize="1626870,1313815" o:gfxdata="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" path="m1626870,742315l1205865,0,0,606425,356870,1313815,1584325,735330,1626870,742315xe">
                <v:path o:connectlocs="1626870,742315;1205865,0;0,606425;356870,1313815;1584325,735330;1626870,742315" o:connectangles="0,0,0,0,0,0"/>
                <v:fill on="t" opacity="19660f" focussize="0,0"/>
                <v:stroke weight="1pt" color="#022DF6 [2404]" miterlimit="8" joinstyle="miter"/>
                <v:imagedata o:title=""/>
                <o:lock v:ext="edit" aspectratio="f"/>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2955925</wp:posOffset>
                </wp:positionH>
                <wp:positionV relativeFrom="paragraph">
                  <wp:posOffset>1715135</wp:posOffset>
                </wp:positionV>
                <wp:extent cx="906145" cy="962660"/>
                <wp:effectExtent l="8255" t="8890" r="25400" b="19050"/>
                <wp:wrapNone/>
                <wp:docPr id="107" name="任意多边形 107"/>
                <wp:cNvGraphicFramePr/>
                <a:graphic xmlns:a="http://schemas.openxmlformats.org/drawingml/2006/main">
                  <a:graphicData uri="http://schemas.microsoft.com/office/word/2010/wordprocessingShape">
                    <wps:wsp>
                      <wps:cNvSpPr/>
                      <wps:spPr>
                        <a:xfrm>
                          <a:off x="4036695" y="3281680"/>
                          <a:ext cx="906145" cy="962660"/>
                        </a:xfrm>
                        <a:custGeom>
                          <a:avLst/>
                          <a:gdLst>
                            <a:gd name="connisteX0" fmla="*/ 906145 w 906145"/>
                            <a:gd name="connsiteY0" fmla="*/ 713740 h 962660"/>
                            <a:gd name="connisteX1" fmla="*/ 570865 w 906145"/>
                            <a:gd name="connsiteY1" fmla="*/ 0 h 962660"/>
                            <a:gd name="connisteX2" fmla="*/ 0 w 906145"/>
                            <a:gd name="connsiteY2" fmla="*/ 292735 h 962660"/>
                            <a:gd name="connisteX3" fmla="*/ 335915 w 906145"/>
                            <a:gd name="connsiteY3" fmla="*/ 962660 h 962660"/>
                            <a:gd name="connisteX4" fmla="*/ 906145 w 906145"/>
                            <a:gd name="connsiteY4" fmla="*/ 713740 h 96266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906145" h="962660">
                              <a:moveTo>
                                <a:pt x="906145" y="713740"/>
                              </a:moveTo>
                              <a:lnTo>
                                <a:pt x="570865" y="0"/>
                              </a:lnTo>
                              <a:lnTo>
                                <a:pt x="0" y="292735"/>
                              </a:lnTo>
                              <a:lnTo>
                                <a:pt x="335915" y="962660"/>
                              </a:lnTo>
                              <a:lnTo>
                                <a:pt x="906145" y="713740"/>
                              </a:lnTo>
                              <a:close/>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32.75pt;margin-top:135.05pt;height:75.8pt;width:71.35pt;z-index:251673600;mso-width-relative:page;mso-height-relative:page;" filled="f" stroked="t" coordsize="906145,962660" o:gfxdata="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" path="m906145,713740l570865,0,0,292735,335915,962660,906145,713740xe">
                <v:path o:connectlocs="906145,713740;570865,0;0,292735;335915,962660;906145,713740" o:connectangles="0,0,0,0,0"/>
                <v:fill on="f" focussize="0,0"/>
                <v:stroke weight="1pt" color="#FF0000 [2404]" miterlimit="8" joinstyle="miter"/>
                <v:imagedata o:title=""/>
                <o:lock v:ext="edit" aspectratio="f"/>
              </v:shape>
            </w:pict>
          </mc:Fallback>
        </mc:AlternateContent>
      </w:r>
    </w:p>
    <w:p w14:paraId="316A98EB">
      <w:pPr>
        <w:pStyle w:val="21"/>
        <w:ind w:left="0" w:leftChars="0" w:firstLine="0" w:firstLineChars="0"/>
      </w:pPr>
      <w:r>
        <w:rPr>
          <w:rFonts w:hint="eastAsia"/>
          <w:b/>
          <w:bCs/>
          <w:sz w:val="28"/>
          <w:szCs w:val="28"/>
        </w:rPr>
        <w:t>附图6：平面布置图</w:t>
      </w:r>
    </w:p>
    <w:p w14:paraId="61793E32">
      <w:pPr>
        <w:pStyle w:val="21"/>
        <w:ind w:left="0" w:leftChars="0" w:firstLine="0" w:firstLineChars="0"/>
        <w:jc w:val="center"/>
        <w:rPr>
          <w:rFonts w:eastAsia="宋体"/>
        </w:rPr>
        <w:sectPr>
          <w:pgSz w:w="16838" w:h="11906" w:orient="landscape"/>
          <w:pgMar w:top="1531" w:right="1702" w:bottom="1531" w:left="1702" w:header="851" w:footer="1417" w:gutter="0"/>
          <w:pgNumType w:fmt="decimal"/>
          <w:cols w:space="425" w:num="1"/>
          <w:docGrid w:type="lines" w:linePitch="312" w:charSpace="0"/>
        </w:sectPr>
      </w:pPr>
      <w:r>
        <w:drawing>
          <wp:inline distT="0" distB="0" distL="114300" distR="114300">
            <wp:extent cx="8136890" cy="5017770"/>
            <wp:effectExtent l="0" t="0" r="16510" b="11430"/>
            <wp:docPr id="14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47"/>
                    <pic:cNvPicPr>
                      <a:picLocks noChangeAspect="1"/>
                    </pic:cNvPicPr>
                  </pic:nvPicPr>
                  <pic:blipFill>
                    <a:blip r:embed="rId115"/>
                    <a:stretch>
                      <a:fillRect/>
                    </a:stretch>
                  </pic:blipFill>
                  <pic:spPr>
                    <a:xfrm>
                      <a:off x="0" y="0"/>
                      <a:ext cx="8136890" cy="5017770"/>
                    </a:xfrm>
                    <a:prstGeom prst="rect">
                      <a:avLst/>
                    </a:prstGeom>
                    <a:noFill/>
                    <a:ln>
                      <a:noFill/>
                    </a:ln>
                  </pic:spPr>
                </pic:pic>
              </a:graphicData>
            </a:graphic>
          </wp:inline>
        </w:drawing>
      </w:r>
      <w:r>
        <w:rPr>
          <w:sz w:val="21"/>
        </w:rPr>
        <mc:AlternateContent>
          <mc:Choice Requires="wps">
            <w:drawing>
              <wp:anchor distT="0" distB="0" distL="114300" distR="114300" simplePos="0" relativeHeight="251748352" behindDoc="0" locked="0" layoutInCell="1" allowOverlap="1">
                <wp:simplePos x="0" y="0"/>
                <wp:positionH relativeFrom="column">
                  <wp:posOffset>1603375</wp:posOffset>
                </wp:positionH>
                <wp:positionV relativeFrom="paragraph">
                  <wp:posOffset>2652395</wp:posOffset>
                </wp:positionV>
                <wp:extent cx="546100" cy="248285"/>
                <wp:effectExtent l="0" t="0" r="0" b="0"/>
                <wp:wrapNone/>
                <wp:docPr id="194" name="文本框 194"/>
                <wp:cNvGraphicFramePr/>
                <a:graphic xmlns:a="http://schemas.openxmlformats.org/drawingml/2006/main">
                  <a:graphicData uri="http://schemas.microsoft.com/office/word/2010/wordprocessingShape">
                    <wps:wsp>
                      <wps:cNvSpPr txBox="1"/>
                      <wps:spPr>
                        <a:xfrm rot="20220000">
                          <a:off x="5352415" y="4910455"/>
                          <a:ext cx="546100" cy="2482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E8B63D">
                            <w:pPr>
                              <w:rPr>
                                <w:rFonts w:hint="eastAsia" w:ascii="华文楷体" w:hAnsi="华文楷体" w:eastAsia="华文楷体" w:cs="华文楷体"/>
                                <w:b/>
                                <w:bCs/>
                                <w:color w:val="1331F5"/>
                                <w:sz w:val="18"/>
                                <w:szCs w:val="18"/>
                                <w:lang w:val="en-US"/>
                              </w:rPr>
                            </w:pPr>
                            <w:r>
                              <w:rPr>
                                <w:rFonts w:hint="eastAsia" w:ascii="华文楷体" w:hAnsi="华文楷体" w:eastAsia="华文楷体" w:cs="华文楷体"/>
                                <w:b/>
                                <w:bCs/>
                                <w:color w:val="1331F5"/>
                                <w:sz w:val="18"/>
                                <w:szCs w:val="18"/>
                                <w:lang w:val="en-US"/>
                              </w:rPr>
                              <w:t>DA004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6.25pt;margin-top:208.85pt;height:19.55pt;width:43pt;rotation:-1507328f;z-index:251748352;mso-width-relative:page;mso-height-relative:page;" filled="f" stroked="f" coordsize="21600,21600" o:gfxdata="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122b72QAAAAsBAAAP&#10;AAAAAAAAAAEAIAAAACIAAABkcnMvZG93bnJldi54bWxQSwECFAAUAAAACACHTuJA6RCam1ACAACE&#10;BAAADgAAAAAAAAABACAAAAAoAQAAZHJzL2Uyb0RvYy54bWxQSwUGAAAAAAYABgBZAQAA6gUAAAAA&#10;">
                <v:fill on="f" focussize="0,0"/>
                <v:stroke on="f" weight="0.5pt"/>
                <v:imagedata o:title=""/>
                <o:lock v:ext="edit" aspectratio="f"/>
                <v:textbox>
                  <w:txbxContent>
                    <w:p w14:paraId="08E8B63D">
                      <w:pPr>
                        <w:rPr>
                          <w:rFonts w:hint="eastAsia" w:ascii="华文楷体" w:hAnsi="华文楷体" w:eastAsia="华文楷体" w:cs="华文楷体"/>
                          <w:b/>
                          <w:bCs/>
                          <w:color w:val="1331F5"/>
                          <w:sz w:val="18"/>
                          <w:szCs w:val="18"/>
                          <w:lang w:val="en-US"/>
                        </w:rPr>
                      </w:pPr>
                      <w:r>
                        <w:rPr>
                          <w:rFonts w:hint="eastAsia" w:ascii="华文楷体" w:hAnsi="华文楷体" w:eastAsia="华文楷体" w:cs="华文楷体"/>
                          <w:b/>
                          <w:bCs/>
                          <w:color w:val="1331F5"/>
                          <w:sz w:val="18"/>
                          <w:szCs w:val="18"/>
                          <w:lang w:val="en-US"/>
                        </w:rPr>
                        <w:t>DA004</w:t>
                      </w:r>
                    </w:p>
                  </w:txbxContent>
                </v:textbox>
              </v:shape>
            </w:pict>
          </mc:Fallback>
        </mc:AlternateContent>
      </w:r>
      <w:r>
        <w:rPr>
          <w:sz w:val="21"/>
        </w:rPr>
        <mc:AlternateContent>
          <mc:Choice Requires="wps">
            <w:drawing>
              <wp:anchor distT="0" distB="0" distL="114300" distR="114300" simplePos="0" relativeHeight="251738112" behindDoc="0" locked="0" layoutInCell="1" allowOverlap="1">
                <wp:simplePos x="0" y="0"/>
                <wp:positionH relativeFrom="column">
                  <wp:posOffset>1968500</wp:posOffset>
                </wp:positionH>
                <wp:positionV relativeFrom="paragraph">
                  <wp:posOffset>2618740</wp:posOffset>
                </wp:positionV>
                <wp:extent cx="75565" cy="173355"/>
                <wp:effectExtent l="28575" t="0" r="48260" b="30480"/>
                <wp:wrapNone/>
                <wp:docPr id="184" name="上箭头 184"/>
                <wp:cNvGraphicFramePr/>
                <a:graphic xmlns:a="http://schemas.openxmlformats.org/drawingml/2006/main">
                  <a:graphicData uri="http://schemas.microsoft.com/office/word/2010/wordprocessingShape">
                    <wps:wsp>
                      <wps:cNvSpPr/>
                      <wps:spPr>
                        <a:xfrm rot="20040000">
                          <a:off x="0" y="0"/>
                          <a:ext cx="75565" cy="173355"/>
                        </a:xfrm>
                        <a:prstGeom prst="upArrow">
                          <a:avLst/>
                        </a:prstGeom>
                        <a:solidFill>
                          <a:srgbClr val="92D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8" type="#_x0000_t68" style="position:absolute;left:0pt;margin-left:155pt;margin-top:206.2pt;height:13.65pt;width:5.95pt;rotation:-1703936f;z-index:251738112;v-text-anchor:middle;mso-width-relative:page;mso-height-relative:page;" fillcolor="#92D050" filled="t" stroked="t" coordsize="21600,21600" o:gfxdata="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KIajuNgAAAALAQAADwAAAAAA&#10;AAABACAAAAAiAAAAZHJzL2Rvd25yZXYueG1sUEsBAhQAFAAAAAgAh07iQOvlra6FAgAACwUAAA4A&#10;AAAAAAAAAQAgAAAAJwEAAGRycy9lMm9Eb2MueG1sUEsFBgAAAAAGAAYAWQEAAB4GAAAAAA==&#10;" adj="4707,5400">
                <v:fill on="t" focussize="0,0"/>
                <v:stroke weight="1pt" color="#00B050 [2404]" miterlimit="8" joinstyle="miter"/>
                <v:imagedata o:title=""/>
                <o:lock v:ext="edit" aspectratio="f"/>
              </v:shape>
            </w:pict>
          </mc:Fallback>
        </mc:AlternateContent>
      </w:r>
      <w:r>
        <w:rPr>
          <w:sz w:val="21"/>
        </w:rPr>
        <mc:AlternateContent>
          <mc:Choice Requires="wps">
            <w:drawing>
              <wp:anchor distT="0" distB="0" distL="114300" distR="114300" simplePos="0" relativeHeight="251762688" behindDoc="0" locked="0" layoutInCell="1" allowOverlap="1">
                <wp:simplePos x="0" y="0"/>
                <wp:positionH relativeFrom="column">
                  <wp:posOffset>2004060</wp:posOffset>
                </wp:positionH>
                <wp:positionV relativeFrom="paragraph">
                  <wp:posOffset>2688590</wp:posOffset>
                </wp:positionV>
                <wp:extent cx="197485" cy="189865"/>
                <wp:effectExtent l="3175" t="3175" r="27940" b="10160"/>
                <wp:wrapNone/>
                <wp:docPr id="208" name="菱形 208"/>
                <wp:cNvGraphicFramePr/>
                <a:graphic xmlns:a="http://schemas.openxmlformats.org/drawingml/2006/main">
                  <a:graphicData uri="http://schemas.microsoft.com/office/word/2010/wordprocessingShape">
                    <wps:wsp>
                      <wps:cNvSpPr/>
                      <wps:spPr>
                        <a:xfrm rot="20460000">
                          <a:off x="2249805" y="4850130"/>
                          <a:ext cx="197485" cy="189865"/>
                        </a:xfrm>
                        <a:prstGeom prst="diamond">
                          <a:avLst/>
                        </a:prstGeom>
                        <a:solidFill>
                          <a:srgbClr val="92D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157.8pt;margin-top:211.7pt;height:14.95pt;width:15.55pt;rotation:-1245184f;z-index:251762688;v-text-anchor:middle;mso-width-relative:page;mso-height-relative:page;" fillcolor="#92D050" filled="t" stroked="t" coordsize="21600,21600" o:gfxdata="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CX/O7Y2gAAAAsB&#10;AAAPAAAAAAAAAAEAIAAAACIAAABkcnMvZG93bnJldi54bWxQSwECFAAUAAAACACHTuJAh3LJz4sC&#10;AAAVBQAADgAAAAAAAAABACAAAAApAQAAZHJzL2Uyb0RvYy54bWxQSwUGAAAAAAYABgBZAQAAJgYA&#10;AAAA&#10;">
                <v:fill on="t" focussize="0,0"/>
                <v:stroke weight="1pt" color="#00B050 [2404]" miterlimit="8" joinstyle="miter"/>
                <v:imagedata o:title=""/>
                <o:lock v:ext="edit" aspectratio="f"/>
              </v:shape>
            </w:pict>
          </mc:Fallback>
        </mc:AlternateContent>
      </w:r>
      <w:r>
        <w:rPr>
          <w:sz w:val="21"/>
        </w:rPr>
        <mc:AlternateContent>
          <mc:Choice Requires="wps">
            <w:drawing>
              <wp:anchor distT="0" distB="0" distL="114300" distR="114300" simplePos="0" relativeHeight="251761664" behindDoc="0" locked="0" layoutInCell="1" allowOverlap="1">
                <wp:simplePos x="0" y="0"/>
                <wp:positionH relativeFrom="column">
                  <wp:posOffset>3187065</wp:posOffset>
                </wp:positionH>
                <wp:positionV relativeFrom="paragraph">
                  <wp:posOffset>1911350</wp:posOffset>
                </wp:positionV>
                <wp:extent cx="586105" cy="257175"/>
                <wp:effectExtent l="0" t="0" r="0" b="0"/>
                <wp:wrapNone/>
                <wp:docPr id="207" name="文本框 207"/>
                <wp:cNvGraphicFramePr/>
                <a:graphic xmlns:a="http://schemas.openxmlformats.org/drawingml/2006/main">
                  <a:graphicData uri="http://schemas.microsoft.com/office/word/2010/wordprocessingShape">
                    <wps:wsp>
                      <wps:cNvSpPr txBox="1"/>
                      <wps:spPr>
                        <a:xfrm rot="20220000">
                          <a:off x="4573270" y="4939665"/>
                          <a:ext cx="586105" cy="2571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379DAA">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废料仓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0.95pt;margin-top:150.5pt;height:20.25pt;width:46.15pt;rotation:-1507328f;z-index:251761664;mso-width-relative:page;mso-height-relative:page;" filled="f" stroked="f" coordsize="21600,21600" o:gfxdata="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BAEblHZAAAACwEA&#10;AA8AAAAAAAAAAQAgAAAAIgAAAGRycy9kb3ducmV2LnhtbFBLAQIUABQAAAAIAIdO4kCXz6SoUgIA&#10;AIQEAAAOAAAAAAAAAAEAIAAAACgBAABkcnMvZTJvRG9jLnhtbFBLBQYAAAAABgAGAFkBAADsBQAA&#10;AAA=&#10;">
                <v:fill on="f" focussize="0,0"/>
                <v:stroke on="f" weight="0.5pt"/>
                <v:imagedata o:title=""/>
                <o:lock v:ext="edit" aspectratio="f"/>
                <v:textbox>
                  <w:txbxContent>
                    <w:p w14:paraId="01379DAA">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废料仓</w:t>
                      </w:r>
                    </w:p>
                  </w:txbxContent>
                </v:textbox>
              </v:shape>
            </w:pict>
          </mc:Fallback>
        </mc:AlternateContent>
      </w:r>
      <w:r>
        <w:rPr>
          <w:sz w:val="21"/>
        </w:rPr>
        <mc:AlternateContent>
          <mc:Choice Requires="wps">
            <w:drawing>
              <wp:anchor distT="0" distB="0" distL="114300" distR="114300" simplePos="0" relativeHeight="251760640" behindDoc="0" locked="0" layoutInCell="1" allowOverlap="1">
                <wp:simplePos x="0" y="0"/>
                <wp:positionH relativeFrom="column">
                  <wp:posOffset>3499485</wp:posOffset>
                </wp:positionH>
                <wp:positionV relativeFrom="paragraph">
                  <wp:posOffset>1934210</wp:posOffset>
                </wp:positionV>
                <wp:extent cx="137160" cy="133985"/>
                <wp:effectExtent l="21590" t="22225" r="44450" b="46990"/>
                <wp:wrapNone/>
                <wp:docPr id="206" name="圆角矩形 206"/>
                <wp:cNvGraphicFramePr/>
                <a:graphic xmlns:a="http://schemas.openxmlformats.org/drawingml/2006/main">
                  <a:graphicData uri="http://schemas.microsoft.com/office/word/2010/wordprocessingShape">
                    <wps:wsp>
                      <wps:cNvSpPr/>
                      <wps:spPr>
                        <a:xfrm rot="19980000">
                          <a:off x="0" y="0"/>
                          <a:ext cx="137160" cy="133985"/>
                        </a:xfrm>
                        <a:prstGeom prst="roundRect">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75.55pt;margin-top:152.3pt;height:10.55pt;width:10.8pt;rotation:-1769472f;z-index:251760640;v-text-anchor:middle;mso-width-relative:page;mso-height-relative:page;" filled="f" stroked="t" coordsize="21600,21600" arcsize="0.166666666666667" o:gfxdata="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AzKzns2QAAAAsBAAAPAAAAAAAAAAEAIAAAACIAAABkcnMvZG93bnJldi54bWxQSwECFAAUAAAA&#10;CACHTuJACOhe45gCAAAKBQAADgAAAAAAAAABACAAAAAoAQAAZHJzL2Uyb0RvYy54bWxQSwUGAAAA&#10;AAYABgBZAQAAMgYAAAAA&#10;">
                <v:fill on="f" focussize="0,0"/>
                <v:stroke weight="1pt" color="#2E75B6 [2404]" miterlimit="8" joinstyle="miter"/>
                <v:imagedata o:title=""/>
                <o:lock v:ext="edit" aspectratio="f"/>
              </v:roundrect>
            </w:pict>
          </mc:Fallback>
        </mc:AlternateContent>
      </w:r>
      <w:r>
        <w:rPr>
          <w:sz w:val="21"/>
        </w:rPr>
        <mc:AlternateContent>
          <mc:Choice Requires="wps">
            <w:drawing>
              <wp:anchor distT="0" distB="0" distL="114300" distR="114300" simplePos="0" relativeHeight="251759616" behindDoc="0" locked="0" layoutInCell="1" allowOverlap="1">
                <wp:simplePos x="0" y="0"/>
                <wp:positionH relativeFrom="column">
                  <wp:posOffset>3289300</wp:posOffset>
                </wp:positionH>
                <wp:positionV relativeFrom="paragraph">
                  <wp:posOffset>2056130</wp:posOffset>
                </wp:positionV>
                <wp:extent cx="137160" cy="133985"/>
                <wp:effectExtent l="21590" t="22225" r="44450" b="46990"/>
                <wp:wrapNone/>
                <wp:docPr id="205" name="圆角矩形 205"/>
                <wp:cNvGraphicFramePr/>
                <a:graphic xmlns:a="http://schemas.openxmlformats.org/drawingml/2006/main">
                  <a:graphicData uri="http://schemas.microsoft.com/office/word/2010/wordprocessingShape">
                    <wps:wsp>
                      <wps:cNvSpPr/>
                      <wps:spPr>
                        <a:xfrm rot="19980000">
                          <a:off x="4415155" y="3493770"/>
                          <a:ext cx="137160" cy="133985"/>
                        </a:xfrm>
                        <a:prstGeom prst="roundRect">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59pt;margin-top:161.9pt;height:10.55pt;width:10.8pt;rotation:-1769472f;z-index:251759616;v-text-anchor:middle;mso-width-relative:page;mso-height-relative:page;" filled="f" stroked="t" coordsize="21600,21600" arcsize="0.166666666666667" o:gfxdata="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DqRj+7ZAAAACwEAAA8AAAAAAAAAAQAgAAAAIgAAAGRycy9kb3ducmV2Lnht&#10;bFBLAQIUABQAAAAIAIdO4kCst5i3owIAABYFAAAOAAAAAAAAAAEAIAAAACgBAABkcnMvZTJvRG9j&#10;LnhtbFBLBQYAAAAABgAGAFkBAAA9BgAAAAA=&#10;">
                <v:fill on="f" focussize="0,0"/>
                <v:stroke weight="1pt" color="#2E75B6 [2404]" miterlimit="8" joinstyle="miter"/>
                <v:imagedata o:title=""/>
                <o:lock v:ext="edit" aspectratio="f"/>
              </v:roundrect>
            </w:pict>
          </mc:Fallback>
        </mc:AlternateContent>
      </w:r>
      <w:r>
        <w:rPr>
          <w:sz w:val="21"/>
        </w:rPr>
        <mc:AlternateContent>
          <mc:Choice Requires="wps">
            <w:drawing>
              <wp:anchor distT="0" distB="0" distL="114300" distR="114300" simplePos="0" relativeHeight="251758592" behindDoc="0" locked="0" layoutInCell="1" allowOverlap="1">
                <wp:simplePos x="0" y="0"/>
                <wp:positionH relativeFrom="column">
                  <wp:posOffset>5310505</wp:posOffset>
                </wp:positionH>
                <wp:positionV relativeFrom="paragraph">
                  <wp:posOffset>4681220</wp:posOffset>
                </wp:positionV>
                <wp:extent cx="151765" cy="148590"/>
                <wp:effectExtent l="6350" t="6350" r="19685" b="22860"/>
                <wp:wrapNone/>
                <wp:docPr id="204" name="流程图: 或者 204"/>
                <wp:cNvGraphicFramePr/>
                <a:graphic xmlns:a="http://schemas.openxmlformats.org/drawingml/2006/main">
                  <a:graphicData uri="http://schemas.microsoft.com/office/word/2010/wordprocessingShape">
                    <wps:wsp>
                      <wps:cNvSpPr/>
                      <wps:spPr>
                        <a:xfrm>
                          <a:off x="6464935" y="6076315"/>
                          <a:ext cx="151765" cy="148590"/>
                        </a:xfrm>
                        <a:prstGeom prst="flowChartOr">
                          <a:avLst/>
                        </a:prstGeom>
                        <a:solidFill>
                          <a:srgbClr val="92D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4" type="#_x0000_t124" style="position:absolute;left:0pt;margin-left:418.15pt;margin-top:368.6pt;height:11.7pt;width:11.95pt;z-index:251758592;v-text-anchor:middle;mso-width-relative:page;mso-height-relative:page;" fillcolor="#92D050" filled="t" stroked="t" coordsize="21600,21600" o:gfxdata="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J4g0ALYAAAACwEAAA8AAAAAAAAAAQAgAAAAIgAAAGRycy9kb3ducmV2LnhtbFBLAQIUABQA&#10;AAAIAIdO4kAuoECqmwIAABUFAAAOAAAAAAAAAAEAIAAAACcBAABkcnMvZTJvRG9jLnhtbFBLBQYA&#10;AAAABgAGAFkBAAA0BgAAAAA=&#10;">
                <v:fill on="t" focussize="0,0"/>
                <v:stroke weight="1pt" color="#00B050 [2404]" miterlimit="8" joinstyle="miter"/>
                <v:imagedata o:title=""/>
                <o:lock v:ext="edit" aspectratio="f"/>
              </v:shape>
            </w:pict>
          </mc:Fallback>
        </mc:AlternateContent>
      </w:r>
      <w:r>
        <w:rPr>
          <w:sz w:val="21"/>
        </w:rPr>
        <mc:AlternateContent>
          <mc:Choice Requires="wps">
            <w:drawing>
              <wp:anchor distT="0" distB="0" distL="114300" distR="114300" simplePos="0" relativeHeight="251757568" behindDoc="0" locked="0" layoutInCell="1" allowOverlap="1">
                <wp:simplePos x="0" y="0"/>
                <wp:positionH relativeFrom="column">
                  <wp:posOffset>2991485</wp:posOffset>
                </wp:positionH>
                <wp:positionV relativeFrom="paragraph">
                  <wp:posOffset>2103120</wp:posOffset>
                </wp:positionV>
                <wp:extent cx="132080" cy="121285"/>
                <wp:effectExtent l="6350" t="6350" r="13970" b="24765"/>
                <wp:wrapNone/>
                <wp:docPr id="203" name="流程图: 或者 203"/>
                <wp:cNvGraphicFramePr/>
                <a:graphic xmlns:a="http://schemas.openxmlformats.org/drawingml/2006/main">
                  <a:graphicData uri="http://schemas.microsoft.com/office/word/2010/wordprocessingShape">
                    <wps:wsp>
                      <wps:cNvSpPr/>
                      <wps:spPr>
                        <a:xfrm>
                          <a:off x="4230370" y="3566160"/>
                          <a:ext cx="132080" cy="121285"/>
                        </a:xfrm>
                        <a:prstGeom prst="flowChartOr">
                          <a:avLst/>
                        </a:prstGeom>
                        <a:solidFill>
                          <a:srgbClr val="92D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4" type="#_x0000_t124" style="position:absolute;left:0pt;margin-left:235.55pt;margin-top:165.6pt;height:9.55pt;width:10.4pt;z-index:251757568;v-text-anchor:middle;mso-width-relative:page;mso-height-relative:page;" fillcolor="#92D050" filled="t" stroked="t" coordsize="21600,21600" o:gfxdata="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B18mjA2QAAAAsBAAAPAAAAAAAAAAEAIAAAACIAAABkcnMvZG93bnJldi54bWxQSwECFAAUAAAA&#10;CACHTuJA7f8RiZgCAAAVBQAADgAAAAAAAAABACAAAAAoAQAAZHJzL2Uyb0RvYy54bWxQSwUGAAAA&#10;AAYABgBZAQAAMgYAAAAA&#10;">
                <v:fill on="t" focussize="0,0"/>
                <v:stroke weight="1pt" color="#00B050 [2404]" miterlimit="8" joinstyle="miter"/>
                <v:imagedata o:title=""/>
                <o:lock v:ext="edit" aspectratio="f"/>
              </v:shape>
            </w:pict>
          </mc:Fallback>
        </mc:AlternateContent>
      </w:r>
      <w:r>
        <w:rPr>
          <w:sz w:val="21"/>
        </w:rPr>
        <mc:AlternateContent>
          <mc:Choice Requires="wps">
            <w:drawing>
              <wp:anchor distT="0" distB="0" distL="114300" distR="114300" simplePos="0" relativeHeight="251756544" behindDoc="0" locked="0" layoutInCell="1" allowOverlap="1">
                <wp:simplePos x="0" y="0"/>
                <wp:positionH relativeFrom="column">
                  <wp:posOffset>2699385</wp:posOffset>
                </wp:positionH>
                <wp:positionV relativeFrom="paragraph">
                  <wp:posOffset>2099310</wp:posOffset>
                </wp:positionV>
                <wp:extent cx="617855" cy="243840"/>
                <wp:effectExtent l="187325" t="0" r="0" b="0"/>
                <wp:wrapNone/>
                <wp:docPr id="202" name="文本框 202"/>
                <wp:cNvGraphicFramePr/>
                <a:graphic xmlns:a="http://schemas.openxmlformats.org/drawingml/2006/main">
                  <a:graphicData uri="http://schemas.microsoft.com/office/word/2010/wordprocessingShape">
                    <wps:wsp>
                      <wps:cNvSpPr txBox="1"/>
                      <wps:spPr>
                        <a:xfrm rot="3720000">
                          <a:off x="4999355" y="4827905"/>
                          <a:ext cx="617855" cy="2438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888155">
                            <w:pPr>
                              <w:rPr>
                                <w:rFonts w:hint="default" w:ascii="华文楷体" w:hAnsi="华文楷体" w:eastAsia="华文楷体" w:cs="华文楷体"/>
                                <w:b/>
                                <w:bCs/>
                                <w:color w:val="FFFF00"/>
                                <w:sz w:val="15"/>
                                <w:szCs w:val="15"/>
                                <w:lang w:val="en-US" w:eastAsia="zh-CN"/>
                              </w:rPr>
                            </w:pPr>
                            <w:r>
                              <w:rPr>
                                <w:rFonts w:hint="eastAsia" w:ascii="华文楷体" w:hAnsi="华文楷体" w:eastAsia="华文楷体" w:cs="华文楷体"/>
                                <w:b/>
                                <w:bCs/>
                                <w:color w:val="FFFF00"/>
                                <w:sz w:val="15"/>
                                <w:szCs w:val="15"/>
                                <w:lang w:val="en-US" w:eastAsia="zh-CN"/>
                              </w:rPr>
                              <w:t>矿粉罐2#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2.55pt;margin-top:165.3pt;height:19.2pt;width:48.65pt;rotation:4063232f;z-index:251756544;mso-width-relative:page;mso-height-relative:page;" filled="f" stroked="f" coordsize="21600,21600" o:gfxdata="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JWo8eNwAAAAL&#10;AQAADwAAAAAAAAABACAAAAAiAAAAZHJzL2Rvd25yZXYueG1sUEsBAhQAFAAAAAgAh07iQBpSHK1R&#10;AgAAgwQAAA4AAAAAAAAAAQAgAAAAKwEAAGRycy9lMm9Eb2MueG1sUEsFBgAAAAAGAAYAWQEAAO4F&#10;AAAAAA==&#10;">
                <v:fill on="f" focussize="0,0"/>
                <v:stroke on="f" weight="0.5pt"/>
                <v:imagedata o:title=""/>
                <o:lock v:ext="edit" aspectratio="f"/>
                <v:textbox>
                  <w:txbxContent>
                    <w:p w14:paraId="65888155">
                      <w:pPr>
                        <w:rPr>
                          <w:rFonts w:hint="default" w:ascii="华文楷体" w:hAnsi="华文楷体" w:eastAsia="华文楷体" w:cs="华文楷体"/>
                          <w:b/>
                          <w:bCs/>
                          <w:color w:val="FFFF00"/>
                          <w:sz w:val="15"/>
                          <w:szCs w:val="15"/>
                          <w:lang w:val="en-US" w:eastAsia="zh-CN"/>
                        </w:rPr>
                      </w:pPr>
                      <w:r>
                        <w:rPr>
                          <w:rFonts w:hint="eastAsia" w:ascii="华文楷体" w:hAnsi="华文楷体" w:eastAsia="华文楷体" w:cs="华文楷体"/>
                          <w:b/>
                          <w:bCs/>
                          <w:color w:val="FFFF00"/>
                          <w:sz w:val="15"/>
                          <w:szCs w:val="15"/>
                          <w:lang w:val="en-US" w:eastAsia="zh-CN"/>
                        </w:rPr>
                        <w:t>矿粉罐2#</w:t>
                      </w:r>
                    </w:p>
                  </w:txbxContent>
                </v:textbox>
              </v:shape>
            </w:pict>
          </mc:Fallback>
        </mc:AlternateContent>
      </w:r>
      <w:r>
        <w:rPr>
          <w:sz w:val="21"/>
        </w:rPr>
        <mc:AlternateContent>
          <mc:Choice Requires="wps">
            <w:drawing>
              <wp:anchor distT="0" distB="0" distL="114300" distR="114300" simplePos="0" relativeHeight="251746304" behindDoc="0" locked="0" layoutInCell="1" allowOverlap="1">
                <wp:simplePos x="0" y="0"/>
                <wp:positionH relativeFrom="column">
                  <wp:posOffset>2563495</wp:posOffset>
                </wp:positionH>
                <wp:positionV relativeFrom="paragraph">
                  <wp:posOffset>1762760</wp:posOffset>
                </wp:positionV>
                <wp:extent cx="532130" cy="248920"/>
                <wp:effectExtent l="141605" t="0" r="0" b="0"/>
                <wp:wrapNone/>
                <wp:docPr id="192" name="文本框 192"/>
                <wp:cNvGraphicFramePr/>
                <a:graphic xmlns:a="http://schemas.openxmlformats.org/drawingml/2006/main">
                  <a:graphicData uri="http://schemas.microsoft.com/office/word/2010/wordprocessingShape">
                    <wps:wsp>
                      <wps:cNvSpPr txBox="1"/>
                      <wps:spPr>
                        <a:xfrm rot="3600000">
                          <a:off x="5824220" y="5488305"/>
                          <a:ext cx="532130" cy="2489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BE535B">
                            <w:pPr>
                              <w:rPr>
                                <w:rFonts w:hint="eastAsia" w:ascii="华文楷体" w:hAnsi="华文楷体" w:eastAsia="华文楷体" w:cs="华文楷体"/>
                                <w:b/>
                                <w:bCs/>
                                <w:color w:val="1331F5"/>
                                <w:sz w:val="18"/>
                                <w:szCs w:val="18"/>
                                <w:lang w:val="en-US"/>
                              </w:rPr>
                            </w:pPr>
                            <w:r>
                              <w:rPr>
                                <w:rFonts w:hint="eastAsia" w:ascii="华文楷体" w:hAnsi="华文楷体" w:eastAsia="华文楷体" w:cs="华文楷体"/>
                                <w:b/>
                                <w:bCs/>
                                <w:color w:val="1331F5"/>
                                <w:sz w:val="18"/>
                                <w:szCs w:val="18"/>
                                <w:lang w:val="en-US"/>
                              </w:rPr>
                              <w:t>DA002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1.85pt;margin-top:138.8pt;height:19.6pt;width:41.9pt;rotation:3932160f;z-index:251746304;mso-width-relative:page;mso-height-relative:page;" filled="f" stroked="f" coordsize="21600,21600" o:gfxdata="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JpjbA3AAAAAsBAAAP&#10;AAAAAAAAAAEAIAAAACIAAABkcnMvZG93bnJldi54bWxQSwECFAAUAAAACACHTuJAQdFXWU0CAACD&#10;BAAADgAAAAAAAAABACAAAAArAQAAZHJzL2Uyb0RvYy54bWxQSwUGAAAAAAYABgBZAQAA6gUAAAAA&#10;">
                <v:fill on="f" focussize="0,0"/>
                <v:stroke on="f" weight="0.5pt"/>
                <v:imagedata o:title=""/>
                <o:lock v:ext="edit" aspectratio="f"/>
                <v:textbox>
                  <w:txbxContent>
                    <w:p w14:paraId="05BE535B">
                      <w:pPr>
                        <w:rPr>
                          <w:rFonts w:hint="eastAsia" w:ascii="华文楷体" w:hAnsi="华文楷体" w:eastAsia="华文楷体" w:cs="华文楷体"/>
                          <w:b/>
                          <w:bCs/>
                          <w:color w:val="1331F5"/>
                          <w:sz w:val="18"/>
                          <w:szCs w:val="18"/>
                          <w:lang w:val="en-US"/>
                        </w:rPr>
                      </w:pPr>
                      <w:r>
                        <w:rPr>
                          <w:rFonts w:hint="eastAsia" w:ascii="华文楷体" w:hAnsi="华文楷体" w:eastAsia="华文楷体" w:cs="华文楷体"/>
                          <w:b/>
                          <w:bCs/>
                          <w:color w:val="1331F5"/>
                          <w:sz w:val="18"/>
                          <w:szCs w:val="18"/>
                          <w:lang w:val="en-US"/>
                        </w:rPr>
                        <w:t>DA002</w:t>
                      </w:r>
                    </w:p>
                  </w:txbxContent>
                </v:textbox>
              </v:shape>
            </w:pict>
          </mc:Fallback>
        </mc:AlternateContent>
      </w:r>
      <w:r>
        <w:rPr>
          <w:sz w:val="21"/>
        </w:rPr>
        <mc:AlternateContent>
          <mc:Choice Requires="wps">
            <w:drawing>
              <wp:anchor distT="0" distB="0" distL="114300" distR="114300" simplePos="0" relativeHeight="251755520" behindDoc="0" locked="0" layoutInCell="1" allowOverlap="1">
                <wp:simplePos x="0" y="0"/>
                <wp:positionH relativeFrom="column">
                  <wp:posOffset>2937510</wp:posOffset>
                </wp:positionH>
                <wp:positionV relativeFrom="paragraph">
                  <wp:posOffset>2044700</wp:posOffset>
                </wp:positionV>
                <wp:extent cx="76200" cy="222885"/>
                <wp:effectExtent l="4445" t="51435" r="26670" b="75565"/>
                <wp:wrapNone/>
                <wp:docPr id="201" name="圆柱形 201"/>
                <wp:cNvGraphicFramePr/>
                <a:graphic xmlns:a="http://schemas.openxmlformats.org/drawingml/2006/main">
                  <a:graphicData uri="http://schemas.microsoft.com/office/word/2010/wordprocessingShape">
                    <wps:wsp>
                      <wps:cNvSpPr/>
                      <wps:spPr>
                        <a:xfrm rot="3660000">
                          <a:off x="4008120" y="3392170"/>
                          <a:ext cx="76200" cy="222885"/>
                        </a:xfrm>
                        <a:prstGeom prst="can">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2" type="#_x0000_t22" style="position:absolute;left:0pt;margin-left:231.3pt;margin-top:161pt;height:17.55pt;width:6pt;rotation:3997696f;z-index:251755520;v-text-anchor:middle;mso-width-relative:page;mso-height-relative:page;" filled="f" stroked="t" coordsize="21600,21600" o:gfxdata="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HmL&#10;wyHXAAAACwEAAA8AAAAAAAAAAQAgAAAAIgAAAGRycy9kb3ducmV2LnhtbFBLAQIUABQAAAAIAIdO&#10;4kCiK9A2lgIAAAsFAAAOAAAAAAAAAAEAIAAAACYBAABkcnMvZTJvRG9jLnhtbFBLBQYAAAAABgAG&#10;AFkBAAAuBgAAAAA=&#10;" adj="1846">
                <v:fill on="f" focussize="0,0"/>
                <v:stroke weight="1pt" color="#2E75B6 [2404]" miterlimit="8" joinstyle="miter"/>
                <v:imagedata o:title=""/>
                <o:lock v:ext="edit" aspectratio="f"/>
              </v:shape>
            </w:pict>
          </mc:Fallback>
        </mc:AlternateContent>
      </w:r>
      <w:r>
        <w:rPr>
          <w:sz w:val="21"/>
        </w:rPr>
        <mc:AlternateContent>
          <mc:Choice Requires="wps">
            <w:drawing>
              <wp:anchor distT="0" distB="0" distL="114300" distR="114300" simplePos="0" relativeHeight="251754496" behindDoc="0" locked="0" layoutInCell="1" allowOverlap="1">
                <wp:simplePos x="0" y="0"/>
                <wp:positionH relativeFrom="column">
                  <wp:posOffset>2891790</wp:posOffset>
                </wp:positionH>
                <wp:positionV relativeFrom="paragraph">
                  <wp:posOffset>1640840</wp:posOffset>
                </wp:positionV>
                <wp:extent cx="75565" cy="224155"/>
                <wp:effectExtent l="2540" t="42545" r="1905" b="59690"/>
                <wp:wrapNone/>
                <wp:docPr id="200" name="上箭头 200"/>
                <wp:cNvGraphicFramePr/>
                <a:graphic xmlns:a="http://schemas.openxmlformats.org/drawingml/2006/main">
                  <a:graphicData uri="http://schemas.microsoft.com/office/word/2010/wordprocessingShape">
                    <wps:wsp>
                      <wps:cNvSpPr/>
                      <wps:spPr>
                        <a:xfrm rot="3540000">
                          <a:off x="3888105" y="3150870"/>
                          <a:ext cx="75565" cy="224155"/>
                        </a:xfrm>
                        <a:prstGeom prst="upArrow">
                          <a:avLst/>
                        </a:prstGeom>
                        <a:solidFill>
                          <a:srgbClr val="92D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8" type="#_x0000_t68" style="position:absolute;left:0pt;margin-left:227.7pt;margin-top:129.2pt;height:17.65pt;width:5.95pt;rotation:3866624f;z-index:251754496;v-text-anchor:middle;mso-width-relative:page;mso-height-relative:page;" fillcolor="#92D050" filled="t" stroked="t" coordsize="21600,21600" o:gfxdata="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suLJI2wAA&#10;AAsBAAAPAAAAAAAAAAEAIAAAACIAAABkcnMvZG93bnJldi54bWxQSwECFAAUAAAACACHTuJAhcFJ&#10;+40CAAAWBQAADgAAAAAAAAABACAAAAAqAQAAZHJzL2Uyb0RvYy54bWxQSwUGAAAAAAYABgBZAQAA&#10;KQYAAAAA&#10;" adj="3640,5400">
                <v:fill on="t" focussize="0,0"/>
                <v:stroke weight="1pt" color="#00B050 [2404]" miterlimit="8" joinstyle="miter"/>
                <v:imagedata o:title=""/>
                <o:lock v:ext="edit" aspectratio="f"/>
              </v:shape>
            </w:pict>
          </mc:Fallback>
        </mc:AlternateContent>
      </w:r>
      <w:r>
        <w:rPr>
          <w:sz w:val="21"/>
        </w:rPr>
        <mc:AlternateContent>
          <mc:Choice Requires="wps">
            <w:drawing>
              <wp:anchor distT="0" distB="0" distL="114300" distR="114300" simplePos="0" relativeHeight="251744256" behindDoc="0" locked="0" layoutInCell="1" allowOverlap="1">
                <wp:simplePos x="0" y="0"/>
                <wp:positionH relativeFrom="column">
                  <wp:posOffset>2709545</wp:posOffset>
                </wp:positionH>
                <wp:positionV relativeFrom="paragraph">
                  <wp:posOffset>1771015</wp:posOffset>
                </wp:positionV>
                <wp:extent cx="239395" cy="240030"/>
                <wp:effectExtent l="8890" t="8890" r="31115" b="30480"/>
                <wp:wrapNone/>
                <wp:docPr id="190" name="菱形 190"/>
                <wp:cNvGraphicFramePr/>
                <a:graphic xmlns:a="http://schemas.openxmlformats.org/drawingml/2006/main">
                  <a:graphicData uri="http://schemas.microsoft.com/office/word/2010/wordprocessingShape">
                    <wps:wsp>
                      <wps:cNvSpPr/>
                      <wps:spPr>
                        <a:xfrm>
                          <a:off x="5657850" y="5242560"/>
                          <a:ext cx="239395" cy="240030"/>
                        </a:xfrm>
                        <a:prstGeom prst="diamond">
                          <a:avLst/>
                        </a:prstGeom>
                        <a:solidFill>
                          <a:srgbClr val="92D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213.35pt;margin-top:139.45pt;height:18.9pt;width:18.85pt;z-index:251744256;v-text-anchor:middle;mso-width-relative:page;mso-height-relative:page;" fillcolor="#92D050" filled="t" stroked="t" coordsize="21600,21600" o:gfxdata="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BPBM5N2AAAAAsBAAAPAAAAAAAA&#10;AAEAIAAAACIAAABkcnMvZG93bnJldi54bWxQSwECFAAUAAAACACHTuJAS3QypYQCAAAGBQAADgAA&#10;AAAAAAABACAAAAAnAQAAZHJzL2Uyb0RvYy54bWxQSwUGAAAAAAYABgBZAQAAHQYAAAAA&#10;">
                <v:fill on="t" focussize="0,0"/>
                <v:stroke weight="1pt" color="#00B050 [2404]" miterlimit="8" joinstyle="miter"/>
                <v:imagedata o:title=""/>
                <o:lock v:ext="edit" aspectratio="f"/>
              </v:shape>
            </w:pict>
          </mc:Fallback>
        </mc:AlternateContent>
      </w:r>
      <w:r>
        <w:rPr>
          <w:sz w:val="21"/>
        </w:rPr>
        <mc:AlternateContent>
          <mc:Choice Requires="wps">
            <w:drawing>
              <wp:anchor distT="0" distB="0" distL="114300" distR="114300" simplePos="0" relativeHeight="251753472" behindDoc="0" locked="0" layoutInCell="1" allowOverlap="1">
                <wp:simplePos x="0" y="0"/>
                <wp:positionH relativeFrom="column">
                  <wp:posOffset>5263515</wp:posOffset>
                </wp:positionH>
                <wp:positionV relativeFrom="paragraph">
                  <wp:posOffset>4112260</wp:posOffset>
                </wp:positionV>
                <wp:extent cx="225425" cy="210185"/>
                <wp:effectExtent l="9525" t="8890" r="19050" b="9525"/>
                <wp:wrapNone/>
                <wp:docPr id="199" name="菱形 199"/>
                <wp:cNvGraphicFramePr/>
                <a:graphic xmlns:a="http://schemas.openxmlformats.org/drawingml/2006/main">
                  <a:graphicData uri="http://schemas.microsoft.com/office/word/2010/wordprocessingShape">
                    <wps:wsp>
                      <wps:cNvSpPr/>
                      <wps:spPr>
                        <a:xfrm>
                          <a:off x="6414135" y="6048375"/>
                          <a:ext cx="225425" cy="210185"/>
                        </a:xfrm>
                        <a:prstGeom prst="diamond">
                          <a:avLst/>
                        </a:prstGeom>
                        <a:solidFill>
                          <a:srgbClr val="92D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414.45pt;margin-top:323.8pt;height:16.55pt;width:17.75pt;z-index:251753472;v-text-anchor:middle;mso-width-relative:page;mso-height-relative:page;" fillcolor="#92D050" filled="t" stroked="t" coordsize="21600,21600" o:gfxdata="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FSjaA3YAAAACwEAAA8AAAAA&#10;AAAAAQAgAAAAIgAAAGRycy9kb3ducmV2LnhtbFBLAQIUABQAAAAIAIdO4kA9Hi6/hgIAAAYFAAAO&#10;AAAAAAAAAAEAIAAAACcBAABkcnMvZTJvRG9jLnhtbFBLBQYAAAAABgAGAFkBAAAfBgAAAAA=&#10;">
                <v:fill on="t" focussize="0,0"/>
                <v:stroke weight="1pt" color="#00B050 [2404]" miterlimit="8" joinstyle="miter"/>
                <v:imagedata o:title=""/>
                <o:lock v:ext="edit" aspectratio="f"/>
              </v:shape>
            </w:pict>
          </mc:Fallback>
        </mc:AlternateContent>
      </w:r>
      <w:r>
        <w:rPr>
          <w:sz w:val="21"/>
        </w:rPr>
        <mc:AlternateContent>
          <mc:Choice Requires="wps">
            <w:drawing>
              <wp:anchor distT="0" distB="0" distL="114300" distR="114300" simplePos="0" relativeHeight="251751424" behindDoc="0" locked="0" layoutInCell="1" allowOverlap="1">
                <wp:simplePos x="0" y="0"/>
                <wp:positionH relativeFrom="column">
                  <wp:posOffset>5311140</wp:posOffset>
                </wp:positionH>
                <wp:positionV relativeFrom="paragraph">
                  <wp:posOffset>3517265</wp:posOffset>
                </wp:positionV>
                <wp:extent cx="97155" cy="200660"/>
                <wp:effectExtent l="15240" t="8890" r="40005" b="19050"/>
                <wp:wrapNone/>
                <wp:docPr id="197" name="上箭头 197"/>
                <wp:cNvGraphicFramePr/>
                <a:graphic xmlns:a="http://schemas.openxmlformats.org/drawingml/2006/main">
                  <a:graphicData uri="http://schemas.microsoft.com/office/word/2010/wordprocessingShape">
                    <wps:wsp>
                      <wps:cNvSpPr/>
                      <wps:spPr>
                        <a:xfrm>
                          <a:off x="6435725" y="5164455"/>
                          <a:ext cx="97155" cy="200660"/>
                        </a:xfrm>
                        <a:prstGeom prst="upArrow">
                          <a:avLst/>
                        </a:prstGeom>
                        <a:solidFill>
                          <a:srgbClr val="92D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8" type="#_x0000_t68" style="position:absolute;left:0pt;margin-left:418.2pt;margin-top:276.95pt;height:15.8pt;width:7.65pt;z-index:251751424;v-text-anchor:middle;mso-width-relative:page;mso-height-relative:page;" fillcolor="#92D050" filled="t" stroked="t" coordsize="21600,21600" o:gfxdata="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PNlOFfZAAAACwEAAA8A&#10;AAAAAAAAAQAgAAAAIgAAAGRycy9kb3ducmV2LnhtbFBLAQIUABQAAAAIAIdO4kAH2RzkiAIAAAgF&#10;AAAOAAAAAAAAAAEAIAAAACgBAABkcnMvZTJvRG9jLnhtbFBLBQYAAAAABgAGAFkBAAAiBgAAAAA=&#10;" adj="5229,5400">
                <v:fill on="t" focussize="0,0"/>
                <v:stroke weight="1pt" color="#00B050 [2404]" miterlimit="8" joinstyle="miter"/>
                <v:imagedata o:title=""/>
                <o:lock v:ext="edit" aspectratio="f"/>
              </v:shape>
            </w:pict>
          </mc:Fallback>
        </mc:AlternateContent>
      </w:r>
      <w:r>
        <w:rPr>
          <w:sz w:val="21"/>
        </w:rPr>
        <mc:AlternateContent>
          <mc:Choice Requires="wps">
            <w:drawing>
              <wp:anchor distT="0" distB="0" distL="114300" distR="114300" simplePos="0" relativeHeight="251752448" behindDoc="0" locked="0" layoutInCell="1" allowOverlap="1">
                <wp:simplePos x="0" y="0"/>
                <wp:positionH relativeFrom="column">
                  <wp:posOffset>5242560</wp:posOffset>
                </wp:positionH>
                <wp:positionV relativeFrom="paragraph">
                  <wp:posOffset>3845560</wp:posOffset>
                </wp:positionV>
                <wp:extent cx="252730" cy="126365"/>
                <wp:effectExtent l="6350" t="6350" r="20320" b="19685"/>
                <wp:wrapNone/>
                <wp:docPr id="198" name="缺角矩形 198"/>
                <wp:cNvGraphicFramePr/>
                <a:graphic xmlns:a="http://schemas.openxmlformats.org/drawingml/2006/main">
                  <a:graphicData uri="http://schemas.microsoft.com/office/word/2010/wordprocessingShape">
                    <wps:wsp>
                      <wps:cNvSpPr/>
                      <wps:spPr>
                        <a:xfrm>
                          <a:off x="6365240" y="5732780"/>
                          <a:ext cx="252730" cy="126365"/>
                        </a:xfrm>
                        <a:prstGeom prst="plaque">
                          <a:avLst/>
                        </a:prstGeom>
                        <a:solidFill>
                          <a:srgbClr val="92D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1" type="#_x0000_t21" style="position:absolute;left:0pt;margin-left:412.8pt;margin-top:302.8pt;height:9.95pt;width:19.9pt;z-index:251752448;v-text-anchor:middle;mso-width-relative:page;mso-height-relative:page;" fillcolor="#92D050" filled="t" stroked="t" coordsize="21600,21600" o:gfxdata="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I0/bjvYAAAACwEA&#10;AA8AAAAAAAAAAQAgAAAAIgAAAGRycy9kb3ducmV2LnhtbFBLAQIUABQAAAAIAIdO4kDuxHPEjAIA&#10;AAsFAAAOAAAAAAAAAAEAIAAAACcBAABkcnMvZTJvRG9jLnhtbFBLBQYAAAAABgAGAFkBAAAlBgAA&#10;AAA=&#10;" adj="3600">
                <v:fill on="t" focussize="0,0"/>
                <v:stroke weight="1pt" color="#00B050 [2404]" miterlimit="8" joinstyle="miter"/>
                <v:imagedata o:title=""/>
                <o:lock v:ext="edit" aspectratio="f"/>
              </v:shape>
            </w:pict>
          </mc:Fallback>
        </mc:AlternateContent>
      </w:r>
      <w:r>
        <w:rPr>
          <w:sz w:val="21"/>
        </w:rPr>
        <mc:AlternateContent>
          <mc:Choice Requires="wps">
            <w:drawing>
              <wp:anchor distT="0" distB="0" distL="114300" distR="114300" simplePos="0" relativeHeight="251750400" behindDoc="0" locked="0" layoutInCell="1" allowOverlap="1">
                <wp:simplePos x="0" y="0"/>
                <wp:positionH relativeFrom="column">
                  <wp:posOffset>5271135</wp:posOffset>
                </wp:positionH>
                <wp:positionV relativeFrom="paragraph">
                  <wp:posOffset>3227705</wp:posOffset>
                </wp:positionV>
                <wp:extent cx="175260" cy="175260"/>
                <wp:effectExtent l="6350" t="6350" r="21590" b="21590"/>
                <wp:wrapNone/>
                <wp:docPr id="196" name="同心圆 196"/>
                <wp:cNvGraphicFramePr/>
                <a:graphic xmlns:a="http://schemas.openxmlformats.org/drawingml/2006/main">
                  <a:graphicData uri="http://schemas.microsoft.com/office/word/2010/wordprocessingShape">
                    <wps:wsp>
                      <wps:cNvSpPr/>
                      <wps:spPr>
                        <a:xfrm>
                          <a:off x="6365240" y="4960620"/>
                          <a:ext cx="175260" cy="175260"/>
                        </a:xfrm>
                        <a:prstGeom prst="donut">
                          <a:avLst/>
                        </a:prstGeom>
                        <a:solidFill>
                          <a:srgbClr val="92D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margin-left:415.05pt;margin-top:254.15pt;height:13.8pt;width:13.8pt;z-index:251750400;v-text-anchor:middle;mso-width-relative:page;mso-height-relative:page;" fillcolor="#92D050" filled="t" stroked="t" coordsize="21600,21600" o:gfxdata="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Juvr1zYAAAACwEAAA8AAAAAAAAA&#10;AQAgAAAAIgAAAGRycy9kb3ducmV2LnhtbFBLAQIUABQAAAAIAIdO4kAo56YZgwIAAAcFAAAOAAAA&#10;AAAAAAEAIAAAACcBAABkcnMvZTJvRG9jLnhtbFBLBQYAAAAABgAGAFkBAAAcBgAAAAA=&#10;" adj="5400">
                <v:fill on="t" focussize="0,0"/>
                <v:stroke weight="1pt" color="#00B050 [2404]" miterlimit="8" joinstyle="miter"/>
                <v:imagedata o:title=""/>
                <o:lock v:ext="edit" aspectratio="f"/>
              </v:shape>
            </w:pict>
          </mc:Fallback>
        </mc:AlternateContent>
      </w:r>
      <w:r>
        <w:rPr>
          <w:sz w:val="21"/>
        </w:rPr>
        <mc:AlternateContent>
          <mc:Choice Requires="wps">
            <w:drawing>
              <wp:anchor distT="0" distB="0" distL="114300" distR="114300" simplePos="0" relativeHeight="251749376" behindDoc="0" locked="0" layoutInCell="1" allowOverlap="1">
                <wp:simplePos x="0" y="0"/>
                <wp:positionH relativeFrom="column">
                  <wp:posOffset>5116195</wp:posOffset>
                </wp:positionH>
                <wp:positionV relativeFrom="paragraph">
                  <wp:posOffset>2917825</wp:posOffset>
                </wp:positionV>
                <wp:extent cx="3197225" cy="2041525"/>
                <wp:effectExtent l="6350" t="6350" r="22225" b="9525"/>
                <wp:wrapNone/>
                <wp:docPr id="195" name="文本框 195"/>
                <wp:cNvGraphicFramePr/>
                <a:graphic xmlns:a="http://schemas.openxmlformats.org/drawingml/2006/main">
                  <a:graphicData uri="http://schemas.microsoft.com/office/word/2010/wordprocessingShape">
                    <wps:wsp>
                      <wps:cNvSpPr txBox="1"/>
                      <wps:spPr>
                        <a:xfrm>
                          <a:off x="6196965" y="4581525"/>
                          <a:ext cx="3197225" cy="20415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CB4720B">
                            <w:pPr>
                              <w:rPr>
                                <w:rFonts w:hint="eastAsia"/>
                                <w:b/>
                                <w:bCs/>
                                <w:lang w:val="en-US" w:eastAsia="zh-CN"/>
                              </w:rPr>
                            </w:pPr>
                            <w:r>
                              <w:rPr>
                                <w:rFonts w:hint="eastAsia"/>
                                <w:b/>
                                <w:bCs/>
                                <w:lang w:val="en-US" w:eastAsia="zh-CN"/>
                              </w:rPr>
                              <w:t>图例：</w:t>
                            </w:r>
                          </w:p>
                          <w:p w14:paraId="309F638E">
                            <w:pPr>
                              <w:keepNext w:val="0"/>
                              <w:keepLines w:val="0"/>
                              <w:pageBreakBefore w:val="0"/>
                              <w:widowControl w:val="0"/>
                              <w:kinsoku/>
                              <w:wordWrap/>
                              <w:overflowPunct/>
                              <w:topLinePunct w:val="0"/>
                              <w:bidi w:val="0"/>
                              <w:adjustRightInd/>
                              <w:snapToGrid/>
                              <w:spacing w:line="360" w:lineRule="auto"/>
                              <w:textAlignment w:val="auto"/>
                              <w:rPr>
                                <w:rFonts w:hint="eastAsia"/>
                                <w:lang w:val="en-US" w:eastAsia="zh-CN"/>
                              </w:rPr>
                            </w:pPr>
                            <w:r>
                              <w:rPr>
                                <w:rFonts w:hint="eastAsia"/>
                                <w:lang w:val="en-US" w:eastAsia="zh-CN"/>
                              </w:rPr>
                              <w:t xml:space="preserve">      冷料仓上料喷淋装置示意</w:t>
                            </w:r>
                          </w:p>
                          <w:p w14:paraId="38B6C69E">
                            <w:pPr>
                              <w:keepNext w:val="0"/>
                              <w:keepLines w:val="0"/>
                              <w:pageBreakBefore w:val="0"/>
                              <w:widowControl w:val="0"/>
                              <w:kinsoku/>
                              <w:wordWrap/>
                              <w:overflowPunct/>
                              <w:topLinePunct w:val="0"/>
                              <w:bidi w:val="0"/>
                              <w:adjustRightInd/>
                              <w:snapToGrid/>
                              <w:spacing w:line="360" w:lineRule="auto"/>
                              <w:textAlignment w:val="auto"/>
                              <w:rPr>
                                <w:rFonts w:hint="eastAsia"/>
                                <w:lang w:val="en-US" w:eastAsia="zh-CN"/>
                              </w:rPr>
                            </w:pPr>
                            <w:r>
                              <w:rPr>
                                <w:rFonts w:hint="eastAsia"/>
                                <w:lang w:val="en-US" w:eastAsia="zh-CN"/>
                              </w:rPr>
                              <w:t xml:space="preserve">      排气筒示意</w:t>
                            </w:r>
                          </w:p>
                          <w:p w14:paraId="5BF01BA8">
                            <w:pPr>
                              <w:keepNext w:val="0"/>
                              <w:keepLines w:val="0"/>
                              <w:pageBreakBefore w:val="0"/>
                              <w:widowControl w:val="0"/>
                              <w:kinsoku/>
                              <w:wordWrap/>
                              <w:overflowPunct/>
                              <w:topLinePunct w:val="0"/>
                              <w:bidi w:val="0"/>
                              <w:adjustRightInd/>
                              <w:snapToGrid/>
                              <w:spacing w:line="360" w:lineRule="auto"/>
                              <w:ind w:firstLine="630" w:firstLineChars="300"/>
                              <w:textAlignment w:val="auto"/>
                              <w:rPr>
                                <w:rFonts w:hint="eastAsia"/>
                                <w:lang w:val="en-US" w:eastAsia="zh-CN"/>
                              </w:rPr>
                            </w:pPr>
                            <w:r>
                              <w:rPr>
                                <w:rFonts w:hint="eastAsia"/>
                                <w:lang w:val="en-US" w:eastAsia="zh-CN"/>
                              </w:rPr>
                              <w:t>除尘系统示意</w:t>
                            </w:r>
                          </w:p>
                          <w:p w14:paraId="6EED7EAE">
                            <w:pPr>
                              <w:keepNext w:val="0"/>
                              <w:keepLines w:val="0"/>
                              <w:pageBreakBefore w:val="0"/>
                              <w:widowControl w:val="0"/>
                              <w:kinsoku/>
                              <w:wordWrap/>
                              <w:overflowPunct/>
                              <w:topLinePunct w:val="0"/>
                              <w:bidi w:val="0"/>
                              <w:adjustRightInd/>
                              <w:snapToGrid/>
                              <w:spacing w:line="360" w:lineRule="auto"/>
                              <w:ind w:firstLine="630" w:firstLineChars="300"/>
                              <w:textAlignment w:val="auto"/>
                              <w:rPr>
                                <w:rFonts w:hint="default"/>
                                <w:lang w:val="en-US" w:eastAsia="zh-CN"/>
                              </w:rPr>
                            </w:pPr>
                            <w:r>
                              <w:rPr>
                                <w:rFonts w:hint="eastAsia"/>
                                <w:lang w:val="en-US" w:eastAsia="zh-CN"/>
                              </w:rPr>
                              <w:t>沥青混凝土生产线、乳化沥青生产线沥青烟气处理设施示意</w:t>
                            </w:r>
                          </w:p>
                          <w:p w14:paraId="1EB02A9D">
                            <w:pPr>
                              <w:rPr>
                                <w:rFonts w:hint="default"/>
                                <w:lang w:val="en-US" w:eastAsia="zh-CN"/>
                              </w:rPr>
                            </w:pPr>
                            <w:r>
                              <w:rPr>
                                <w:rFonts w:hint="eastAsia"/>
                                <w:lang w:val="en-US" w:eastAsia="zh-CN"/>
                              </w:rPr>
                              <w:t xml:space="preserve">      振动式仓顶收尘机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2.85pt;margin-top:229.75pt;height:160.75pt;width:251.75pt;z-index:251749376;mso-width-relative:page;mso-height-relative:page;" fillcolor="#FFFFFF [3201]" filled="t" stroked="t" coordsize="21600,21600" o:gfxdata="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tkwHTNkAAAAMAQAADwAAAAAAAAABACAAAAAiAAAAZHJzL2Rvd25yZXYueG1sUEsB&#10;AhQAFAAAAAgAh07iQGClTyFmAgAAyAQAAA4AAAAAAAAAAQAgAAAAKAEAAGRycy9lMm9Eb2MueG1s&#10;UEsFBgAAAAAGAAYAWQEAAAAGAAAAAA==&#10;">
                <v:fill on="t" focussize="0,0"/>
                <v:stroke weight="0.5pt" color="#000000 [3204]" joinstyle="round"/>
                <v:imagedata o:title=""/>
                <o:lock v:ext="edit" aspectratio="f"/>
                <v:textbox>
                  <w:txbxContent>
                    <w:p w14:paraId="2CB4720B">
                      <w:pPr>
                        <w:rPr>
                          <w:rFonts w:hint="eastAsia"/>
                          <w:b/>
                          <w:bCs/>
                          <w:lang w:val="en-US" w:eastAsia="zh-CN"/>
                        </w:rPr>
                      </w:pPr>
                      <w:r>
                        <w:rPr>
                          <w:rFonts w:hint="eastAsia"/>
                          <w:b/>
                          <w:bCs/>
                          <w:lang w:val="en-US" w:eastAsia="zh-CN"/>
                        </w:rPr>
                        <w:t>图例：</w:t>
                      </w:r>
                    </w:p>
                    <w:p w14:paraId="309F638E">
                      <w:pPr>
                        <w:keepNext w:val="0"/>
                        <w:keepLines w:val="0"/>
                        <w:pageBreakBefore w:val="0"/>
                        <w:widowControl w:val="0"/>
                        <w:kinsoku/>
                        <w:wordWrap/>
                        <w:overflowPunct/>
                        <w:topLinePunct w:val="0"/>
                        <w:bidi w:val="0"/>
                        <w:adjustRightInd/>
                        <w:snapToGrid/>
                        <w:spacing w:line="360" w:lineRule="auto"/>
                        <w:textAlignment w:val="auto"/>
                        <w:rPr>
                          <w:rFonts w:hint="eastAsia"/>
                          <w:lang w:val="en-US" w:eastAsia="zh-CN"/>
                        </w:rPr>
                      </w:pPr>
                      <w:r>
                        <w:rPr>
                          <w:rFonts w:hint="eastAsia"/>
                          <w:lang w:val="en-US" w:eastAsia="zh-CN"/>
                        </w:rPr>
                        <w:t xml:space="preserve">      冷料仓上料喷淋装置示意</w:t>
                      </w:r>
                    </w:p>
                    <w:p w14:paraId="38B6C69E">
                      <w:pPr>
                        <w:keepNext w:val="0"/>
                        <w:keepLines w:val="0"/>
                        <w:pageBreakBefore w:val="0"/>
                        <w:widowControl w:val="0"/>
                        <w:kinsoku/>
                        <w:wordWrap/>
                        <w:overflowPunct/>
                        <w:topLinePunct w:val="0"/>
                        <w:bidi w:val="0"/>
                        <w:adjustRightInd/>
                        <w:snapToGrid/>
                        <w:spacing w:line="360" w:lineRule="auto"/>
                        <w:textAlignment w:val="auto"/>
                        <w:rPr>
                          <w:rFonts w:hint="eastAsia"/>
                          <w:lang w:val="en-US" w:eastAsia="zh-CN"/>
                        </w:rPr>
                      </w:pPr>
                      <w:r>
                        <w:rPr>
                          <w:rFonts w:hint="eastAsia"/>
                          <w:lang w:val="en-US" w:eastAsia="zh-CN"/>
                        </w:rPr>
                        <w:t xml:space="preserve">      排气筒示意</w:t>
                      </w:r>
                    </w:p>
                    <w:p w14:paraId="5BF01BA8">
                      <w:pPr>
                        <w:keepNext w:val="0"/>
                        <w:keepLines w:val="0"/>
                        <w:pageBreakBefore w:val="0"/>
                        <w:widowControl w:val="0"/>
                        <w:kinsoku/>
                        <w:wordWrap/>
                        <w:overflowPunct/>
                        <w:topLinePunct w:val="0"/>
                        <w:bidi w:val="0"/>
                        <w:adjustRightInd/>
                        <w:snapToGrid/>
                        <w:spacing w:line="360" w:lineRule="auto"/>
                        <w:ind w:firstLine="630" w:firstLineChars="300"/>
                        <w:textAlignment w:val="auto"/>
                        <w:rPr>
                          <w:rFonts w:hint="eastAsia"/>
                          <w:lang w:val="en-US" w:eastAsia="zh-CN"/>
                        </w:rPr>
                      </w:pPr>
                      <w:r>
                        <w:rPr>
                          <w:rFonts w:hint="eastAsia"/>
                          <w:lang w:val="en-US" w:eastAsia="zh-CN"/>
                        </w:rPr>
                        <w:t>除尘系统示意</w:t>
                      </w:r>
                    </w:p>
                    <w:p w14:paraId="6EED7EAE">
                      <w:pPr>
                        <w:keepNext w:val="0"/>
                        <w:keepLines w:val="0"/>
                        <w:pageBreakBefore w:val="0"/>
                        <w:widowControl w:val="0"/>
                        <w:kinsoku/>
                        <w:wordWrap/>
                        <w:overflowPunct/>
                        <w:topLinePunct w:val="0"/>
                        <w:bidi w:val="0"/>
                        <w:adjustRightInd/>
                        <w:snapToGrid/>
                        <w:spacing w:line="360" w:lineRule="auto"/>
                        <w:ind w:firstLine="630" w:firstLineChars="300"/>
                        <w:textAlignment w:val="auto"/>
                        <w:rPr>
                          <w:rFonts w:hint="default"/>
                          <w:lang w:val="en-US" w:eastAsia="zh-CN"/>
                        </w:rPr>
                      </w:pPr>
                      <w:r>
                        <w:rPr>
                          <w:rFonts w:hint="eastAsia"/>
                          <w:lang w:val="en-US" w:eastAsia="zh-CN"/>
                        </w:rPr>
                        <w:t>沥青混凝土生产线、乳化沥青生产线沥青烟气处理设施示意</w:t>
                      </w:r>
                    </w:p>
                    <w:p w14:paraId="1EB02A9D">
                      <w:pPr>
                        <w:rPr>
                          <w:rFonts w:hint="default"/>
                          <w:lang w:val="en-US" w:eastAsia="zh-CN"/>
                        </w:rPr>
                      </w:pPr>
                      <w:r>
                        <w:rPr>
                          <w:rFonts w:hint="eastAsia"/>
                          <w:lang w:val="en-US" w:eastAsia="zh-CN"/>
                        </w:rPr>
                        <w:t xml:space="preserve">      振动式仓顶收尘机</w:t>
                      </w:r>
                    </w:p>
                  </w:txbxContent>
                </v:textbox>
              </v:shape>
            </w:pict>
          </mc:Fallback>
        </mc:AlternateContent>
      </w:r>
      <w:r>
        <w:rPr>
          <w:sz w:val="21"/>
        </w:rPr>
        <mc:AlternateContent>
          <mc:Choice Requires="wps">
            <w:drawing>
              <wp:anchor distT="0" distB="0" distL="114300" distR="114300" simplePos="0" relativeHeight="251747328" behindDoc="0" locked="0" layoutInCell="1" allowOverlap="1">
                <wp:simplePos x="0" y="0"/>
                <wp:positionH relativeFrom="column">
                  <wp:posOffset>2356485</wp:posOffset>
                </wp:positionH>
                <wp:positionV relativeFrom="paragraph">
                  <wp:posOffset>2829560</wp:posOffset>
                </wp:positionV>
                <wp:extent cx="552450" cy="254635"/>
                <wp:effectExtent l="0" t="0" r="0" b="0"/>
                <wp:wrapNone/>
                <wp:docPr id="193" name="文本框 193"/>
                <wp:cNvGraphicFramePr/>
                <a:graphic xmlns:a="http://schemas.openxmlformats.org/drawingml/2006/main">
                  <a:graphicData uri="http://schemas.microsoft.com/office/word/2010/wordprocessingShape">
                    <wps:wsp>
                      <wps:cNvSpPr txBox="1"/>
                      <wps:spPr>
                        <a:xfrm rot="20340000">
                          <a:off x="5551805" y="5275580"/>
                          <a:ext cx="552450" cy="2546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C221D2">
                            <w:pPr>
                              <w:rPr>
                                <w:rFonts w:hint="eastAsia" w:ascii="华文楷体" w:hAnsi="华文楷体" w:eastAsia="华文楷体" w:cs="华文楷体"/>
                                <w:b/>
                                <w:bCs/>
                                <w:color w:val="1331F5"/>
                                <w:sz w:val="18"/>
                                <w:szCs w:val="18"/>
                                <w:lang w:val="en-US"/>
                              </w:rPr>
                            </w:pPr>
                            <w:r>
                              <w:rPr>
                                <w:rFonts w:hint="eastAsia" w:ascii="华文楷体" w:hAnsi="华文楷体" w:eastAsia="华文楷体" w:cs="华文楷体"/>
                                <w:b/>
                                <w:bCs/>
                                <w:color w:val="1331F5"/>
                                <w:sz w:val="18"/>
                                <w:szCs w:val="18"/>
                                <w:lang w:val="en-US"/>
                              </w:rPr>
                              <w:t>DA003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5.55pt;margin-top:222.8pt;height:20.05pt;width:43.5pt;rotation:-1376256f;z-index:251747328;mso-width-relative:page;mso-height-relative:page;" filled="f" stroked="f" coordsize="21600,21600" o:gfxdata="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HUBSTTYAAAACwEAAA8AAAAA&#10;AAAAAQAgAAAAIgAAAGRycy9kb3ducmV2LnhtbFBLAQIUABQAAAAIAIdO4kBo7yPxTQIAAIQEAAAO&#10;AAAAAAAAAAEAIAAAACcBAABkcnMvZTJvRG9jLnhtbFBLBQYAAAAABgAGAFkBAADmBQAAAAA=&#10;">
                <v:fill on="f" focussize="0,0"/>
                <v:stroke on="f" weight="0.5pt"/>
                <v:imagedata o:title=""/>
                <o:lock v:ext="edit" aspectratio="f"/>
                <v:textbox>
                  <w:txbxContent>
                    <w:p w14:paraId="4AC221D2">
                      <w:pPr>
                        <w:rPr>
                          <w:rFonts w:hint="eastAsia" w:ascii="华文楷体" w:hAnsi="华文楷体" w:eastAsia="华文楷体" w:cs="华文楷体"/>
                          <w:b/>
                          <w:bCs/>
                          <w:color w:val="1331F5"/>
                          <w:sz w:val="18"/>
                          <w:szCs w:val="18"/>
                          <w:lang w:val="en-US"/>
                        </w:rPr>
                      </w:pPr>
                      <w:r>
                        <w:rPr>
                          <w:rFonts w:hint="eastAsia" w:ascii="华文楷体" w:hAnsi="华文楷体" w:eastAsia="华文楷体" w:cs="华文楷体"/>
                          <w:b/>
                          <w:bCs/>
                          <w:color w:val="1331F5"/>
                          <w:sz w:val="18"/>
                          <w:szCs w:val="18"/>
                          <w:lang w:val="en-US"/>
                        </w:rPr>
                        <w:t>DA003</w:t>
                      </w:r>
                    </w:p>
                  </w:txbxContent>
                </v:textbox>
              </v:shape>
            </w:pict>
          </mc:Fallback>
        </mc:AlternateContent>
      </w:r>
      <w:r>
        <w:rPr>
          <w:sz w:val="21"/>
        </w:rPr>
        <mc:AlternateContent>
          <mc:Choice Requires="wps">
            <w:drawing>
              <wp:anchor distT="0" distB="0" distL="114300" distR="114300" simplePos="0" relativeHeight="251745280" behindDoc="0" locked="0" layoutInCell="1" allowOverlap="1">
                <wp:simplePos x="0" y="0"/>
                <wp:positionH relativeFrom="column">
                  <wp:posOffset>3380105</wp:posOffset>
                </wp:positionH>
                <wp:positionV relativeFrom="paragraph">
                  <wp:posOffset>1600200</wp:posOffset>
                </wp:positionV>
                <wp:extent cx="551180" cy="255905"/>
                <wp:effectExtent l="147955" t="0" r="0" b="0"/>
                <wp:wrapNone/>
                <wp:docPr id="191" name="文本框 191"/>
                <wp:cNvGraphicFramePr/>
                <a:graphic xmlns:a="http://schemas.openxmlformats.org/drawingml/2006/main">
                  <a:graphicData uri="http://schemas.microsoft.com/office/word/2010/wordprocessingShape">
                    <wps:wsp>
                      <wps:cNvSpPr txBox="1"/>
                      <wps:spPr>
                        <a:xfrm rot="3780000">
                          <a:off x="6462395" y="5236210"/>
                          <a:ext cx="551180" cy="2559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BE79AA">
                            <w:pPr>
                              <w:rPr>
                                <w:rFonts w:hint="eastAsia" w:ascii="华文楷体" w:hAnsi="华文楷体" w:eastAsia="华文楷体" w:cs="华文楷体"/>
                                <w:b/>
                                <w:bCs/>
                                <w:color w:val="1331F5"/>
                                <w:sz w:val="18"/>
                                <w:szCs w:val="18"/>
                                <w:lang w:val="en-US"/>
                              </w:rPr>
                            </w:pPr>
                            <w:r>
                              <w:rPr>
                                <w:rFonts w:hint="eastAsia" w:ascii="华文楷体" w:hAnsi="华文楷体" w:eastAsia="华文楷体" w:cs="华文楷体"/>
                                <w:b/>
                                <w:bCs/>
                                <w:color w:val="1331F5"/>
                                <w:sz w:val="18"/>
                                <w:szCs w:val="18"/>
                                <w:lang w:val="en-US"/>
                              </w:rPr>
                              <w:t>DA001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6.15pt;margin-top:126pt;height:20.15pt;width:43.4pt;rotation:4128768f;z-index:251745280;mso-width-relative:page;mso-height-relative:page;" filled="f" stroked="f" coordsize="21600,21600" o:gfxdata="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s6NTT2AAAAAsBAAAP&#10;AAAAAAAAAAEAIAAAACIAAABkcnMvZG93bnJldi54bWxQSwECFAAUAAAACACHTuJAPvyx21ECAACD&#10;BAAADgAAAAAAAAABACAAAAAnAQAAZHJzL2Uyb0RvYy54bWxQSwUGAAAAAAYABgBZAQAA6gUAAAAA&#10;">
                <v:fill on="f" focussize="0,0"/>
                <v:stroke on="f" weight="0.5pt"/>
                <v:imagedata o:title=""/>
                <o:lock v:ext="edit" aspectratio="f"/>
                <v:textbox>
                  <w:txbxContent>
                    <w:p w14:paraId="1EBE79AA">
                      <w:pPr>
                        <w:rPr>
                          <w:rFonts w:hint="eastAsia" w:ascii="华文楷体" w:hAnsi="华文楷体" w:eastAsia="华文楷体" w:cs="华文楷体"/>
                          <w:b/>
                          <w:bCs/>
                          <w:color w:val="1331F5"/>
                          <w:sz w:val="18"/>
                          <w:szCs w:val="18"/>
                          <w:lang w:val="en-US"/>
                        </w:rPr>
                      </w:pPr>
                      <w:r>
                        <w:rPr>
                          <w:rFonts w:hint="eastAsia" w:ascii="华文楷体" w:hAnsi="华文楷体" w:eastAsia="华文楷体" w:cs="华文楷体"/>
                          <w:b/>
                          <w:bCs/>
                          <w:color w:val="1331F5"/>
                          <w:sz w:val="18"/>
                          <w:szCs w:val="18"/>
                          <w:lang w:val="en-US"/>
                        </w:rPr>
                        <w:t>DA001</w:t>
                      </w:r>
                    </w:p>
                  </w:txbxContent>
                </v:textbox>
              </v:shape>
            </w:pict>
          </mc:Fallback>
        </mc:AlternateContent>
      </w:r>
      <w:r>
        <w:rPr>
          <w:sz w:val="21"/>
        </w:rPr>
        <mc:AlternateContent>
          <mc:Choice Requires="wps">
            <w:drawing>
              <wp:anchor distT="0" distB="0" distL="114300" distR="114300" simplePos="0" relativeHeight="251737088" behindDoc="0" locked="0" layoutInCell="1" allowOverlap="1">
                <wp:simplePos x="0" y="0"/>
                <wp:positionH relativeFrom="column">
                  <wp:posOffset>3308350</wp:posOffset>
                </wp:positionH>
                <wp:positionV relativeFrom="paragraph">
                  <wp:posOffset>1712595</wp:posOffset>
                </wp:positionV>
                <wp:extent cx="444500" cy="76200"/>
                <wp:effectExtent l="0" t="94615" r="0" b="108585"/>
                <wp:wrapNone/>
                <wp:docPr id="183" name="右箭头 183"/>
                <wp:cNvGraphicFramePr/>
                <a:graphic xmlns:a="http://schemas.openxmlformats.org/drawingml/2006/main">
                  <a:graphicData uri="http://schemas.microsoft.com/office/word/2010/wordprocessingShape">
                    <wps:wsp>
                      <wps:cNvSpPr/>
                      <wps:spPr>
                        <a:xfrm rot="19860000" flipV="1">
                          <a:off x="4507865" y="2981325"/>
                          <a:ext cx="444500" cy="76200"/>
                        </a:xfrm>
                        <a:prstGeom prst="rightArrow">
                          <a:avLst/>
                        </a:prstGeom>
                        <a:solidFill>
                          <a:srgbClr val="92D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flip:y;margin-left:260.5pt;margin-top:134.85pt;height:6pt;width:35pt;rotation:1900544f;z-index:251737088;v-text-anchor:middle;mso-width-relative:page;mso-height-relative:page;" fillcolor="#92D050" filled="t" stroked="t" coordsize="21600,21600" o:gfxdata="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aToM&#10;I9kAAAALAQAADwAAAAAAAAABACAAAAAiAAAAZHJzL2Rvd25yZXYueG1sUEsBAhQAFAAAAAgAh07i&#10;QMiKUk2TAgAAJAUAAA4AAAAAAAAAAQAgAAAAKAEAAGRycy9lMm9Eb2MueG1sUEsFBgAAAAAGAAYA&#10;WQEAAC0GAAAAAA==&#10;" adj="19749,5400">
                <v:fill on="t" focussize="0,0"/>
                <v:stroke weight="1pt" color="#00B050 [2404]" miterlimit="8" joinstyle="miter"/>
                <v:imagedata o:title=""/>
                <o:lock v:ext="edit" aspectratio="f"/>
              </v:shape>
            </w:pict>
          </mc:Fallback>
        </mc:AlternateContent>
      </w:r>
      <w:r>
        <w:rPr>
          <w:sz w:val="21"/>
        </w:rPr>
        <mc:AlternateContent>
          <mc:Choice Requires="wps">
            <w:drawing>
              <wp:anchor distT="0" distB="0" distL="114300" distR="114300" simplePos="0" relativeHeight="251743232" behindDoc="0" locked="0" layoutInCell="1" allowOverlap="1">
                <wp:simplePos x="0" y="0"/>
                <wp:positionH relativeFrom="column">
                  <wp:posOffset>2044065</wp:posOffset>
                </wp:positionH>
                <wp:positionV relativeFrom="paragraph">
                  <wp:posOffset>4432300</wp:posOffset>
                </wp:positionV>
                <wp:extent cx="996315" cy="265430"/>
                <wp:effectExtent l="365760" t="0" r="0" b="0"/>
                <wp:wrapNone/>
                <wp:docPr id="189" name="文本框 189"/>
                <wp:cNvGraphicFramePr/>
                <a:graphic xmlns:a="http://schemas.openxmlformats.org/drawingml/2006/main">
                  <a:graphicData uri="http://schemas.microsoft.com/office/word/2010/wordprocessingShape">
                    <wps:wsp>
                      <wps:cNvSpPr txBox="1"/>
                      <wps:spPr>
                        <a:xfrm rot="3780000">
                          <a:off x="5990590" y="5462270"/>
                          <a:ext cx="996315" cy="2654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093DD0">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运输车辆出入口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0.95pt;margin-top:349pt;height:20.9pt;width:78.45pt;rotation:4128768f;z-index:251743232;mso-width-relative:page;mso-height-relative:page;" filled="f" stroked="f" coordsize="21600,21600" o:gfxdata="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NYNFwdoAAAALAQAA&#10;DwAAAAAAAAABACAAAAAiAAAAZHJzL2Rvd25yZXYueG1sUEsBAhQAFAAAAAgAh07iQOkTxBNQAgAA&#10;gwQAAA4AAAAAAAAAAQAgAAAAKQEAAGRycy9lMm9Eb2MueG1sUEsFBgAAAAAGAAYAWQEAAOsFAAAA&#10;AA==&#10;">
                <v:fill on="f" focussize="0,0"/>
                <v:stroke on="f" weight="0.5pt"/>
                <v:imagedata o:title=""/>
                <o:lock v:ext="edit" aspectratio="f"/>
                <v:textbox>
                  <w:txbxContent>
                    <w:p w14:paraId="61093DD0">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运输车辆出入口</w:t>
                      </w:r>
                    </w:p>
                  </w:txbxContent>
                </v:textbox>
              </v:shape>
            </w:pict>
          </mc:Fallback>
        </mc:AlternateContent>
      </w:r>
      <w:r>
        <w:rPr>
          <w:sz w:val="21"/>
        </w:rPr>
        <mc:AlternateContent>
          <mc:Choice Requires="wps">
            <w:drawing>
              <wp:anchor distT="0" distB="0" distL="114300" distR="114300" simplePos="0" relativeHeight="251742208" behindDoc="0" locked="0" layoutInCell="1" allowOverlap="1">
                <wp:simplePos x="0" y="0"/>
                <wp:positionH relativeFrom="column">
                  <wp:posOffset>2289810</wp:posOffset>
                </wp:positionH>
                <wp:positionV relativeFrom="paragraph">
                  <wp:posOffset>4339590</wp:posOffset>
                </wp:positionV>
                <wp:extent cx="379095" cy="299085"/>
                <wp:effectExtent l="0" t="0" r="83185" b="87630"/>
                <wp:wrapNone/>
                <wp:docPr id="188" name="等腰三角形 188"/>
                <wp:cNvGraphicFramePr/>
                <a:graphic xmlns:a="http://schemas.openxmlformats.org/drawingml/2006/main">
                  <a:graphicData uri="http://schemas.microsoft.com/office/word/2010/wordprocessingShape">
                    <wps:wsp>
                      <wps:cNvSpPr/>
                      <wps:spPr>
                        <a:xfrm rot="19980000">
                          <a:off x="5332095" y="5215890"/>
                          <a:ext cx="379095" cy="299085"/>
                        </a:xfrm>
                        <a:prstGeom prst="triangle">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180.3pt;margin-top:341.7pt;height:23.55pt;width:29.85pt;rotation:-1769472f;z-index:251742208;v-text-anchor:middle;mso-width-relative:page;mso-height-relative:page;" filled="f" stroked="t" coordsize="21600,21600" o:gfxdata="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A922cr2wAAAAsBAAAPAAAAAAAAAAEAIAAAACIAAABkcnMvZG93bnJl&#10;di54bWxQSwECFAAUAAAACACHTuJAXS3bcaUCAAAYBQAADgAAAAAAAAABACAAAAAqAQAAZHJzL2Uy&#10;b0RvYy54bWxQSwUGAAAAAAYABgBZAQAAQQYAAAAA&#10;" adj="10800">
                <v:fill on="f" focussize="0,0"/>
                <v:stroke weight="1pt" color="#2E75B6 [2404]" miterlimit="8" joinstyle="miter"/>
                <v:imagedata o:title=""/>
                <o:lock v:ext="edit" aspectratio="f"/>
              </v:shape>
            </w:pict>
          </mc:Fallback>
        </mc:AlternateContent>
      </w:r>
      <w:r>
        <w:rPr>
          <w:sz w:val="21"/>
        </w:rPr>
        <mc:AlternateContent>
          <mc:Choice Requires="wps">
            <w:drawing>
              <wp:anchor distT="0" distB="0" distL="114300" distR="114300" simplePos="0" relativeHeight="251741184" behindDoc="0" locked="0" layoutInCell="1" allowOverlap="1">
                <wp:simplePos x="0" y="0"/>
                <wp:positionH relativeFrom="column">
                  <wp:posOffset>1000125</wp:posOffset>
                </wp:positionH>
                <wp:positionV relativeFrom="paragraph">
                  <wp:posOffset>1506220</wp:posOffset>
                </wp:positionV>
                <wp:extent cx="565150" cy="287020"/>
                <wp:effectExtent l="0" t="0" r="0" b="0"/>
                <wp:wrapNone/>
                <wp:docPr id="187" name="文本框 187"/>
                <wp:cNvGraphicFramePr/>
                <a:graphic xmlns:a="http://schemas.openxmlformats.org/drawingml/2006/main">
                  <a:graphicData uri="http://schemas.microsoft.com/office/word/2010/wordprocessingShape">
                    <wps:wsp>
                      <wps:cNvSpPr txBox="1"/>
                      <wps:spPr>
                        <a:xfrm rot="19920000">
                          <a:off x="5245735" y="5135245"/>
                          <a:ext cx="565150" cy="2870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4ABCB">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正门北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8.75pt;margin-top:118.6pt;height:22.6pt;width:44.5pt;rotation:-1835008f;z-index:251741184;mso-width-relative:page;mso-height-relative:page;" filled="f" stroked="f" coordsize="21600,21600" o:gfxdata="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M09+IHaAAAACwEAAA8A&#10;AAAAAAAAAQAgAAAAIgAAAGRycy9kb3ducmV2LnhtbFBLAQIUABQAAAAIAIdO4kCL9PrhTgIAAIQE&#10;AAAOAAAAAAAAAAEAIAAAACkBAABkcnMvZTJvRG9jLnhtbFBLBQYAAAAABgAGAFkBAADpBQAAAAA=&#10;">
                <v:fill on="f" focussize="0,0"/>
                <v:stroke on="f" weight="0.5pt"/>
                <v:imagedata o:title=""/>
                <o:lock v:ext="edit" aspectratio="f"/>
                <v:textbox>
                  <w:txbxContent>
                    <w:p w14:paraId="1774ABCB">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正门北</w:t>
                      </w:r>
                    </w:p>
                  </w:txbxContent>
                </v:textbox>
              </v:shape>
            </w:pict>
          </mc:Fallback>
        </mc:AlternateContent>
      </w:r>
      <w:r>
        <w:rPr>
          <w:sz w:val="21"/>
        </w:rPr>
        <mc:AlternateContent>
          <mc:Choice Requires="wps">
            <w:drawing>
              <wp:anchor distT="0" distB="0" distL="114300" distR="114300" simplePos="0" relativeHeight="251740160" behindDoc="0" locked="0" layoutInCell="1" allowOverlap="1">
                <wp:simplePos x="0" y="0"/>
                <wp:positionH relativeFrom="column">
                  <wp:posOffset>3190240</wp:posOffset>
                </wp:positionH>
                <wp:positionV relativeFrom="paragraph">
                  <wp:posOffset>1891665</wp:posOffset>
                </wp:positionV>
                <wp:extent cx="215265" cy="120015"/>
                <wp:effectExtent l="44450" t="13970" r="64135" b="24765"/>
                <wp:wrapNone/>
                <wp:docPr id="186" name="缺角矩形 186"/>
                <wp:cNvGraphicFramePr/>
                <a:graphic xmlns:a="http://schemas.openxmlformats.org/drawingml/2006/main">
                  <a:graphicData uri="http://schemas.microsoft.com/office/word/2010/wordprocessingShape">
                    <wps:wsp>
                      <wps:cNvSpPr/>
                      <wps:spPr>
                        <a:xfrm rot="3600000">
                          <a:off x="4500880" y="4942840"/>
                          <a:ext cx="215265" cy="120015"/>
                        </a:xfrm>
                        <a:prstGeom prst="plaque">
                          <a:avLst/>
                        </a:prstGeom>
                        <a:solidFill>
                          <a:srgbClr val="92D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1" type="#_x0000_t21" style="position:absolute;left:0pt;margin-left:251.2pt;margin-top:148.95pt;height:9.45pt;width:16.95pt;rotation:3932160f;z-index:251740160;v-text-anchor:middle;mso-width-relative:page;mso-height-relative:page;" fillcolor="#92D050" filled="t" stroked="t" coordsize="21600,21600" o:gfxdata="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ArAa2PbAAAACwEAAA8AAAAAAAAAAQAgAAAAIgAAAGRycy9kb3ducmV2LnhtbFBLAQIUABQAAAAI&#10;AIdO4kA1pv7TlQIAABkFAAAOAAAAAAAAAAEAIAAAACoBAABkcnMvZTJvRG9jLnhtbFBLBQYAAAAA&#10;BgAGAFkBAAAxBgAAAAA=&#10;" adj="3600">
                <v:fill on="t" focussize="0,0"/>
                <v:stroke weight="1pt" color="#00B050 [2404]" miterlimit="8" joinstyle="miter"/>
                <v:imagedata o:title=""/>
                <o:lock v:ext="edit" aspectratio="f"/>
              </v:shape>
            </w:pict>
          </mc:Fallback>
        </mc:AlternateContent>
      </w:r>
      <w:r>
        <w:rPr>
          <w:sz w:val="21"/>
        </w:rPr>
        <mc:AlternateContent>
          <mc:Choice Requires="wps">
            <w:drawing>
              <wp:anchor distT="0" distB="0" distL="114300" distR="114300" simplePos="0" relativeHeight="251714560" behindDoc="0" locked="0" layoutInCell="1" allowOverlap="1">
                <wp:simplePos x="0" y="0"/>
                <wp:positionH relativeFrom="column">
                  <wp:posOffset>3096895</wp:posOffset>
                </wp:positionH>
                <wp:positionV relativeFrom="paragraph">
                  <wp:posOffset>1525905</wp:posOffset>
                </wp:positionV>
                <wp:extent cx="401955" cy="614045"/>
                <wp:effectExtent l="67945" t="83185" r="80010" b="99060"/>
                <wp:wrapNone/>
                <wp:docPr id="128" name="立方体 128"/>
                <wp:cNvGraphicFramePr/>
                <a:graphic xmlns:a="http://schemas.openxmlformats.org/drawingml/2006/main">
                  <a:graphicData uri="http://schemas.microsoft.com/office/word/2010/wordprocessingShape">
                    <wps:wsp>
                      <wps:cNvSpPr/>
                      <wps:spPr>
                        <a:xfrm rot="3600000">
                          <a:off x="4152900" y="3085465"/>
                          <a:ext cx="401955" cy="614045"/>
                        </a:xfrm>
                        <a:prstGeom prst="cube">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6" type="#_x0000_t16" style="position:absolute;left:0pt;margin-left:243.85pt;margin-top:120.15pt;height:48.35pt;width:31.65pt;rotation:3932160f;z-index:251714560;v-text-anchor:middle;mso-width-relative:page;mso-height-relative:page;" filled="f" stroked="t" coordsize="21600,21600" o:gfxdata="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" adj="5400">
                <v:fill on="f" focussize="0,0"/>
                <v:stroke weight="1pt" color="#2E75B6 [2404]" miterlimit="8" joinstyle="miter"/>
                <v:imagedata o:title=""/>
                <o:lock v:ext="edit" aspectratio="f"/>
              </v:shape>
            </w:pict>
          </mc:Fallback>
        </mc:AlternateContent>
      </w:r>
      <w:r>
        <w:rPr>
          <w:sz w:val="21"/>
        </w:rPr>
        <mc:AlternateContent>
          <mc:Choice Requires="wps">
            <w:drawing>
              <wp:anchor distT="0" distB="0" distL="114300" distR="114300" simplePos="0" relativeHeight="251739136" behindDoc="0" locked="0" layoutInCell="1" allowOverlap="1">
                <wp:simplePos x="0" y="0"/>
                <wp:positionH relativeFrom="column">
                  <wp:posOffset>3706495</wp:posOffset>
                </wp:positionH>
                <wp:positionV relativeFrom="paragraph">
                  <wp:posOffset>2171065</wp:posOffset>
                </wp:positionV>
                <wp:extent cx="153035" cy="146685"/>
                <wp:effectExtent l="6350" t="6350" r="18415" b="24765"/>
                <wp:wrapNone/>
                <wp:docPr id="185" name="同心圆 185"/>
                <wp:cNvGraphicFramePr/>
                <a:graphic xmlns:a="http://schemas.openxmlformats.org/drawingml/2006/main">
                  <a:graphicData uri="http://schemas.microsoft.com/office/word/2010/wordprocessingShape">
                    <wps:wsp>
                      <wps:cNvSpPr/>
                      <wps:spPr>
                        <a:xfrm>
                          <a:off x="4607560" y="3639185"/>
                          <a:ext cx="153035" cy="146685"/>
                        </a:xfrm>
                        <a:prstGeom prst="donut">
                          <a:avLst/>
                        </a:prstGeom>
                        <a:solidFill>
                          <a:srgbClr val="92D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margin-left:291.85pt;margin-top:170.95pt;height:11.55pt;width:12.05pt;z-index:251739136;v-text-anchor:middle;mso-width-relative:page;mso-height-relative:page;" fillcolor="#92D050" filled="t" stroked="t" coordsize="21600,21600" o:gfxdata="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Iiun9dkAAAALAQAADwAA&#10;AAAAAAABACAAAAAiAAAAZHJzL2Rvd25yZXYueG1sUEsBAhQAFAAAAAgAh07iQCmRpfeHAgAABwUA&#10;AA4AAAAAAAAAAQAgAAAAKAEAAGRycy9lMm9Eb2MueG1sUEsFBgAAAAAGAAYAWQEAACEGAAAAAA==&#10;" adj="5175">
                <v:fill on="t" focussize="0,0"/>
                <v:stroke weight="1pt" color="#00B050 [2404]" miterlimit="8" joinstyle="miter"/>
                <v:imagedata o:title=""/>
                <o:lock v:ext="edit" aspectratio="f"/>
              </v:shape>
            </w:pict>
          </mc:Fallback>
        </mc:AlternateContent>
      </w:r>
      <w:r>
        <w:rPr>
          <w:sz w:val="21"/>
        </w:rPr>
        <mc:AlternateContent>
          <mc:Choice Requires="wps">
            <w:drawing>
              <wp:anchor distT="0" distB="0" distL="114300" distR="114300" simplePos="0" relativeHeight="251732992" behindDoc="0" locked="0" layoutInCell="1" allowOverlap="1">
                <wp:simplePos x="0" y="0"/>
                <wp:positionH relativeFrom="column">
                  <wp:posOffset>1805305</wp:posOffset>
                </wp:positionH>
                <wp:positionV relativeFrom="paragraph">
                  <wp:posOffset>2767330</wp:posOffset>
                </wp:positionV>
                <wp:extent cx="765810" cy="466725"/>
                <wp:effectExtent l="0" t="0" r="0" b="0"/>
                <wp:wrapNone/>
                <wp:docPr id="179" name="文本框 179"/>
                <wp:cNvGraphicFramePr/>
                <a:graphic xmlns:a="http://schemas.openxmlformats.org/drawingml/2006/main">
                  <a:graphicData uri="http://schemas.microsoft.com/office/word/2010/wordprocessingShape">
                    <wps:wsp>
                      <wps:cNvSpPr txBox="1"/>
                      <wps:spPr>
                        <a:xfrm rot="20220000">
                          <a:off x="3656330" y="5180330"/>
                          <a:ext cx="765810" cy="4667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37EADF">
                            <w:pPr>
                              <w:rPr>
                                <w:rFonts w:hint="eastAsia" w:ascii="华文楷体" w:hAnsi="华文楷体" w:eastAsia="华文楷体" w:cs="华文楷体"/>
                                <w:b/>
                                <w:bCs/>
                                <w:color w:val="FFFF00"/>
                                <w:sz w:val="15"/>
                                <w:szCs w:val="15"/>
                                <w:lang w:val="en-US" w:eastAsia="zh-CN"/>
                              </w:rPr>
                            </w:pPr>
                            <w:r>
                              <w:rPr>
                                <w:rFonts w:hint="eastAsia" w:ascii="华文楷体" w:hAnsi="华文楷体" w:eastAsia="华文楷体" w:cs="华文楷体"/>
                                <w:b/>
                                <w:bCs/>
                                <w:color w:val="FFFF00"/>
                                <w:sz w:val="15"/>
                                <w:szCs w:val="15"/>
                                <w:lang w:val="en-US" w:eastAsia="zh-CN"/>
                              </w:rPr>
                              <w:t>集装箱式乳化沥青生产线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2.15pt;margin-top:217.9pt;height:36.75pt;width:60.3pt;rotation:-1507328f;z-index:251732992;mso-width-relative:page;mso-height-relative:page;" filled="f" stroked="f" coordsize="21600,21600" o:gfxdata="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SpBQW2gAAAAsBAAAP&#10;AAAAAAAAAAEAIAAAACIAAABkcnMvZG93bnJldi54bWxQSwECFAAUAAAACACHTuJA8Iw+jk8CAACE&#10;BAAADgAAAAAAAAABACAAAAApAQAAZHJzL2Uyb0RvYy54bWxQSwUGAAAAAAYABgBZAQAA6gUAAAAA&#10;">
                <v:fill on="f" focussize="0,0"/>
                <v:stroke on="f" weight="0.5pt"/>
                <v:imagedata o:title=""/>
                <o:lock v:ext="edit" aspectratio="f"/>
                <v:textbox>
                  <w:txbxContent>
                    <w:p w14:paraId="2537EADF">
                      <w:pPr>
                        <w:rPr>
                          <w:rFonts w:hint="eastAsia" w:ascii="华文楷体" w:hAnsi="华文楷体" w:eastAsia="华文楷体" w:cs="华文楷体"/>
                          <w:b/>
                          <w:bCs/>
                          <w:color w:val="FFFF00"/>
                          <w:sz w:val="15"/>
                          <w:szCs w:val="15"/>
                          <w:lang w:val="en-US" w:eastAsia="zh-CN"/>
                        </w:rPr>
                      </w:pPr>
                      <w:r>
                        <w:rPr>
                          <w:rFonts w:hint="eastAsia" w:ascii="华文楷体" w:hAnsi="华文楷体" w:eastAsia="华文楷体" w:cs="华文楷体"/>
                          <w:b/>
                          <w:bCs/>
                          <w:color w:val="FFFF00"/>
                          <w:sz w:val="15"/>
                          <w:szCs w:val="15"/>
                          <w:lang w:val="en-US" w:eastAsia="zh-CN"/>
                        </w:rPr>
                        <w:t>集装箱式乳化沥青生产线</w:t>
                      </w:r>
                    </w:p>
                  </w:txbxContent>
                </v:textbox>
              </v:shape>
            </w:pict>
          </mc:Fallback>
        </mc:AlternateContent>
      </w:r>
      <w:r>
        <w:rPr>
          <w:sz w:val="21"/>
        </w:rPr>
        <mc:AlternateContent>
          <mc:Choice Requires="wps">
            <w:drawing>
              <wp:anchor distT="0" distB="0" distL="114300" distR="114300" simplePos="0" relativeHeight="251731968" behindDoc="0" locked="0" layoutInCell="1" allowOverlap="1">
                <wp:simplePos x="0" y="0"/>
                <wp:positionH relativeFrom="column">
                  <wp:posOffset>2117725</wp:posOffset>
                </wp:positionH>
                <wp:positionV relativeFrom="paragraph">
                  <wp:posOffset>2840990</wp:posOffset>
                </wp:positionV>
                <wp:extent cx="212725" cy="179705"/>
                <wp:effectExtent l="37465" t="46990" r="54610" b="52705"/>
                <wp:wrapNone/>
                <wp:docPr id="178" name="矩形 178"/>
                <wp:cNvGraphicFramePr/>
                <a:graphic xmlns:a="http://schemas.openxmlformats.org/drawingml/2006/main">
                  <a:graphicData uri="http://schemas.microsoft.com/office/word/2010/wordprocessingShape">
                    <wps:wsp>
                      <wps:cNvSpPr/>
                      <wps:spPr>
                        <a:xfrm rot="19980000">
                          <a:off x="3456940" y="5013960"/>
                          <a:ext cx="212725" cy="179705"/>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6.75pt;margin-top:223.7pt;height:14.15pt;width:16.75pt;rotation:-1769472f;z-index:251731968;v-text-anchor:middle;mso-width-relative:page;mso-height-relative:page;" filled="f" stroked="t" coordsize="21600,21600" o:gfxdata="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GS0&#10;OaTaAAAACwEAAA8AAAAAAAAAAQAgAAAAIgAAAGRycy9kb3ducmV2LnhtbFBLAQIUABQAAAAIAIdO&#10;4kDNOgd4kwIAAAsFAAAOAAAAAAAAAAEAIAAAACkBAABkcnMvZTJvRG9jLnhtbFBLBQYAAAAABgAG&#10;AFkBAAAuBgAAAAA=&#10;">
                <v:fill on="f" focussize="0,0"/>
                <v:stroke weight="1pt" color="#2E75B6 [2404]" miterlimit="8" joinstyle="miter"/>
                <v:imagedata o:title=""/>
                <o:lock v:ext="edit" aspectratio="f"/>
              </v:rect>
            </w:pict>
          </mc:Fallback>
        </mc:AlternateContent>
      </w:r>
      <w:r>
        <w:rPr>
          <w:sz w:val="21"/>
        </w:rPr>
        <mc:AlternateContent>
          <mc:Choice Requires="wps">
            <w:drawing>
              <wp:anchor distT="0" distB="0" distL="114300" distR="114300" simplePos="0" relativeHeight="251736064" behindDoc="0" locked="0" layoutInCell="1" allowOverlap="1">
                <wp:simplePos x="0" y="0"/>
                <wp:positionH relativeFrom="column">
                  <wp:posOffset>2583180</wp:posOffset>
                </wp:positionH>
                <wp:positionV relativeFrom="paragraph">
                  <wp:posOffset>2902585</wp:posOffset>
                </wp:positionV>
                <wp:extent cx="75565" cy="173355"/>
                <wp:effectExtent l="28575" t="0" r="48260" b="30480"/>
                <wp:wrapNone/>
                <wp:docPr id="182" name="上箭头 182"/>
                <wp:cNvGraphicFramePr/>
                <a:graphic xmlns:a="http://schemas.openxmlformats.org/drawingml/2006/main">
                  <a:graphicData uri="http://schemas.microsoft.com/office/word/2010/wordprocessingShape">
                    <wps:wsp>
                      <wps:cNvSpPr/>
                      <wps:spPr>
                        <a:xfrm rot="20040000">
                          <a:off x="3703320" y="4304030"/>
                          <a:ext cx="75565" cy="173355"/>
                        </a:xfrm>
                        <a:prstGeom prst="upArrow">
                          <a:avLst/>
                        </a:prstGeom>
                        <a:solidFill>
                          <a:srgbClr val="92D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8" type="#_x0000_t68" style="position:absolute;left:0pt;margin-left:203.4pt;margin-top:228.55pt;height:13.65pt;width:5.95pt;rotation:-1703936f;z-index:251736064;v-text-anchor:middle;mso-width-relative:page;mso-height-relative:page;" fillcolor="#92D050" filled="t" stroked="t" coordsize="21600,21600" o:gfxdata="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HhhSkDXAAAA&#10;CwEAAA8AAAAAAAAAAQAgAAAAIgAAAGRycy9kb3ducmV2LnhtbFBLAQIUABQAAAAIAIdO4kDjmpra&#10;kAIAABcFAAAOAAAAAAAAAAEAIAAAACYBAABkcnMvZTJvRG9jLnhtbFBLBQYAAAAABgAGAFkBAAAo&#10;BgAAAAA=&#10;" adj="4707,5400">
                <v:fill on="t" focussize="0,0"/>
                <v:stroke weight="1pt" color="#00B050 [2404]" miterlimit="8" joinstyle="miter"/>
                <v:imagedata o:title=""/>
                <o:lock v:ext="edit" aspectratio="f"/>
              </v:shape>
            </w:pict>
          </mc:Fallback>
        </mc:AlternateContent>
      </w:r>
      <w:r>
        <w:rPr>
          <w:sz w:val="21"/>
        </w:rPr>
        <mc:AlternateContent>
          <mc:Choice Requires="wps">
            <w:drawing>
              <wp:anchor distT="0" distB="0" distL="114300" distR="114300" simplePos="0" relativeHeight="251735040" behindDoc="0" locked="0" layoutInCell="1" allowOverlap="1">
                <wp:simplePos x="0" y="0"/>
                <wp:positionH relativeFrom="column">
                  <wp:posOffset>2329815</wp:posOffset>
                </wp:positionH>
                <wp:positionV relativeFrom="paragraph">
                  <wp:posOffset>4151630</wp:posOffset>
                </wp:positionV>
                <wp:extent cx="909320" cy="294005"/>
                <wp:effectExtent l="307975" t="0" r="0" b="0"/>
                <wp:wrapNone/>
                <wp:docPr id="181" name="文本框 181"/>
                <wp:cNvGraphicFramePr/>
                <a:graphic xmlns:a="http://schemas.openxmlformats.org/drawingml/2006/main">
                  <a:graphicData uri="http://schemas.microsoft.com/office/word/2010/wordprocessingShape">
                    <wps:wsp>
                      <wps:cNvSpPr txBox="1"/>
                      <wps:spPr>
                        <a:xfrm rot="3660000">
                          <a:off x="4773930" y="5606415"/>
                          <a:ext cx="909320"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B959CD">
                            <w:pPr>
                              <w:rPr>
                                <w:rFonts w:hint="default" w:ascii="华文楷体" w:hAnsi="华文楷体" w:eastAsia="华文楷体" w:cs="华文楷体"/>
                                <w:b/>
                                <w:bCs/>
                                <w:color w:val="1331F5"/>
                                <w:sz w:val="18"/>
                                <w:szCs w:val="18"/>
                                <w:lang w:val="en-US" w:eastAsia="zh-CN"/>
                              </w:rPr>
                            </w:pPr>
                            <w:r>
                              <w:rPr>
                                <w:rFonts w:hint="eastAsia" w:ascii="华文楷体" w:hAnsi="华文楷体" w:eastAsia="华文楷体" w:cs="华文楷体"/>
                                <w:b/>
                                <w:bCs/>
                                <w:color w:val="1331F5"/>
                                <w:sz w:val="18"/>
                                <w:szCs w:val="18"/>
                                <w:lang w:val="en-US" w:eastAsia="zh-CN"/>
                              </w:rPr>
                              <w:t>车辆冲洗平台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3.45pt;margin-top:326.9pt;height:23.15pt;width:71.6pt;rotation:3997696f;z-index:251735040;mso-width-relative:page;mso-height-relative:page;" filled="f" stroked="f" coordsize="21600,21600" o:gfxdata="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gyP692wAAAAsB&#10;AAAPAAAAAAAAAAEAIAAAACIAAABkcnMvZG93bnJldi54bWxQSwECFAAUAAAACACHTuJAxPUJb1EC&#10;AACDBAAADgAAAAAAAAABACAAAAAqAQAAZHJzL2Uyb0RvYy54bWxQSwUGAAAAAAYABgBZAQAA7QUA&#10;AAAA&#10;">
                <v:fill on="f" focussize="0,0"/>
                <v:stroke on="f" weight="0.5pt"/>
                <v:imagedata o:title=""/>
                <o:lock v:ext="edit" aspectratio="f"/>
                <v:textbox>
                  <w:txbxContent>
                    <w:p w14:paraId="69B959CD">
                      <w:pPr>
                        <w:rPr>
                          <w:rFonts w:hint="default" w:ascii="华文楷体" w:hAnsi="华文楷体" w:eastAsia="华文楷体" w:cs="华文楷体"/>
                          <w:b/>
                          <w:bCs/>
                          <w:color w:val="1331F5"/>
                          <w:sz w:val="18"/>
                          <w:szCs w:val="18"/>
                          <w:lang w:val="en-US" w:eastAsia="zh-CN"/>
                        </w:rPr>
                      </w:pPr>
                      <w:r>
                        <w:rPr>
                          <w:rFonts w:hint="eastAsia" w:ascii="华文楷体" w:hAnsi="华文楷体" w:eastAsia="华文楷体" w:cs="华文楷体"/>
                          <w:b/>
                          <w:bCs/>
                          <w:color w:val="1331F5"/>
                          <w:sz w:val="18"/>
                          <w:szCs w:val="18"/>
                          <w:lang w:val="en-US" w:eastAsia="zh-CN"/>
                        </w:rPr>
                        <w:t>车辆冲洗平台</w:t>
                      </w:r>
                    </w:p>
                  </w:txbxContent>
                </v:textbox>
              </v:shape>
            </w:pict>
          </mc:Fallback>
        </mc:AlternateContent>
      </w:r>
      <w:r>
        <w:rPr>
          <w:sz w:val="21"/>
        </w:rPr>
        <mc:AlternateContent>
          <mc:Choice Requires="wps">
            <w:drawing>
              <wp:anchor distT="0" distB="0" distL="114300" distR="114300" simplePos="0" relativeHeight="251734016" behindDoc="0" locked="0" layoutInCell="1" allowOverlap="1">
                <wp:simplePos x="0" y="0"/>
                <wp:positionH relativeFrom="column">
                  <wp:posOffset>2621280</wp:posOffset>
                </wp:positionH>
                <wp:positionV relativeFrom="paragraph">
                  <wp:posOffset>4085590</wp:posOffset>
                </wp:positionV>
                <wp:extent cx="239395" cy="345440"/>
                <wp:effectExtent l="78105" t="48260" r="88900" b="63500"/>
                <wp:wrapNone/>
                <wp:docPr id="180" name="矩形 180"/>
                <wp:cNvGraphicFramePr/>
                <a:graphic xmlns:a="http://schemas.openxmlformats.org/drawingml/2006/main">
                  <a:graphicData uri="http://schemas.microsoft.com/office/word/2010/wordprocessingShape">
                    <wps:wsp>
                      <wps:cNvSpPr/>
                      <wps:spPr>
                        <a:xfrm rot="19980000">
                          <a:off x="3563620" y="5560060"/>
                          <a:ext cx="239395" cy="345440"/>
                        </a:xfrm>
                        <a:prstGeom prst="rect">
                          <a:avLst/>
                        </a:prstGeom>
                        <a:noFill/>
                        <a:ln w="19050">
                          <a:solidFill>
                            <a:srgbClr val="92D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6.4pt;margin-top:321.7pt;height:27.2pt;width:18.85pt;rotation:-1769472f;z-index:251734016;v-text-anchor:middle;mso-width-relative:page;mso-height-relative:page;" filled="f" stroked="t" coordsize="21600,21600" o:gfxdata="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C4nFiX2wAAAAsBAAAPAAAAAAAAAAEA&#10;IAAAACIAAABkcnMvZG93bnJldi54bWxQSwECFAAUAAAACACHTuJA1T0Hr34CAADpBAAADgAAAAAA&#10;AAABACAAAAAqAQAAZHJzL2Uyb0RvYy54bWxQSwUGAAAAAAYABgBZAQAAGgYAAAAA&#10;">
                <v:fill on="f" focussize="0,0"/>
                <v:stroke weight="1.5pt" color="#92D050 [2404]" miterlimit="8" joinstyle="miter"/>
                <v:imagedata o:title=""/>
                <o:lock v:ext="edit" aspectratio="f"/>
              </v:rect>
            </w:pict>
          </mc:Fallback>
        </mc:AlternateContent>
      </w:r>
      <w:r>
        <w:rPr>
          <w:sz w:val="21"/>
        </w:rPr>
        <mc:AlternateContent>
          <mc:Choice Requires="wps">
            <w:drawing>
              <wp:anchor distT="0" distB="0" distL="114300" distR="114300" simplePos="0" relativeHeight="251719680" behindDoc="0" locked="0" layoutInCell="1" allowOverlap="1">
                <wp:simplePos x="0" y="0"/>
                <wp:positionH relativeFrom="column">
                  <wp:posOffset>3453130</wp:posOffset>
                </wp:positionH>
                <wp:positionV relativeFrom="paragraph">
                  <wp:posOffset>2701925</wp:posOffset>
                </wp:positionV>
                <wp:extent cx="744220" cy="265430"/>
                <wp:effectExtent l="0" t="0" r="0" b="0"/>
                <wp:wrapNone/>
                <wp:docPr id="157" name="文本框 157"/>
                <wp:cNvGraphicFramePr/>
                <a:graphic xmlns:a="http://schemas.openxmlformats.org/drawingml/2006/main">
                  <a:graphicData uri="http://schemas.microsoft.com/office/word/2010/wordprocessingShape">
                    <wps:wsp>
                      <wps:cNvSpPr txBox="1"/>
                      <wps:spPr>
                        <a:xfrm rot="19800000">
                          <a:off x="4069080" y="4535170"/>
                          <a:ext cx="744220" cy="2654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A8B59D">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原料堆棚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1.9pt;margin-top:212.75pt;height:20.9pt;width:58.6pt;rotation:-1966080f;z-index:251719680;mso-width-relative:page;mso-height-relative:page;" filled="f" stroked="f" coordsize="21600,21600" o:gfxdata="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DoEB3vbAAAACwEA&#10;AA8AAAAAAAAAAQAgAAAAIgAAAGRycy9kb3ducmV2LnhtbFBLAQIUABQAAAAIAIdO4kCP+wLhUAIA&#10;AIQEAAAOAAAAAAAAAAEAIAAAACoBAABkcnMvZTJvRG9jLnhtbFBLBQYAAAAABgAGAFkBAADsBQAA&#10;AAA=&#10;">
                <v:fill on="f" focussize="0,0"/>
                <v:stroke on="f" weight="0.5pt"/>
                <v:imagedata o:title=""/>
                <o:lock v:ext="edit" aspectratio="f"/>
                <v:textbox>
                  <w:txbxContent>
                    <w:p w14:paraId="5CA8B59D">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原料堆棚</w:t>
                      </w:r>
                    </w:p>
                  </w:txbxContent>
                </v:textbox>
              </v:shape>
            </w:pict>
          </mc:Fallback>
        </mc:AlternateContent>
      </w:r>
      <w:r>
        <w:rPr>
          <w:sz w:val="21"/>
        </w:rPr>
        <mc:AlternateContent>
          <mc:Choice Requires="wps">
            <w:drawing>
              <wp:anchor distT="0" distB="0" distL="114300" distR="114300" simplePos="0" relativeHeight="251718656" behindDoc="0" locked="0" layoutInCell="1" allowOverlap="1">
                <wp:simplePos x="0" y="0"/>
                <wp:positionH relativeFrom="column">
                  <wp:posOffset>3381375</wp:posOffset>
                </wp:positionH>
                <wp:positionV relativeFrom="paragraph">
                  <wp:posOffset>2624455</wp:posOffset>
                </wp:positionV>
                <wp:extent cx="861695" cy="470535"/>
                <wp:effectExtent l="68580" t="183515" r="85725" b="184150"/>
                <wp:wrapNone/>
                <wp:docPr id="153" name="矩形 153"/>
                <wp:cNvGraphicFramePr/>
                <a:graphic xmlns:a="http://schemas.openxmlformats.org/drawingml/2006/main">
                  <a:graphicData uri="http://schemas.microsoft.com/office/word/2010/wordprocessingShape">
                    <wps:wsp>
                      <wps:cNvSpPr/>
                      <wps:spPr>
                        <a:xfrm rot="19920000">
                          <a:off x="4112895" y="3670935"/>
                          <a:ext cx="861695" cy="470535"/>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6.25pt;margin-top:206.65pt;height:37.05pt;width:67.85pt;rotation:-1835008f;z-index:251718656;v-text-anchor:middle;mso-width-relative:page;mso-height-relative:page;" filled="f" stroked="t" coordsize="21600,21600" o:gfxdata="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U1FQ&#10;SdoAAAALAQAADwAAAAAAAAABACAAAAAiAAAAZHJzL2Rvd25yZXYueG1sUEsBAhQAFAAAAAgAh07i&#10;QLqln/+SAgAACwUAAA4AAAAAAAAAAQAgAAAAKQEAAGRycy9lMm9Eb2MueG1sUEsFBgAAAAAGAAYA&#10;WQEAAC0GAAAAAA==&#10;">
                <v:fill on="f" focussize="0,0"/>
                <v:stroke weight="1pt" color="#2E75B6 [2404]" miterlimit="8" joinstyle="miter"/>
                <v:imagedata o:title=""/>
                <o:lock v:ext="edit" aspectratio="f"/>
              </v:rect>
            </w:pict>
          </mc:Fallback>
        </mc:AlternateContent>
      </w:r>
      <w:r>
        <w:rPr>
          <w:sz w:val="21"/>
        </w:rPr>
        <mc:AlternateContent>
          <mc:Choice Requires="wps">
            <w:drawing>
              <wp:anchor distT="0" distB="0" distL="114300" distR="114300" simplePos="0" relativeHeight="251730944" behindDoc="0" locked="0" layoutInCell="1" allowOverlap="1">
                <wp:simplePos x="0" y="0"/>
                <wp:positionH relativeFrom="column">
                  <wp:posOffset>2383155</wp:posOffset>
                </wp:positionH>
                <wp:positionV relativeFrom="paragraph">
                  <wp:posOffset>2893695</wp:posOffset>
                </wp:positionV>
                <wp:extent cx="897255" cy="259080"/>
                <wp:effectExtent l="0" t="0" r="0" b="0"/>
                <wp:wrapNone/>
                <wp:docPr id="177" name="文本框 177"/>
                <wp:cNvGraphicFramePr/>
                <a:graphic xmlns:a="http://schemas.openxmlformats.org/drawingml/2006/main">
                  <a:graphicData uri="http://schemas.microsoft.com/office/word/2010/wordprocessingShape">
                    <wps:wsp>
                      <wps:cNvSpPr txBox="1"/>
                      <wps:spPr>
                        <a:xfrm rot="20040000">
                          <a:off x="4082415" y="5033645"/>
                          <a:ext cx="897255" cy="2590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9EDE99">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有机热载体炉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7.65pt;margin-top:227.85pt;height:20.4pt;width:70.65pt;rotation:-1703936f;z-index:251730944;mso-width-relative:page;mso-height-relative:page;" filled="f" stroked="f" coordsize="21600,21600" o:gfxdata="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pbhdl9oAAAAL&#10;AQAADwAAAAAAAAABACAAAAAiAAAAZHJzL2Rvd25yZXYueG1sUEsBAhQAFAAAAAgAh07iQLSfHtNT&#10;AgAAhAQAAA4AAAAAAAAAAQAgAAAAKQEAAGRycy9lMm9Eb2MueG1sUEsFBgAAAAAGAAYAWQEAAO4F&#10;AAAAAA==&#10;">
                <v:fill on="f" focussize="0,0"/>
                <v:stroke on="f" weight="0.5pt"/>
                <v:imagedata o:title=""/>
                <o:lock v:ext="edit" aspectratio="f"/>
                <v:textbox>
                  <w:txbxContent>
                    <w:p w14:paraId="259EDE99">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有机热载体炉</w:t>
                      </w:r>
                    </w:p>
                  </w:txbxContent>
                </v:textbox>
              </v:shape>
            </w:pict>
          </mc:Fallback>
        </mc:AlternateContent>
      </w:r>
      <w:r>
        <w:rPr>
          <w:sz w:val="21"/>
        </w:rPr>
        <mc:AlternateContent>
          <mc:Choice Requires="wps">
            <w:drawing>
              <wp:anchor distT="0" distB="0" distL="114300" distR="114300" simplePos="0" relativeHeight="251729920" behindDoc="0" locked="0" layoutInCell="1" allowOverlap="1">
                <wp:simplePos x="0" y="0"/>
                <wp:positionH relativeFrom="column">
                  <wp:posOffset>2423795</wp:posOffset>
                </wp:positionH>
                <wp:positionV relativeFrom="paragraph">
                  <wp:posOffset>2946400</wp:posOffset>
                </wp:positionV>
                <wp:extent cx="796290" cy="207010"/>
                <wp:effectExtent l="12065" t="177800" r="29845" b="199390"/>
                <wp:wrapNone/>
                <wp:docPr id="176" name="矩形 176"/>
                <wp:cNvGraphicFramePr/>
                <a:graphic xmlns:a="http://schemas.openxmlformats.org/drawingml/2006/main">
                  <a:graphicData uri="http://schemas.microsoft.com/office/word/2010/wordprocessingShape">
                    <wps:wsp>
                      <wps:cNvSpPr/>
                      <wps:spPr>
                        <a:xfrm rot="19980000">
                          <a:off x="3197860" y="4914265"/>
                          <a:ext cx="796290" cy="207010"/>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0.85pt;margin-top:232pt;height:16.3pt;width:62.7pt;rotation:-1769472f;z-index:251729920;v-text-anchor:middle;mso-width-relative:page;mso-height-relative:page;" filled="f" stroked="t" coordsize="21600,21600" o:gfxdata="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Auhf5C&#10;2gAAAAsBAAAPAAAAAAAAAAEAIAAAACIAAABkcnMvZG93bnJldi54bWxQSwECFAAUAAAACACHTuJA&#10;SO2MRJECAAALBQAADgAAAAAAAAABACAAAAApAQAAZHJzL2Uyb0RvYy54bWxQSwUGAAAAAAYABgBZ&#10;AQAALAYAAAAA&#10;">
                <v:fill on="f" focussize="0,0"/>
                <v:stroke weight="1pt" color="#2E75B6 [2404]" miterlimit="8" joinstyle="miter"/>
                <v:imagedata o:title=""/>
                <o:lock v:ext="edit" aspectratio="f"/>
              </v:rect>
            </w:pict>
          </mc:Fallback>
        </mc:AlternateContent>
      </w:r>
      <w:r>
        <w:rPr>
          <w:sz w:val="21"/>
        </w:rPr>
        <mc:AlternateContent>
          <mc:Choice Requires="wps">
            <w:drawing>
              <wp:anchor distT="0" distB="0" distL="114300" distR="114300" simplePos="0" relativeHeight="251723776" behindDoc="0" locked="0" layoutInCell="1" allowOverlap="1">
                <wp:simplePos x="0" y="0"/>
                <wp:positionH relativeFrom="column">
                  <wp:posOffset>3288030</wp:posOffset>
                </wp:positionH>
                <wp:positionV relativeFrom="paragraph">
                  <wp:posOffset>2343785</wp:posOffset>
                </wp:positionV>
                <wp:extent cx="672465" cy="154305"/>
                <wp:effectExtent l="5715" t="157480" r="7620" b="170815"/>
                <wp:wrapNone/>
                <wp:docPr id="168" name="矩形 168"/>
                <wp:cNvGraphicFramePr/>
                <a:graphic xmlns:a="http://schemas.openxmlformats.org/drawingml/2006/main">
                  <a:graphicData uri="http://schemas.microsoft.com/office/word/2010/wordprocessingShape">
                    <wps:wsp>
                      <wps:cNvSpPr/>
                      <wps:spPr>
                        <a:xfrm rot="19920000">
                          <a:off x="4334510" y="3850005"/>
                          <a:ext cx="672465" cy="154305"/>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8.9pt;margin-top:184.55pt;height:12.15pt;width:52.95pt;rotation:-1835008f;z-index:251723776;v-text-anchor:middle;mso-width-relative:page;mso-height-relative:page;" filled="f" stroked="t" coordsize="21600,21600" o:gfxdata="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h5X&#10;GtwAAAALAQAADwAAAAAAAAABACAAAAAiAAAAZHJzL2Rvd25yZXYueG1sUEsBAhQAFAAAAAgAh07i&#10;QDOfg3GQAgAACwUAAA4AAAAAAAAAAQAgAAAAKwEAAGRycy9lMm9Eb2MueG1sUEsFBgAAAAAGAAYA&#10;WQEAAC0GAAAAAA==&#10;">
                <v:fill on="f" focussize="0,0"/>
                <v:stroke weight="1pt" color="#2E75B6 [2404]" miterlimit="8" joinstyle="miter"/>
                <v:imagedata o:title=""/>
                <o:lock v:ext="edit" aspectratio="f"/>
              </v:rect>
            </w:pict>
          </mc:Fallback>
        </mc:AlternateContent>
      </w:r>
      <w:r>
        <w:rPr>
          <w:sz w:val="21"/>
        </w:rPr>
        <mc:AlternateContent>
          <mc:Choice Requires="wps">
            <w:drawing>
              <wp:anchor distT="0" distB="0" distL="114300" distR="114300" simplePos="0" relativeHeight="251728896" behindDoc="0" locked="0" layoutInCell="1" allowOverlap="1">
                <wp:simplePos x="0" y="0"/>
                <wp:positionH relativeFrom="column">
                  <wp:posOffset>2383155</wp:posOffset>
                </wp:positionH>
                <wp:positionV relativeFrom="paragraph">
                  <wp:posOffset>1228090</wp:posOffset>
                </wp:positionV>
                <wp:extent cx="502285" cy="435610"/>
                <wp:effectExtent l="0" t="0" r="0" b="0"/>
                <wp:wrapNone/>
                <wp:docPr id="175" name="文本框 175"/>
                <wp:cNvGraphicFramePr/>
                <a:graphic xmlns:a="http://schemas.openxmlformats.org/drawingml/2006/main">
                  <a:graphicData uri="http://schemas.microsoft.com/office/word/2010/wordprocessingShape">
                    <wps:wsp>
                      <wps:cNvSpPr txBox="1"/>
                      <wps:spPr>
                        <a:xfrm rot="20040000">
                          <a:off x="3663315" y="5180330"/>
                          <a:ext cx="502285" cy="4356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B6A000">
                            <w:pPr>
                              <w:rPr>
                                <w:rFonts w:hint="eastAsia" w:ascii="华文楷体" w:hAnsi="华文楷体" w:eastAsia="华文楷体" w:cs="华文楷体"/>
                                <w:b/>
                                <w:bCs/>
                                <w:color w:val="1331F5"/>
                                <w:sz w:val="13"/>
                                <w:szCs w:val="13"/>
                                <w:lang w:val="en-US" w:eastAsia="zh-CN"/>
                              </w:rPr>
                            </w:pPr>
                            <w:r>
                              <w:rPr>
                                <w:rFonts w:hint="eastAsia" w:ascii="华文楷体" w:hAnsi="华文楷体" w:eastAsia="华文楷体" w:cs="华文楷体"/>
                                <w:b/>
                                <w:bCs/>
                                <w:color w:val="1331F5"/>
                                <w:sz w:val="13"/>
                                <w:szCs w:val="13"/>
                                <w:lang w:val="en-US" w:eastAsia="zh-CN"/>
                              </w:rPr>
                              <w:t>隔油池、化粪池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7.65pt;margin-top:96.7pt;height:34.3pt;width:39.55pt;rotation:-1703936f;z-index:251728896;mso-width-relative:page;mso-height-relative:page;" filled="f" stroked="f" coordsize="21600,21600" o:gfxdata="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M7YkpdoAAAALAQAA&#10;DwAAAAAAAAABACAAAAAiAAAAZHJzL2Rvd25yZXYueG1sUEsBAhQAFAAAAAgAh07iQFL3rRNQAgAA&#10;hAQAAA4AAAAAAAAAAQAgAAAAKQEAAGRycy9lMm9Eb2MueG1sUEsFBgAAAAAGAAYAWQEAAOsFAAAA&#10;AA==&#10;">
                <v:fill on="f" focussize="0,0"/>
                <v:stroke on="f" weight="0.5pt"/>
                <v:imagedata o:title=""/>
                <o:lock v:ext="edit" aspectratio="f"/>
                <v:textbox>
                  <w:txbxContent>
                    <w:p w14:paraId="63B6A000">
                      <w:pPr>
                        <w:rPr>
                          <w:rFonts w:hint="eastAsia" w:ascii="华文楷体" w:hAnsi="华文楷体" w:eastAsia="华文楷体" w:cs="华文楷体"/>
                          <w:b/>
                          <w:bCs/>
                          <w:color w:val="1331F5"/>
                          <w:sz w:val="13"/>
                          <w:szCs w:val="13"/>
                          <w:lang w:val="en-US" w:eastAsia="zh-CN"/>
                        </w:rPr>
                      </w:pPr>
                      <w:r>
                        <w:rPr>
                          <w:rFonts w:hint="eastAsia" w:ascii="华文楷体" w:hAnsi="华文楷体" w:eastAsia="华文楷体" w:cs="华文楷体"/>
                          <w:b/>
                          <w:bCs/>
                          <w:color w:val="1331F5"/>
                          <w:sz w:val="13"/>
                          <w:szCs w:val="13"/>
                          <w:lang w:val="en-US" w:eastAsia="zh-CN"/>
                        </w:rPr>
                        <w:t>隔油池、化粪池</w:t>
                      </w:r>
                    </w:p>
                  </w:txbxContent>
                </v:textbox>
              </v:shape>
            </w:pict>
          </mc:Fallback>
        </mc:AlternateContent>
      </w:r>
      <w:r>
        <w:rPr>
          <w:sz w:val="21"/>
        </w:rPr>
        <mc:AlternateContent>
          <mc:Choice Requires="wps">
            <w:drawing>
              <wp:anchor distT="0" distB="0" distL="114300" distR="114300" simplePos="0" relativeHeight="251727872" behindDoc="0" locked="0" layoutInCell="1" allowOverlap="1">
                <wp:simplePos x="0" y="0"/>
                <wp:positionH relativeFrom="column">
                  <wp:posOffset>2449195</wp:posOffset>
                </wp:positionH>
                <wp:positionV relativeFrom="paragraph">
                  <wp:posOffset>1351280</wp:posOffset>
                </wp:positionV>
                <wp:extent cx="273050" cy="251460"/>
                <wp:effectExtent l="9525" t="9525" r="22225" b="18415"/>
                <wp:wrapNone/>
                <wp:docPr id="174" name="椭圆 174"/>
                <wp:cNvGraphicFramePr/>
                <a:graphic xmlns:a="http://schemas.openxmlformats.org/drawingml/2006/main">
                  <a:graphicData uri="http://schemas.microsoft.com/office/word/2010/wordprocessingShape">
                    <wps:wsp>
                      <wps:cNvSpPr/>
                      <wps:spPr>
                        <a:xfrm>
                          <a:off x="3543300" y="2759710"/>
                          <a:ext cx="273050" cy="251460"/>
                        </a:xfrm>
                        <a:prstGeom prst="ellipse">
                          <a:avLst/>
                        </a:prstGeom>
                        <a:noFill/>
                        <a:ln w="19050">
                          <a:solidFill>
                            <a:srgbClr val="92D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92.85pt;margin-top:106.4pt;height:19.8pt;width:21.5pt;z-index:251727872;v-text-anchor:middle;mso-width-relative:page;mso-height-relative:page;" filled="f" stroked="t" coordsize="21600,21600" o:gfxdata="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B425k72wAAAAsBAAAPAAAAAAAAAAEAIAAAACIA&#10;AABkcnMvZG93bnJldi54bWxQSwECFAAUAAAACACHTuJAUE2y23gCAADdBAAADgAAAAAAAAABACAA&#10;AAAqAQAAZHJzL2Uyb0RvYy54bWxQSwUGAAAAAAYABgBZAQAAFAYAAAAA&#10;">
                <v:fill on="f" focussize="0,0"/>
                <v:stroke weight="1.5pt" color="#92D050 [2404]" miterlimit="8" joinstyle="miter"/>
                <v:imagedata o:title=""/>
                <o:lock v:ext="edit" aspectratio="f"/>
              </v:shape>
            </w:pict>
          </mc:Fallback>
        </mc:AlternateContent>
      </w:r>
      <w:r>
        <w:rPr>
          <w:sz w:val="21"/>
        </w:rPr>
        <mc:AlternateContent>
          <mc:Choice Requires="wps">
            <w:drawing>
              <wp:anchor distT="0" distB="0" distL="114300" distR="114300" simplePos="0" relativeHeight="251726848" behindDoc="0" locked="0" layoutInCell="1" allowOverlap="1">
                <wp:simplePos x="0" y="0"/>
                <wp:positionH relativeFrom="column">
                  <wp:posOffset>3160395</wp:posOffset>
                </wp:positionH>
                <wp:positionV relativeFrom="paragraph">
                  <wp:posOffset>1010920</wp:posOffset>
                </wp:positionV>
                <wp:extent cx="694690" cy="447040"/>
                <wp:effectExtent l="123825" t="0" r="0" b="0"/>
                <wp:wrapNone/>
                <wp:docPr id="173" name="文本框 173"/>
                <wp:cNvGraphicFramePr/>
                <a:graphic xmlns:a="http://schemas.openxmlformats.org/drawingml/2006/main">
                  <a:graphicData uri="http://schemas.microsoft.com/office/word/2010/wordprocessingShape">
                    <wps:wsp>
                      <wps:cNvSpPr txBox="1"/>
                      <wps:spPr>
                        <a:xfrm rot="3540000">
                          <a:off x="4281805" y="5027295"/>
                          <a:ext cx="694690" cy="4470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D99585">
                            <w:pPr>
                              <w:rPr>
                                <w:rFonts w:hint="eastAsia" w:ascii="华文楷体" w:hAnsi="华文楷体" w:eastAsia="华文楷体" w:cs="华文楷体"/>
                                <w:b/>
                                <w:bCs/>
                                <w:color w:val="1331F5"/>
                                <w:sz w:val="13"/>
                                <w:szCs w:val="13"/>
                                <w:lang w:val="en-US" w:eastAsia="zh-CN"/>
                              </w:rPr>
                            </w:pPr>
                            <w:r>
                              <w:rPr>
                                <w:rFonts w:hint="eastAsia" w:ascii="华文楷体" w:hAnsi="华文楷体" w:eastAsia="华文楷体" w:cs="华文楷体"/>
                                <w:b/>
                                <w:bCs/>
                                <w:color w:val="1331F5"/>
                                <w:sz w:val="13"/>
                                <w:szCs w:val="13"/>
                                <w:lang w:val="en-US" w:eastAsia="zh-CN"/>
                              </w:rPr>
                              <w:t>一般工业固体废物暂存间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8.85pt;margin-top:79.6pt;height:35.2pt;width:54.7pt;rotation:3866624f;z-index:251726848;mso-width-relative:page;mso-height-relative:page;" filled="f" stroked="f" coordsize="21600,21600" o:gfxdata="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M3IhA3ZAAAACwEA&#10;AA8AAAAAAAAAAQAgAAAAIgAAAGRycy9kb3ducmV2LnhtbFBLAQIUABQAAAAIAIdO4kBzEO5rUgIA&#10;AIMEAAAOAAAAAAAAAAEAIAAAACgBAABkcnMvZTJvRG9jLnhtbFBLBQYAAAAABgAGAFkBAADsBQAA&#10;AAA=&#10;">
                <v:fill on="f" focussize="0,0"/>
                <v:stroke on="f" weight="0.5pt"/>
                <v:imagedata o:title=""/>
                <o:lock v:ext="edit" aspectratio="f"/>
                <v:textbox>
                  <w:txbxContent>
                    <w:p w14:paraId="33D99585">
                      <w:pPr>
                        <w:rPr>
                          <w:rFonts w:hint="eastAsia" w:ascii="华文楷体" w:hAnsi="华文楷体" w:eastAsia="华文楷体" w:cs="华文楷体"/>
                          <w:b/>
                          <w:bCs/>
                          <w:color w:val="1331F5"/>
                          <w:sz w:val="13"/>
                          <w:szCs w:val="13"/>
                          <w:lang w:val="en-US" w:eastAsia="zh-CN"/>
                        </w:rPr>
                      </w:pPr>
                      <w:r>
                        <w:rPr>
                          <w:rFonts w:hint="eastAsia" w:ascii="华文楷体" w:hAnsi="华文楷体" w:eastAsia="华文楷体" w:cs="华文楷体"/>
                          <w:b/>
                          <w:bCs/>
                          <w:color w:val="1331F5"/>
                          <w:sz w:val="13"/>
                          <w:szCs w:val="13"/>
                          <w:lang w:val="en-US" w:eastAsia="zh-CN"/>
                        </w:rPr>
                        <w:t>一般工业固体废物暂存间</w:t>
                      </w:r>
                    </w:p>
                  </w:txbxContent>
                </v:textbox>
              </v:shape>
            </w:pict>
          </mc:Fallback>
        </mc:AlternateContent>
      </w:r>
      <w:r>
        <w:rPr>
          <w:sz w:val="21"/>
        </w:rPr>
        <mc:AlternateContent>
          <mc:Choice Requires="wps">
            <w:drawing>
              <wp:anchor distT="0" distB="0" distL="114300" distR="114300" simplePos="0" relativeHeight="251725824" behindDoc="0" locked="0" layoutInCell="1" allowOverlap="1">
                <wp:simplePos x="0" y="0"/>
                <wp:positionH relativeFrom="column">
                  <wp:posOffset>3305175</wp:posOffset>
                </wp:positionH>
                <wp:positionV relativeFrom="paragraph">
                  <wp:posOffset>1046480</wp:posOffset>
                </wp:positionV>
                <wp:extent cx="276860" cy="238125"/>
                <wp:effectExtent l="64135" t="52705" r="78740" b="76835"/>
                <wp:wrapNone/>
                <wp:docPr id="172" name="矩形 172"/>
                <wp:cNvGraphicFramePr/>
                <a:graphic xmlns:a="http://schemas.openxmlformats.org/drawingml/2006/main">
                  <a:graphicData uri="http://schemas.microsoft.com/office/word/2010/wordprocessingShape">
                    <wps:wsp>
                      <wps:cNvSpPr/>
                      <wps:spPr>
                        <a:xfrm rot="3720000">
                          <a:off x="4401185" y="2506980"/>
                          <a:ext cx="276860" cy="238125"/>
                        </a:xfrm>
                        <a:prstGeom prst="rect">
                          <a:avLst/>
                        </a:prstGeom>
                        <a:noFill/>
                        <a:ln w="19050">
                          <a:solidFill>
                            <a:srgbClr val="92D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0.25pt;margin-top:82.4pt;height:18.75pt;width:21.8pt;rotation:4063232f;z-index:251725824;v-text-anchor:middle;mso-width-relative:page;mso-height-relative:page;" filled="f" stroked="t" coordsize="21600,21600" o:gfxdata="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CZyB+q2wAAAAsBAAAPAAAAAAAA&#10;AAEAIAAAACIAAABkcnMvZG93bnJldi54bWxQSwECFAAUAAAACACHTuJAz08j94ECAADoBAAADgAA&#10;AAAAAAABACAAAAAqAQAAZHJzL2Uyb0RvYy54bWxQSwUGAAAAAAYABgBZAQAAHQYAAAAA&#10;">
                <v:fill on="f" focussize="0,0"/>
                <v:stroke weight="1.5pt" color="#92D050 [2404]" miterlimit="8" joinstyle="miter"/>
                <v:imagedata o:title=""/>
                <o:lock v:ext="edit" aspectratio="f"/>
              </v:rect>
            </w:pict>
          </mc:Fallback>
        </mc:AlternateContent>
      </w:r>
      <w:r>
        <w:rPr>
          <w:sz w:val="21"/>
        </w:rPr>
        <mc:AlternateContent>
          <mc:Choice Requires="wps">
            <w:drawing>
              <wp:anchor distT="0" distB="0" distL="114300" distR="114300" simplePos="0" relativeHeight="251724800" behindDoc="0" locked="0" layoutInCell="1" allowOverlap="1">
                <wp:simplePos x="0" y="0"/>
                <wp:positionH relativeFrom="column">
                  <wp:posOffset>3340100</wp:posOffset>
                </wp:positionH>
                <wp:positionV relativeFrom="paragraph">
                  <wp:posOffset>2282190</wp:posOffset>
                </wp:positionV>
                <wp:extent cx="532765" cy="254635"/>
                <wp:effectExtent l="0" t="0" r="0" b="0"/>
                <wp:wrapNone/>
                <wp:docPr id="170" name="文本框 170"/>
                <wp:cNvGraphicFramePr/>
                <a:graphic xmlns:a="http://schemas.openxmlformats.org/drawingml/2006/main">
                  <a:graphicData uri="http://schemas.microsoft.com/office/word/2010/wordprocessingShape">
                    <wps:wsp>
                      <wps:cNvSpPr txBox="1"/>
                      <wps:spPr>
                        <a:xfrm rot="20040000">
                          <a:off x="3882390" y="5233035"/>
                          <a:ext cx="532765" cy="2546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861642">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冷料仓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3pt;margin-top:179.7pt;height:20.05pt;width:41.95pt;rotation:-1703936f;z-index:251724800;mso-width-relative:page;mso-height-relative:page;" filled="f" stroked="f" coordsize="21600,21600" o:gfxdata="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vMFfd2QAAAAsBAAAP&#10;AAAAAAAAAAEAIAAAACIAAABkcnMvZG93bnJldi54bWxQSwECFAAUAAAACACHTuJAvAX9AlACAACE&#10;BAAADgAAAAAAAAABACAAAAAoAQAAZHJzL2Uyb0RvYy54bWxQSwUGAAAAAAYABgBZAQAA6gUAAAAA&#10;">
                <v:fill on="f" focussize="0,0"/>
                <v:stroke on="f" weight="0.5pt"/>
                <v:imagedata o:title=""/>
                <o:lock v:ext="edit" aspectratio="f"/>
                <v:textbox>
                  <w:txbxContent>
                    <w:p w14:paraId="71861642">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冷料仓</w:t>
                      </w:r>
                    </w:p>
                  </w:txbxContent>
                </v:textbox>
              </v:shape>
            </w:pict>
          </mc:Fallback>
        </mc:AlternateContent>
      </w:r>
      <w:r>
        <w:rPr>
          <w:sz w:val="21"/>
        </w:rPr>
        <mc:AlternateContent>
          <mc:Choice Requires="wps">
            <w:drawing>
              <wp:anchor distT="0" distB="0" distL="114300" distR="114300" simplePos="0" relativeHeight="251722752" behindDoc="0" locked="0" layoutInCell="1" allowOverlap="1">
                <wp:simplePos x="0" y="0"/>
                <wp:positionH relativeFrom="column">
                  <wp:posOffset>1791335</wp:posOffset>
                </wp:positionH>
                <wp:positionV relativeFrom="paragraph">
                  <wp:posOffset>2070100</wp:posOffset>
                </wp:positionV>
                <wp:extent cx="725170" cy="280035"/>
                <wp:effectExtent l="222885" t="0" r="0" b="0"/>
                <wp:wrapNone/>
                <wp:docPr id="167" name="文本框 167"/>
                <wp:cNvGraphicFramePr/>
                <a:graphic xmlns:a="http://schemas.openxmlformats.org/drawingml/2006/main">
                  <a:graphicData uri="http://schemas.microsoft.com/office/word/2010/wordprocessingShape">
                    <wps:wsp>
                      <wps:cNvSpPr txBox="1"/>
                      <wps:spPr>
                        <a:xfrm rot="3660000">
                          <a:off x="3916045" y="4747895"/>
                          <a:ext cx="725170" cy="2800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2CE89">
                            <w:pPr>
                              <w:rPr>
                                <w:rFonts w:hint="eastAsia" w:ascii="华文楷体" w:hAnsi="华文楷体" w:eastAsia="华文楷体" w:cs="华文楷体"/>
                                <w:color w:val="FFFF00"/>
                                <w:lang w:val="en-US" w:eastAsia="zh-CN"/>
                              </w:rPr>
                            </w:pPr>
                            <w:r>
                              <w:rPr>
                                <w:rFonts w:hint="eastAsia" w:ascii="华文楷体" w:hAnsi="华文楷体" w:eastAsia="华文楷体" w:cs="华文楷体"/>
                                <w:color w:val="FFFF00"/>
                                <w:lang w:val="en-US" w:eastAsia="zh-CN"/>
                              </w:rPr>
                              <w:t>沥青储罐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05pt;margin-top:163pt;height:22.05pt;width:57.1pt;rotation:3997696f;z-index:251722752;mso-width-relative:page;mso-height-relative:page;" filled="f" stroked="f" coordsize="21600,21600" o:gfxdata="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WA04QdwAAAAL&#10;AQAADwAAAAAAAAABACAAAAAiAAAAZHJzL2Rvd25yZXYueG1sUEsBAhQAFAAAAAgAh07iQGcMWwJR&#10;AgAAgwQAAA4AAAAAAAAAAQAgAAAAKwEAAGRycy9lMm9Eb2MueG1sUEsFBgAAAAAGAAYAWQEAAO4F&#10;AAAAAA==&#10;">
                <v:fill on="f" focussize="0,0"/>
                <v:stroke on="f" weight="0.5pt"/>
                <v:imagedata o:title=""/>
                <o:lock v:ext="edit" aspectratio="f"/>
                <v:textbox>
                  <w:txbxContent>
                    <w:p w14:paraId="4FC2CE89">
                      <w:pPr>
                        <w:rPr>
                          <w:rFonts w:hint="eastAsia" w:ascii="华文楷体" w:hAnsi="华文楷体" w:eastAsia="华文楷体" w:cs="华文楷体"/>
                          <w:color w:val="FFFF00"/>
                          <w:lang w:val="en-US" w:eastAsia="zh-CN"/>
                        </w:rPr>
                      </w:pPr>
                      <w:r>
                        <w:rPr>
                          <w:rFonts w:hint="eastAsia" w:ascii="华文楷体" w:hAnsi="华文楷体" w:eastAsia="华文楷体" w:cs="华文楷体"/>
                          <w:color w:val="FFFF00"/>
                          <w:lang w:val="en-US" w:eastAsia="zh-CN"/>
                        </w:rPr>
                        <w:t>沥青储罐</w:t>
                      </w:r>
                    </w:p>
                  </w:txbxContent>
                </v:textbox>
              </v:shape>
            </w:pict>
          </mc:Fallback>
        </mc:AlternateContent>
      </w:r>
      <w:r>
        <w:rPr>
          <w:sz w:val="21"/>
        </w:rPr>
        <mc:AlternateContent>
          <mc:Choice Requires="wps">
            <w:drawing>
              <wp:anchor distT="0" distB="0" distL="114300" distR="114300" simplePos="0" relativeHeight="251721728" behindDoc="0" locked="0" layoutInCell="1" allowOverlap="1">
                <wp:simplePos x="0" y="0"/>
                <wp:positionH relativeFrom="column">
                  <wp:posOffset>2690495</wp:posOffset>
                </wp:positionH>
                <wp:positionV relativeFrom="paragraph">
                  <wp:posOffset>2295525</wp:posOffset>
                </wp:positionV>
                <wp:extent cx="300990" cy="539750"/>
                <wp:effectExtent l="47625" t="114935" r="47625" b="117475"/>
                <wp:wrapNone/>
                <wp:docPr id="163" name="矩形 163"/>
                <wp:cNvGraphicFramePr/>
                <a:graphic xmlns:a="http://schemas.openxmlformats.org/drawingml/2006/main">
                  <a:graphicData uri="http://schemas.microsoft.com/office/word/2010/wordprocessingShape">
                    <wps:wsp>
                      <wps:cNvSpPr/>
                      <wps:spPr>
                        <a:xfrm rot="3780000">
                          <a:off x="3616960" y="4096385"/>
                          <a:ext cx="300990" cy="539750"/>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1.85pt;margin-top:180.75pt;height:42.5pt;width:23.7pt;rotation:4128768f;z-index:251721728;v-text-anchor:middle;mso-width-relative:page;mso-height-relative:page;" filled="f" stroked="t" coordsize="21600,21600" o:gfxdata="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MbrOiNoA&#10;AAALAQAADwAAAAAAAAABACAAAAAiAAAAZHJzL2Rvd25yZXYueG1sUEsBAhQAFAAAAAgAh07iQCxA&#10;MTOPAgAACgUAAA4AAAAAAAAAAQAgAAAAKQEAAGRycy9lMm9Eb2MueG1sUEsFBgAAAAAGAAYAWQEA&#10;ACoGAAAAAA==&#10;">
                <v:fill on="f" focussize="0,0"/>
                <v:stroke weight="1pt" color="#2E75B6 [2404]" miterlimit="8" joinstyle="miter"/>
                <v:imagedata o:title=""/>
                <o:lock v:ext="edit" aspectratio="f"/>
              </v:rect>
            </w:pict>
          </mc:Fallback>
        </mc:AlternateContent>
      </w:r>
      <w:r>
        <w:rPr>
          <w:sz w:val="21"/>
        </w:rPr>
        <mc:AlternateContent>
          <mc:Choice Requires="wps">
            <w:drawing>
              <wp:anchor distT="0" distB="0" distL="114300" distR="114300" simplePos="0" relativeHeight="251720704" behindDoc="0" locked="0" layoutInCell="1" allowOverlap="1">
                <wp:simplePos x="0" y="0"/>
                <wp:positionH relativeFrom="column">
                  <wp:posOffset>2651125</wp:posOffset>
                </wp:positionH>
                <wp:positionV relativeFrom="paragraph">
                  <wp:posOffset>2248535</wp:posOffset>
                </wp:positionV>
                <wp:extent cx="417830" cy="636905"/>
                <wp:effectExtent l="0" t="109855" r="0" b="0"/>
                <wp:wrapNone/>
                <wp:docPr id="162" name="文本框 162"/>
                <wp:cNvGraphicFramePr/>
                <a:graphic xmlns:a="http://schemas.openxmlformats.org/drawingml/2006/main">
                  <a:graphicData uri="http://schemas.microsoft.com/office/word/2010/wordprocessingShape">
                    <wps:wsp>
                      <wps:cNvSpPr txBox="1"/>
                      <wps:spPr>
                        <a:xfrm rot="3780000">
                          <a:off x="4647565" y="4389120"/>
                          <a:ext cx="417830" cy="6369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B2A710">
                            <w:pPr>
                              <w:keepNext w:val="0"/>
                              <w:keepLines w:val="0"/>
                              <w:pageBreakBefore w:val="0"/>
                              <w:widowControl w:val="0"/>
                              <w:kinsoku/>
                              <w:wordWrap w:val="0"/>
                              <w:overflowPunct/>
                              <w:topLinePunct/>
                              <w:autoSpaceDE/>
                              <w:autoSpaceDN/>
                              <w:bidi w:val="0"/>
                              <w:adjustRightInd/>
                              <w:snapToGrid/>
                              <w:textAlignment w:val="auto"/>
                              <w:rPr>
                                <w:rFonts w:hint="eastAsia" w:ascii="华文楷体" w:hAnsi="华文楷体" w:eastAsia="华文楷体" w:cs="华文楷体"/>
                                <w:b/>
                                <w:bCs/>
                                <w:color w:val="FFFF00"/>
                                <w:sz w:val="15"/>
                                <w:szCs w:val="15"/>
                                <w:lang w:val="en-US" w:eastAsia="zh-CN"/>
                              </w:rPr>
                            </w:pPr>
                            <w:r>
                              <w:rPr>
                                <w:rFonts w:hint="eastAsia" w:ascii="华文楷体" w:hAnsi="华文楷体" w:eastAsia="华文楷体" w:cs="华文楷体"/>
                                <w:b/>
                                <w:bCs/>
                                <w:color w:val="FFFF00"/>
                                <w:sz w:val="15"/>
                                <w:szCs w:val="15"/>
                                <w:lang w:val="en-US" w:eastAsia="zh-CN"/>
                              </w:rPr>
                              <w:t>柴油储罐区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8.75pt;margin-top:177.05pt;height:50.15pt;width:32.9pt;rotation:4128768f;z-index:251720704;mso-width-relative:page;mso-height-relative:page;" filled="f" stroked="f" coordsize="21600,21600" o:gfxdata="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4gQlptoAAAALAQAADwAA&#10;AAAAAAABACAAAAAiAAAAZHJzL2Rvd25yZXYueG1sUEsBAhQAFAAAAAgAh07iQNNmOwJNAgAAgwQA&#10;AA4AAAAAAAAAAQAgAAAAKQEAAGRycy9lMm9Eb2MueG1sUEsFBgAAAAAGAAYAWQEAAOgFAAAAAA==&#10;">
                <v:fill on="f" focussize="0,0"/>
                <v:stroke on="f" weight="0.5pt"/>
                <v:imagedata o:title=""/>
                <o:lock v:ext="edit" aspectratio="f"/>
                <v:textbox>
                  <w:txbxContent>
                    <w:p w14:paraId="5AB2A710">
                      <w:pPr>
                        <w:keepNext w:val="0"/>
                        <w:keepLines w:val="0"/>
                        <w:pageBreakBefore w:val="0"/>
                        <w:widowControl w:val="0"/>
                        <w:kinsoku/>
                        <w:wordWrap w:val="0"/>
                        <w:overflowPunct/>
                        <w:topLinePunct/>
                        <w:autoSpaceDE/>
                        <w:autoSpaceDN/>
                        <w:bidi w:val="0"/>
                        <w:adjustRightInd/>
                        <w:snapToGrid/>
                        <w:textAlignment w:val="auto"/>
                        <w:rPr>
                          <w:rFonts w:hint="eastAsia" w:ascii="华文楷体" w:hAnsi="华文楷体" w:eastAsia="华文楷体" w:cs="华文楷体"/>
                          <w:b/>
                          <w:bCs/>
                          <w:color w:val="FFFF00"/>
                          <w:sz w:val="15"/>
                          <w:szCs w:val="15"/>
                          <w:lang w:val="en-US" w:eastAsia="zh-CN"/>
                        </w:rPr>
                      </w:pPr>
                      <w:r>
                        <w:rPr>
                          <w:rFonts w:hint="eastAsia" w:ascii="华文楷体" w:hAnsi="华文楷体" w:eastAsia="华文楷体" w:cs="华文楷体"/>
                          <w:b/>
                          <w:bCs/>
                          <w:color w:val="FFFF00"/>
                          <w:sz w:val="15"/>
                          <w:szCs w:val="15"/>
                          <w:lang w:val="en-US" w:eastAsia="zh-CN"/>
                        </w:rPr>
                        <w:t>柴油储罐区</w:t>
                      </w:r>
                    </w:p>
                  </w:txbxContent>
                </v:textbox>
              </v:shape>
            </w:pict>
          </mc:Fallback>
        </mc:AlternateContent>
      </w:r>
      <w:r>
        <w:rPr>
          <w:sz w:val="21"/>
        </w:rPr>
        <mc:AlternateContent>
          <mc:Choice Requires="wps">
            <w:drawing>
              <wp:anchor distT="0" distB="0" distL="114300" distR="114300" simplePos="0" relativeHeight="251713536" behindDoc="0" locked="0" layoutInCell="1" allowOverlap="1">
                <wp:simplePos x="0" y="0"/>
                <wp:positionH relativeFrom="column">
                  <wp:posOffset>1967230</wp:posOffset>
                </wp:positionH>
                <wp:positionV relativeFrom="paragraph">
                  <wp:posOffset>2025015</wp:posOffset>
                </wp:positionV>
                <wp:extent cx="342265" cy="358775"/>
                <wp:effectExtent l="50800" t="34925" r="64135" b="38100"/>
                <wp:wrapNone/>
                <wp:docPr id="120" name="圆柱形 120"/>
                <wp:cNvGraphicFramePr/>
                <a:graphic xmlns:a="http://schemas.openxmlformats.org/drawingml/2006/main">
                  <a:graphicData uri="http://schemas.microsoft.com/office/word/2010/wordprocessingShape">
                    <wps:wsp>
                      <wps:cNvSpPr/>
                      <wps:spPr>
                        <a:xfrm rot="19980000">
                          <a:off x="3727450" y="3245485"/>
                          <a:ext cx="342265" cy="358775"/>
                        </a:xfrm>
                        <a:prstGeom prst="can">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2" type="#_x0000_t22" style="position:absolute;left:0pt;margin-left:154.9pt;margin-top:159.45pt;height:28.25pt;width:26.95pt;rotation:-1769472f;z-index:251713536;v-text-anchor:middle;mso-width-relative:page;mso-height-relative:page;" filled="f" stroked="t" coordsize="21600,21600" o:gfxdata="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lNYsVNsAAAALAQAADwAAAAAAAAABACAAAAAiAAAAZHJzL2Rvd25yZXYueG1sUEsBAhQAFAAAAAgA&#10;h07iQOY/zYqUAgAADQUAAA4AAAAAAAAAAQAgAAAAKgEAAGRycy9lMm9Eb2MueG1sUEsFBgAAAAAG&#10;AAYAWQEAADAGAAAAAA==&#10;" adj="5151">
                <v:fill on="f" focussize="0,0"/>
                <v:stroke weight="1pt" color="#2E75B6 [2404]" miterlimit="8" joinstyle="miter"/>
                <v:imagedata o:title=""/>
                <o:lock v:ext="edit" aspectratio="f"/>
              </v:shape>
            </w:pict>
          </mc:Fallback>
        </mc:AlternateContent>
      </w:r>
      <w:r>
        <w:rPr>
          <w:sz w:val="21"/>
        </w:rPr>
        <mc:AlternateContent>
          <mc:Choice Requires="wps">
            <w:drawing>
              <wp:anchor distT="0" distB="0" distL="114300" distR="114300" simplePos="0" relativeHeight="251717632" behindDoc="0" locked="0" layoutInCell="1" allowOverlap="1">
                <wp:simplePos x="0" y="0"/>
                <wp:positionH relativeFrom="column">
                  <wp:posOffset>2245360</wp:posOffset>
                </wp:positionH>
                <wp:positionV relativeFrom="paragraph">
                  <wp:posOffset>1989455</wp:posOffset>
                </wp:positionV>
                <wp:extent cx="775335" cy="273685"/>
                <wp:effectExtent l="250825" t="0" r="0" b="0"/>
                <wp:wrapNone/>
                <wp:docPr id="152" name="文本框 152"/>
                <wp:cNvGraphicFramePr/>
                <a:graphic xmlns:a="http://schemas.openxmlformats.org/drawingml/2006/main">
                  <a:graphicData uri="http://schemas.microsoft.com/office/word/2010/wordprocessingShape">
                    <wps:wsp>
                      <wps:cNvSpPr txBox="1"/>
                      <wps:spPr>
                        <a:xfrm rot="3720000">
                          <a:off x="4019550" y="4402455"/>
                          <a:ext cx="775335" cy="2736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8AC056">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沥青储罐区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6.8pt;margin-top:156.65pt;height:21.55pt;width:61.05pt;rotation:4063232f;z-index:251717632;mso-width-relative:page;mso-height-relative:page;" filled="f" stroked="f" coordsize="21600,21600" o:gfxdata="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u/QlOdsAAAALAQAA&#10;DwAAAAAAAAABACAAAAAiAAAAZHJzL2Rvd25yZXYueG1sUEsBAhQAFAAAAAgAh07iQOtkInxPAgAA&#10;gwQAAA4AAAAAAAAAAQAgAAAAKgEAAGRycy9lMm9Eb2MueG1sUEsFBgAAAAAGAAYAWQEAAOsFAAAA&#10;AA==&#10;">
                <v:fill on="f" focussize="0,0"/>
                <v:stroke on="f" weight="0.5pt"/>
                <v:imagedata o:title=""/>
                <o:lock v:ext="edit" aspectratio="f"/>
                <v:textbox>
                  <w:txbxContent>
                    <w:p w14:paraId="288AC056">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沥青储罐区</w:t>
                      </w:r>
                    </w:p>
                  </w:txbxContent>
                </v:textbox>
              </v:shape>
            </w:pict>
          </mc:Fallback>
        </mc:AlternateContent>
      </w:r>
      <w:r>
        <w:rPr>
          <w:sz w:val="21"/>
        </w:rPr>
        <mc:AlternateContent>
          <mc:Choice Requires="wps">
            <w:drawing>
              <wp:anchor distT="0" distB="0" distL="114300" distR="114300" simplePos="0" relativeHeight="251716608" behindDoc="0" locked="0" layoutInCell="1" allowOverlap="1">
                <wp:simplePos x="0" y="0"/>
                <wp:positionH relativeFrom="column">
                  <wp:posOffset>2487930</wp:posOffset>
                </wp:positionH>
                <wp:positionV relativeFrom="paragraph">
                  <wp:posOffset>1803400</wp:posOffset>
                </wp:positionV>
                <wp:extent cx="284480" cy="624840"/>
                <wp:effectExtent l="138430" t="38735" r="161290" b="47625"/>
                <wp:wrapNone/>
                <wp:docPr id="145" name="矩形 145"/>
                <wp:cNvGraphicFramePr/>
                <a:graphic xmlns:a="http://schemas.openxmlformats.org/drawingml/2006/main">
                  <a:graphicData uri="http://schemas.microsoft.com/office/word/2010/wordprocessingShape">
                    <wps:wsp>
                      <wps:cNvSpPr/>
                      <wps:spPr>
                        <a:xfrm rot="19920000">
                          <a:off x="3467735" y="3158490"/>
                          <a:ext cx="284480" cy="624840"/>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5.9pt;margin-top:142pt;height:49.2pt;width:22.4pt;rotation:-1835008f;z-index:251716608;v-text-anchor:middle;mso-width-relative:page;mso-height-relative:page;" filled="f" stroked="t" coordsize="21600,21600" o:gfxdata="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BtdkPQ&#10;2gAAAAsBAAAPAAAAAAAAAAEAIAAAACIAAABkcnMvZG93bnJldi54bWxQSwECFAAUAAAACACHTuJA&#10;xY/kZpECAAALBQAADgAAAAAAAAABACAAAAApAQAAZHJzL2Uyb0RvYy54bWxQSwUGAAAAAAYABgBZ&#10;AQAALAYAAAAA&#10;">
                <v:fill on="f" focussize="0,0"/>
                <v:stroke weight="1pt" color="#2E75B6 [2404]" miterlimit="8" joinstyle="miter"/>
                <v:imagedata o:title=""/>
                <o:lock v:ext="edit" aspectratio="f"/>
              </v:rect>
            </w:pict>
          </mc:Fallback>
        </mc:AlternateContent>
      </w:r>
      <w:r>
        <w:rPr>
          <w:sz w:val="21"/>
        </w:rPr>
        <mc:AlternateContent>
          <mc:Choice Requires="wps">
            <w:drawing>
              <wp:anchor distT="0" distB="0" distL="114300" distR="114300" simplePos="0" relativeHeight="251715584" behindDoc="0" locked="0" layoutInCell="1" allowOverlap="1">
                <wp:simplePos x="0" y="0"/>
                <wp:positionH relativeFrom="column">
                  <wp:posOffset>2853055</wp:posOffset>
                </wp:positionH>
                <wp:positionV relativeFrom="paragraph">
                  <wp:posOffset>1610995</wp:posOffset>
                </wp:positionV>
                <wp:extent cx="863600" cy="271780"/>
                <wp:effectExtent l="0" t="0" r="0" b="0"/>
                <wp:wrapNone/>
                <wp:docPr id="137" name="文本框 137"/>
                <wp:cNvGraphicFramePr/>
                <a:graphic xmlns:a="http://schemas.openxmlformats.org/drawingml/2006/main">
                  <a:graphicData uri="http://schemas.microsoft.com/office/word/2010/wordprocessingShape">
                    <wps:wsp>
                      <wps:cNvSpPr txBox="1"/>
                      <wps:spPr>
                        <a:xfrm rot="19740000">
                          <a:off x="4298950" y="3870325"/>
                          <a:ext cx="863600" cy="2717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4EA6BF">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沥青拌合楼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4.65pt;margin-top:126.85pt;height:21.4pt;width:68pt;rotation:-2031616f;z-index:251715584;mso-width-relative:page;mso-height-relative:page;" filled="f" stroked="f" coordsize="21600,21600" o:gfxdata="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QEW/p2wAAAAsB&#10;AAAPAAAAAAAAAAEAIAAAACIAAABkcnMvZG93bnJldi54bWxQSwECFAAUAAAACACHTuJAIQ3MBFEC&#10;AACEBAAADgAAAAAAAAABACAAAAAqAQAAZHJzL2Uyb0RvYy54bWxQSwUGAAAAAAYABgBZAQAA7QUA&#10;AAAA&#10;">
                <v:fill on="f" focussize="0,0"/>
                <v:stroke on="f" weight="0.5pt"/>
                <v:imagedata o:title=""/>
                <o:lock v:ext="edit" aspectratio="f"/>
                <v:textbox>
                  <w:txbxContent>
                    <w:p w14:paraId="2B4EA6BF">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沥青拌合楼</w:t>
                      </w:r>
                    </w:p>
                  </w:txbxContent>
                </v:textbox>
              </v:shape>
            </w:pict>
          </mc:Fallback>
        </mc:AlternateContent>
      </w:r>
      <w:r>
        <w:rPr>
          <w:sz w:val="21"/>
        </w:rPr>
        <mc:AlternateContent>
          <mc:Choice Requires="wps">
            <w:drawing>
              <wp:anchor distT="0" distB="0" distL="114300" distR="114300" simplePos="0" relativeHeight="251712512" behindDoc="0" locked="0" layoutInCell="1" allowOverlap="1">
                <wp:simplePos x="0" y="0"/>
                <wp:positionH relativeFrom="column">
                  <wp:posOffset>2879090</wp:posOffset>
                </wp:positionH>
                <wp:positionV relativeFrom="paragraph">
                  <wp:posOffset>765810</wp:posOffset>
                </wp:positionV>
                <wp:extent cx="805180" cy="267335"/>
                <wp:effectExtent l="0" t="0" r="0" b="0"/>
                <wp:wrapNone/>
                <wp:docPr id="103" name="文本框 103"/>
                <wp:cNvGraphicFramePr/>
                <a:graphic xmlns:a="http://schemas.openxmlformats.org/drawingml/2006/main">
                  <a:graphicData uri="http://schemas.microsoft.com/office/word/2010/wordprocessingShape">
                    <wps:wsp>
                      <wps:cNvSpPr txBox="1"/>
                      <wps:spPr>
                        <a:xfrm rot="20220000">
                          <a:off x="3973195" y="3590925"/>
                          <a:ext cx="805180" cy="2673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B82802">
                            <w:pPr>
                              <w:rPr>
                                <w:rFonts w:hint="eastAsia" w:ascii="华文楷体" w:hAnsi="华文楷体" w:eastAsia="华文楷体" w:cs="华文楷体"/>
                                <w:b/>
                                <w:bCs/>
                                <w:color w:val="1331F5"/>
                                <w:sz w:val="18"/>
                                <w:szCs w:val="18"/>
                                <w:lang w:val="en-US" w:eastAsia="zh-CN"/>
                              </w:rPr>
                            </w:pPr>
                            <w:r>
                              <w:rPr>
                                <w:rFonts w:hint="eastAsia" w:ascii="华文楷体" w:hAnsi="华文楷体" w:eastAsia="华文楷体" w:cs="华文楷体"/>
                                <w:b/>
                                <w:bCs/>
                                <w:color w:val="1331F5"/>
                                <w:sz w:val="18"/>
                                <w:szCs w:val="18"/>
                                <w:lang w:val="en-US" w:eastAsia="zh-CN"/>
                              </w:rPr>
                              <w:t>危废贮存点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6.7pt;margin-top:60.3pt;height:21.05pt;width:63.4pt;rotation:-1507328f;z-index:251712512;mso-width-relative:page;mso-height-relative:page;" filled="f" stroked="f" coordsize="21600,21600" o:gfxdata="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H1pY/ZAAAACwEA&#10;AA8AAAAAAAAAAQAgAAAAIgAAAGRycy9kb3ducmV2LnhtbFBLAQIUABQAAAAIAIdO4kBMQUHVUgIA&#10;AIQEAAAOAAAAAAAAAAEAIAAAACgBAABkcnMvZTJvRG9jLnhtbFBLBQYAAAAABgAGAFkBAADsBQAA&#10;AAA=&#10;">
                <v:fill on="f" focussize="0,0"/>
                <v:stroke on="f" weight="0.5pt"/>
                <v:imagedata o:title=""/>
                <o:lock v:ext="edit" aspectratio="f"/>
                <v:textbox>
                  <w:txbxContent>
                    <w:p w14:paraId="0FB82802">
                      <w:pPr>
                        <w:rPr>
                          <w:rFonts w:hint="eastAsia" w:ascii="华文楷体" w:hAnsi="华文楷体" w:eastAsia="华文楷体" w:cs="华文楷体"/>
                          <w:b/>
                          <w:bCs/>
                          <w:color w:val="1331F5"/>
                          <w:sz w:val="18"/>
                          <w:szCs w:val="18"/>
                          <w:lang w:val="en-US" w:eastAsia="zh-CN"/>
                        </w:rPr>
                      </w:pPr>
                      <w:r>
                        <w:rPr>
                          <w:rFonts w:hint="eastAsia" w:ascii="华文楷体" w:hAnsi="华文楷体" w:eastAsia="华文楷体" w:cs="华文楷体"/>
                          <w:b/>
                          <w:bCs/>
                          <w:color w:val="1331F5"/>
                          <w:sz w:val="18"/>
                          <w:szCs w:val="18"/>
                          <w:lang w:val="en-US" w:eastAsia="zh-CN"/>
                        </w:rPr>
                        <w:t>危废贮存点</w:t>
                      </w:r>
                    </w:p>
                  </w:txbxContent>
                </v:textbox>
              </v:shape>
            </w:pict>
          </mc:Fallback>
        </mc:AlternateContent>
      </w:r>
      <w:r>
        <w:rPr>
          <w:sz w:val="21"/>
        </w:rPr>
        <mc:AlternateContent>
          <mc:Choice Requires="wps">
            <w:drawing>
              <wp:anchor distT="0" distB="0" distL="114300" distR="114300" simplePos="0" relativeHeight="251711488" behindDoc="0" locked="0" layoutInCell="1" allowOverlap="1">
                <wp:simplePos x="0" y="0"/>
                <wp:positionH relativeFrom="column">
                  <wp:posOffset>3007360</wp:posOffset>
                </wp:positionH>
                <wp:positionV relativeFrom="paragraph">
                  <wp:posOffset>819150</wp:posOffset>
                </wp:positionV>
                <wp:extent cx="429260" cy="259715"/>
                <wp:effectExtent l="48260" t="95885" r="55880" b="101600"/>
                <wp:wrapNone/>
                <wp:docPr id="91" name="矩形 91"/>
                <wp:cNvGraphicFramePr/>
                <a:graphic xmlns:a="http://schemas.openxmlformats.org/drawingml/2006/main">
                  <a:graphicData uri="http://schemas.microsoft.com/office/word/2010/wordprocessingShape">
                    <wps:wsp>
                      <wps:cNvSpPr/>
                      <wps:spPr>
                        <a:xfrm rot="19980000">
                          <a:off x="3727450" y="3444875"/>
                          <a:ext cx="429260" cy="259715"/>
                        </a:xfrm>
                        <a:prstGeom prst="rect">
                          <a:avLst/>
                        </a:prstGeom>
                        <a:noFill/>
                        <a:ln w="19050">
                          <a:solidFill>
                            <a:srgbClr val="92D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6.8pt;margin-top:64.5pt;height:20.45pt;width:33.8pt;rotation:-1769472f;z-index:251711488;v-text-anchor:middle;mso-width-relative:page;mso-height-relative:page;" filled="f" stroked="t" coordsize="21600,21600" o:gfxdata="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CXtJjN2wAAAAsBAAAPAAAAAAAAAAEA&#10;IAAAACIAAABkcnMvZG93bnJldi54bWxQSwECFAAUAAAACACHTuJAwu9MLX4CAADnBAAADgAAAAAA&#10;AAABACAAAAAqAQAAZHJzL2Uyb0RvYy54bWxQSwUGAAAAAAYABgBZAQAAGgYAAAAA&#10;">
                <v:fill on="f" focussize="0,0"/>
                <v:stroke weight="1.5pt" color="#92D050 [2404]" miterlimit="8" joinstyle="miter"/>
                <v:imagedata o:title=""/>
                <o:lock v:ext="edit" aspectratio="f"/>
              </v:rect>
            </w:pict>
          </mc:Fallback>
        </mc:AlternateContent>
      </w:r>
      <w:r>
        <w:rPr>
          <w:sz w:val="21"/>
        </w:rPr>
        <mc:AlternateContent>
          <mc:Choice Requires="wps">
            <w:drawing>
              <wp:anchor distT="0" distB="0" distL="114300" distR="114300" simplePos="0" relativeHeight="251710464" behindDoc="0" locked="0" layoutInCell="1" allowOverlap="1">
                <wp:simplePos x="0" y="0"/>
                <wp:positionH relativeFrom="column">
                  <wp:posOffset>2626995</wp:posOffset>
                </wp:positionH>
                <wp:positionV relativeFrom="paragraph">
                  <wp:posOffset>965835</wp:posOffset>
                </wp:positionV>
                <wp:extent cx="458470" cy="292100"/>
                <wp:effectExtent l="0" t="0" r="0" b="0"/>
                <wp:wrapNone/>
                <wp:docPr id="83" name="文本框 83"/>
                <wp:cNvGraphicFramePr/>
                <a:graphic xmlns:a="http://schemas.openxmlformats.org/drawingml/2006/main">
                  <a:graphicData uri="http://schemas.microsoft.com/office/word/2010/wordprocessingShape">
                    <wps:wsp>
                      <wps:cNvSpPr txBox="1"/>
                      <wps:spPr>
                        <a:xfrm rot="19920000">
                          <a:off x="3900170" y="3717290"/>
                          <a:ext cx="458470" cy="2921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D49EF5">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车棚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6.85pt;margin-top:76.05pt;height:23pt;width:36.1pt;rotation:-1835008f;z-index:251710464;mso-width-relative:page;mso-height-relative:page;" filled="f" stroked="f" coordsize="21600,21600" o:gfxdata="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JL9h92gAAAAsBAAAP&#10;AAAAAAAAAAEAIAAAACIAAABkcnMvZG93bnJldi54bWxQSwECFAAUAAAACACHTuJAi5q1hk8CAACC&#10;BAAADgAAAAAAAAABACAAAAApAQAAZHJzL2Uyb0RvYy54bWxQSwUGAAAAAAYABgBZAQAA6gUAAAAA&#10;">
                <v:fill on="f" focussize="0,0"/>
                <v:stroke on="f" weight="0.5pt"/>
                <v:imagedata o:title=""/>
                <o:lock v:ext="edit" aspectratio="f"/>
                <v:textbox>
                  <w:txbxContent>
                    <w:p w14:paraId="10D49EF5">
                      <w:pPr>
                        <w:rPr>
                          <w:rFonts w:hint="eastAsia" w:ascii="华文楷体" w:hAnsi="华文楷体" w:eastAsia="华文楷体" w:cs="华文楷体"/>
                          <w:b/>
                          <w:bCs/>
                          <w:color w:val="FFFF00"/>
                          <w:sz w:val="18"/>
                          <w:szCs w:val="18"/>
                          <w:lang w:val="en-US" w:eastAsia="zh-CN"/>
                        </w:rPr>
                      </w:pPr>
                      <w:r>
                        <w:rPr>
                          <w:rFonts w:hint="eastAsia" w:ascii="华文楷体" w:hAnsi="华文楷体" w:eastAsia="华文楷体" w:cs="华文楷体"/>
                          <w:b/>
                          <w:bCs/>
                          <w:color w:val="FFFF00"/>
                          <w:sz w:val="18"/>
                          <w:szCs w:val="18"/>
                          <w:lang w:val="en-US" w:eastAsia="zh-CN"/>
                        </w:rPr>
                        <w:t>车棚</w:t>
                      </w:r>
                    </w:p>
                  </w:txbxContent>
                </v:textbox>
              </v:shape>
            </w:pict>
          </mc:Fallback>
        </mc:AlternateContent>
      </w:r>
      <w:r>
        <w:rPr>
          <w:sz w:val="21"/>
        </w:rPr>
        <mc:AlternateContent>
          <mc:Choice Requires="wps">
            <w:drawing>
              <wp:anchor distT="0" distB="0" distL="114300" distR="114300" simplePos="0" relativeHeight="251709440" behindDoc="0" locked="0" layoutInCell="1" allowOverlap="1">
                <wp:simplePos x="0" y="0"/>
                <wp:positionH relativeFrom="column">
                  <wp:posOffset>2693035</wp:posOffset>
                </wp:positionH>
                <wp:positionV relativeFrom="paragraph">
                  <wp:posOffset>986155</wp:posOffset>
                </wp:positionV>
                <wp:extent cx="332740" cy="299085"/>
                <wp:effectExtent l="57150" t="66040" r="67310" b="66675"/>
                <wp:wrapNone/>
                <wp:docPr id="75" name="矩形 75"/>
                <wp:cNvGraphicFramePr/>
                <a:graphic xmlns:a="http://schemas.openxmlformats.org/drawingml/2006/main">
                  <a:graphicData uri="http://schemas.microsoft.com/office/word/2010/wordprocessingShape">
                    <wps:wsp>
                      <wps:cNvSpPr/>
                      <wps:spPr>
                        <a:xfrm rot="20040000">
                          <a:off x="3766820" y="3498215"/>
                          <a:ext cx="332740" cy="299085"/>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2.05pt;margin-top:77.65pt;height:23.55pt;width:26.2pt;rotation:-1703936f;z-index:251709440;v-text-anchor:middle;mso-width-relative:page;mso-height-relative:page;" filled="f" stroked="t" coordsize="21600,21600" o:gfxdata="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N2fmEnb&#10;AAAACwEAAA8AAAAAAAAAAQAgAAAAIgAAAGRycy9kb3ducmV2LnhtbFBLAQIUABQAAAAIAIdO4kAk&#10;jRfmjwIAAAkFAAAOAAAAAAAAAAEAIAAAACoBAABkcnMvZTJvRG9jLnhtbFBLBQYAAAAABgAGAFkB&#10;AAArBgAAAAA=&#10;">
                <v:fill on="f" focussize="0,0"/>
                <v:stroke weight="1pt" color="#2E75B6 [2404]" miterlimit="8" joinstyle="miter"/>
                <v:imagedata o:title=""/>
                <o:lock v:ext="edit" aspectratio="f"/>
              </v:rect>
            </w:pict>
          </mc:Fallback>
        </mc:AlternateContent>
      </w:r>
      <w:r>
        <w:rPr>
          <w:sz w:val="28"/>
        </w:rPr>
        <mc:AlternateContent>
          <mc:Choice Requires="wps">
            <w:drawing>
              <wp:anchor distT="0" distB="0" distL="114300" distR="114300" simplePos="0" relativeHeight="251708416" behindDoc="0" locked="0" layoutInCell="1" allowOverlap="1">
                <wp:simplePos x="0" y="0"/>
                <wp:positionH relativeFrom="column">
                  <wp:posOffset>1130300</wp:posOffset>
                </wp:positionH>
                <wp:positionV relativeFrom="paragraph">
                  <wp:posOffset>1511935</wp:posOffset>
                </wp:positionV>
                <wp:extent cx="306070" cy="252095"/>
                <wp:effectExtent l="0" t="1270" r="52070" b="76835"/>
                <wp:wrapNone/>
                <wp:docPr id="74" name="等腰三角形 74"/>
                <wp:cNvGraphicFramePr/>
                <a:graphic xmlns:a="http://schemas.openxmlformats.org/drawingml/2006/main">
                  <a:graphicData uri="http://schemas.microsoft.com/office/word/2010/wordprocessingShape">
                    <wps:wsp>
                      <wps:cNvSpPr/>
                      <wps:spPr>
                        <a:xfrm rot="20220000">
                          <a:off x="2310765" y="2940685"/>
                          <a:ext cx="306070" cy="252095"/>
                        </a:xfrm>
                        <a:prstGeom prst="triangle">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89pt;margin-top:119.05pt;height:19.85pt;width:24.1pt;rotation:-1507328f;z-index:251708416;v-text-anchor:middle;mso-width-relative:page;mso-height-relative:page;" filled="f" stroked="t" coordsize="21600,21600" o:gfxdata="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7KfHidgAAAALAQAADwAAAAAAAAABACAAAAAiAAAAZHJzL2Rvd25yZXYu&#10;eG1sUEsBAhQAFAAAAAgAh07iQGNDCQ+mAgAAFgUAAA4AAAAAAAAAAQAgAAAAJwEAAGRycy9lMm9E&#10;b2MueG1sUEsFBgAAAAAGAAYAWQEAAD8GAAAAAA==&#10;" adj="10800">
                <v:fill on="f" focussize="0,0"/>
                <v:stroke weight="1pt" color="#2E75B6 [2404]" miterlimit="8" joinstyle="miter"/>
                <v:imagedata o:title=""/>
                <o:lock v:ext="edit" aspectratio="f"/>
              </v:shape>
            </w:pict>
          </mc:Fallback>
        </mc:AlternateContent>
      </w:r>
      <w:r>
        <w:rPr>
          <w:sz w:val="28"/>
        </w:rPr>
        <mc:AlternateContent>
          <mc:Choice Requires="wps">
            <w:drawing>
              <wp:anchor distT="0" distB="0" distL="114300" distR="114300" simplePos="0" relativeHeight="251707392" behindDoc="0" locked="0" layoutInCell="1" allowOverlap="1">
                <wp:simplePos x="0" y="0"/>
                <wp:positionH relativeFrom="column">
                  <wp:posOffset>1529715</wp:posOffset>
                </wp:positionH>
                <wp:positionV relativeFrom="paragraph">
                  <wp:posOffset>1327150</wp:posOffset>
                </wp:positionV>
                <wp:extent cx="1195070" cy="266700"/>
                <wp:effectExtent l="0" t="0" r="0" b="0"/>
                <wp:wrapNone/>
                <wp:docPr id="73" name="文本框 73"/>
                <wp:cNvGraphicFramePr/>
                <a:graphic xmlns:a="http://schemas.openxmlformats.org/drawingml/2006/main">
                  <a:graphicData uri="http://schemas.microsoft.com/office/word/2010/wordprocessingShape">
                    <wps:wsp>
                      <wps:cNvSpPr txBox="1"/>
                      <wps:spPr>
                        <a:xfrm rot="20040000">
                          <a:off x="3580765" y="3852545"/>
                          <a:ext cx="1195070" cy="266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5D7344">
                            <w:pPr>
                              <w:rPr>
                                <w:rFonts w:hint="eastAsia" w:ascii="华文楷体" w:hAnsi="华文楷体" w:eastAsia="华文楷体" w:cs="华文楷体"/>
                                <w:color w:val="FFFF00"/>
                                <w:lang w:val="en-US" w:eastAsia="zh-CN"/>
                              </w:rPr>
                            </w:pPr>
                            <w:r>
                              <w:rPr>
                                <w:rFonts w:hint="eastAsia" w:ascii="华文楷体" w:hAnsi="华文楷体" w:eastAsia="华文楷体" w:cs="华文楷体"/>
                                <w:color w:val="FFFF00"/>
                                <w:lang w:val="en-US" w:eastAsia="zh-CN"/>
                              </w:rPr>
                              <w:t xml:space="preserve"> </w:t>
                            </w:r>
                            <w:r>
                              <w:rPr>
                                <w:rFonts w:hint="eastAsia" w:ascii="华文楷体" w:hAnsi="华文楷体" w:eastAsia="华文楷体" w:cs="华文楷体"/>
                                <w:color w:val="FFFF00"/>
                                <w:sz w:val="18"/>
                                <w:szCs w:val="18"/>
                                <w:lang w:val="en-US" w:eastAsia="zh-CN"/>
                              </w:rPr>
                              <w:t>综合生活办公区域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0.45pt;margin-top:104.5pt;height:21pt;width:94.1pt;rotation:-1703936f;z-index:251707392;mso-width-relative:page;mso-height-relative:page;" filled="f" stroked="f" coordsize="21600,21600" o:gfxdata="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4ceBVNkAAAALAQAA&#10;DwAAAAAAAAABACAAAAAiAAAAZHJzL2Rvd25yZXYueG1sUEsBAhQAFAAAAAgAh07iQIPJ5DVRAgAA&#10;gwQAAA4AAAAAAAAAAQAgAAAAKAEAAGRycy9lMm9Eb2MueG1sUEsFBgAAAAAGAAYAWQEAAOsFAAAA&#10;AA==&#10;">
                <v:fill on="f" focussize="0,0"/>
                <v:stroke on="f" weight="0.5pt"/>
                <v:imagedata o:title=""/>
                <o:lock v:ext="edit" aspectratio="f"/>
                <v:textbox>
                  <w:txbxContent>
                    <w:p w14:paraId="245D7344">
                      <w:pPr>
                        <w:rPr>
                          <w:rFonts w:hint="eastAsia" w:ascii="华文楷体" w:hAnsi="华文楷体" w:eastAsia="华文楷体" w:cs="华文楷体"/>
                          <w:color w:val="FFFF00"/>
                          <w:lang w:val="en-US" w:eastAsia="zh-CN"/>
                        </w:rPr>
                      </w:pPr>
                      <w:r>
                        <w:rPr>
                          <w:rFonts w:hint="eastAsia" w:ascii="华文楷体" w:hAnsi="华文楷体" w:eastAsia="华文楷体" w:cs="华文楷体"/>
                          <w:color w:val="FFFF00"/>
                          <w:lang w:val="en-US" w:eastAsia="zh-CN"/>
                        </w:rPr>
                        <w:t xml:space="preserve"> </w:t>
                      </w:r>
                      <w:r>
                        <w:rPr>
                          <w:rFonts w:hint="eastAsia" w:ascii="华文楷体" w:hAnsi="华文楷体" w:eastAsia="华文楷体" w:cs="华文楷体"/>
                          <w:color w:val="FFFF00"/>
                          <w:sz w:val="18"/>
                          <w:szCs w:val="18"/>
                          <w:lang w:val="en-US" w:eastAsia="zh-CN"/>
                        </w:rPr>
                        <w:t>综合生活办公区域</w:t>
                      </w:r>
                    </w:p>
                  </w:txbxContent>
                </v:textbox>
              </v:shape>
            </w:pict>
          </mc:Fallback>
        </mc:AlternateContent>
      </w:r>
      <w:r>
        <w:rPr>
          <w:sz w:val="28"/>
        </w:rPr>
        <mc:AlternateContent>
          <mc:Choice Requires="wps">
            <w:drawing>
              <wp:anchor distT="0" distB="0" distL="114300" distR="114300" simplePos="0" relativeHeight="251706368" behindDoc="0" locked="0" layoutInCell="1" allowOverlap="1">
                <wp:simplePos x="0" y="0"/>
                <wp:positionH relativeFrom="column">
                  <wp:posOffset>1527175</wp:posOffset>
                </wp:positionH>
                <wp:positionV relativeFrom="paragraph">
                  <wp:posOffset>1348105</wp:posOffset>
                </wp:positionV>
                <wp:extent cx="1206500" cy="283845"/>
                <wp:effectExtent l="9525" t="258445" r="28575" b="270510"/>
                <wp:wrapNone/>
                <wp:docPr id="67" name="矩形 67"/>
                <wp:cNvGraphicFramePr/>
                <a:graphic xmlns:a="http://schemas.openxmlformats.org/drawingml/2006/main">
                  <a:graphicData uri="http://schemas.microsoft.com/office/word/2010/wordprocessingShape">
                    <wps:wsp>
                      <wps:cNvSpPr/>
                      <wps:spPr>
                        <a:xfrm rot="20040000">
                          <a:off x="2671445" y="2697480"/>
                          <a:ext cx="1206500" cy="283845"/>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0.25pt;margin-top:106.15pt;height:22.35pt;width:95pt;rotation:-1703936f;z-index:251706368;v-text-anchor:middle;mso-width-relative:page;mso-height-relative:page;" filled="f" stroked="t" coordsize="21600,21600" o:gfxdata="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BTte+doAAAAL&#10;AQAADwAAAAAAAAABACAAAAAiAAAAZHJzL2Rvd25yZXYueG1sUEsBAhQAFAAAAAgAh07iQEwVP5qM&#10;AgAACgUAAA4AAAAAAAAAAQAgAAAAKQEAAGRycy9lMm9Eb2MueG1sUEsFBgAAAAAGAAYAWQEAACcG&#10;AAAAAA==&#10;">
                <v:fill on="f" focussize="0,0"/>
                <v:stroke weight="1pt" color="#2E75B6 [2404]" miterlimit="8" joinstyle="miter"/>
                <v:imagedata o:title=""/>
                <o:lock v:ext="edit" aspectratio="f"/>
              </v:rect>
            </w:pict>
          </mc:Fallback>
        </mc:AlternateContent>
      </w:r>
      <w:r>
        <w:rPr>
          <w:rFonts w:hint="default" w:cs="宋体"/>
          <w:b/>
          <w:bCs/>
          <w:sz w:val="28"/>
          <w:szCs w:val="28"/>
          <w:lang w:val="en-US" w:eastAsia="zh-CN"/>
        </w:rPr>
        <w:drawing>
          <wp:anchor distT="0" distB="0" distL="114300" distR="114300" simplePos="0" relativeHeight="251703296" behindDoc="0" locked="0" layoutInCell="1" allowOverlap="1">
            <wp:simplePos x="0" y="0"/>
            <wp:positionH relativeFrom="column">
              <wp:posOffset>7654925</wp:posOffset>
            </wp:positionH>
            <wp:positionV relativeFrom="paragraph">
              <wp:posOffset>93345</wp:posOffset>
            </wp:positionV>
            <wp:extent cx="641985" cy="653415"/>
            <wp:effectExtent l="0" t="0" r="18415" b="6985"/>
            <wp:wrapNone/>
            <wp:docPr id="33" name="图片 33" descr="79f65cb8bb7dd793a56cbd136cbc61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79f65cb8bb7dd793a56cbd136cbc616b"/>
                    <pic:cNvPicPr>
                      <a:picLocks noChangeAspect="1"/>
                    </pic:cNvPicPr>
                  </pic:nvPicPr>
                  <pic:blipFill>
                    <a:blip r:embed="rId113"/>
                    <a:stretch>
                      <a:fillRect/>
                    </a:stretch>
                  </pic:blipFill>
                  <pic:spPr>
                    <a:xfrm>
                      <a:off x="0" y="0"/>
                      <a:ext cx="641985" cy="653415"/>
                    </a:xfrm>
                    <a:prstGeom prst="rect">
                      <a:avLst/>
                    </a:prstGeom>
                  </pic:spPr>
                </pic:pic>
              </a:graphicData>
            </a:graphic>
          </wp:anchor>
        </w:drawing>
      </w:r>
      <w:r>
        <w:rPr>
          <w:sz w:val="28"/>
        </w:rPr>
        <mc:AlternateContent>
          <mc:Choice Requires="wps">
            <w:drawing>
              <wp:anchor distT="0" distB="0" distL="114300" distR="114300" simplePos="0" relativeHeight="251659264" behindDoc="0" locked="0" layoutInCell="1" allowOverlap="1">
                <wp:simplePos x="0" y="0"/>
                <wp:positionH relativeFrom="column">
                  <wp:posOffset>3570605</wp:posOffset>
                </wp:positionH>
                <wp:positionV relativeFrom="paragraph">
                  <wp:posOffset>6616700</wp:posOffset>
                </wp:positionV>
                <wp:extent cx="388620" cy="137160"/>
                <wp:effectExtent l="0" t="0" r="11430" b="15240"/>
                <wp:wrapNone/>
                <wp:docPr id="86" name="文本框 86"/>
                <wp:cNvGraphicFramePr/>
                <a:graphic xmlns:a="http://schemas.openxmlformats.org/drawingml/2006/main">
                  <a:graphicData uri="http://schemas.microsoft.com/office/word/2010/wordprocessingShape">
                    <wps:wsp>
                      <wps:cNvSpPr txBox="1"/>
                      <wps:spPr>
                        <a:xfrm>
                          <a:off x="4549775" y="8093710"/>
                          <a:ext cx="388620" cy="13716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0B30EF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1.15pt;margin-top:521pt;height:10.8pt;width:30.6pt;z-index:251659264;mso-width-relative:page;mso-height-relative:page;" fillcolor="#FFFFFF [3201]" filled="t" stroked="f" coordsize="21600,21600" o:gfxdata="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N7LCt&#10;1gAAAA0BAAAPAAAAAAAAAAEAIAAAACIAAABkcnMvZG93bnJldi54bWxQSwECFAAUAAAACACHTuJA&#10;eEpO71wCAACcBAAADgAAAAAAAAABACAAAAAlAQAAZHJzL2Uyb0RvYy54bWxQSwUGAAAAAAYABgBZ&#10;AQAA8wUAAAAA&#10;">
                <v:fill on="t" focussize="0,0"/>
                <v:stroke on="f" weight="0.5pt"/>
                <v:imagedata o:title=""/>
                <o:lock v:ext="edit" aspectratio="f"/>
                <v:textbox>
                  <w:txbxContent>
                    <w:p w14:paraId="10B30EF1"/>
                  </w:txbxContent>
                </v:textbox>
              </v:shape>
            </w:pict>
          </mc:Fallback>
        </mc:AlternateContent>
      </w:r>
      <w:r>
        <w:rPr>
          <w:rFonts w:hint="eastAsia"/>
        </w:rPr>
        <w:t xml:space="preserve">                             </w:t>
      </w:r>
    </w:p>
    <w:p w14:paraId="0353E14E">
      <w:pPr>
        <w:pStyle w:val="21"/>
        <w:ind w:left="0" w:leftChars="0" w:firstLine="0" w:firstLineChars="0"/>
      </w:pPr>
      <w:r>
        <w:rPr>
          <w:rFonts w:hint="eastAsia"/>
          <w:b/>
          <w:bCs/>
          <w:sz w:val="28"/>
          <w:szCs w:val="28"/>
        </w:rPr>
        <w:t>附图7：环境质量现状检测点位示意图</w:t>
      </w:r>
    </w:p>
    <w:p w14:paraId="43F71858">
      <w:pPr>
        <w:jc w:val="center"/>
      </w:pPr>
      <w:r>
        <w:rPr>
          <w:rFonts w:hint="default" w:cs="宋体"/>
          <w:b/>
          <w:bCs/>
          <w:sz w:val="28"/>
          <w:szCs w:val="28"/>
          <w:lang w:val="en-US" w:eastAsia="zh-CN"/>
        </w:rPr>
        <w:drawing>
          <wp:anchor distT="0" distB="0" distL="114300" distR="114300" simplePos="0" relativeHeight="251704320" behindDoc="0" locked="0" layoutInCell="1" allowOverlap="1">
            <wp:simplePos x="0" y="0"/>
            <wp:positionH relativeFrom="column">
              <wp:posOffset>7865745</wp:posOffset>
            </wp:positionH>
            <wp:positionV relativeFrom="paragraph">
              <wp:posOffset>83820</wp:posOffset>
            </wp:positionV>
            <wp:extent cx="641985" cy="653415"/>
            <wp:effectExtent l="0" t="0" r="18415" b="6985"/>
            <wp:wrapNone/>
            <wp:docPr id="36" name="图片 36" descr="79f65cb8bb7dd793a56cbd136cbc61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79f65cb8bb7dd793a56cbd136cbc616b"/>
                    <pic:cNvPicPr>
                      <a:picLocks noChangeAspect="1"/>
                    </pic:cNvPicPr>
                  </pic:nvPicPr>
                  <pic:blipFill>
                    <a:blip r:embed="rId113"/>
                    <a:stretch>
                      <a:fillRect/>
                    </a:stretch>
                  </pic:blipFill>
                  <pic:spPr>
                    <a:xfrm>
                      <a:off x="0" y="0"/>
                      <a:ext cx="641985" cy="653415"/>
                    </a:xfrm>
                    <a:prstGeom prst="rect">
                      <a:avLst/>
                    </a:prstGeom>
                  </pic:spPr>
                </pic:pic>
              </a:graphicData>
            </a:graphic>
          </wp:anchor>
        </w:drawing>
      </w:r>
      <w:r>
        <mc:AlternateContent>
          <mc:Choice Requires="wps">
            <w:drawing>
              <wp:anchor distT="0" distB="0" distL="114300" distR="114300" simplePos="0" relativeHeight="251699200" behindDoc="0" locked="0" layoutInCell="1" allowOverlap="1">
                <wp:simplePos x="0" y="0"/>
                <wp:positionH relativeFrom="column">
                  <wp:posOffset>5090160</wp:posOffset>
                </wp:positionH>
                <wp:positionV relativeFrom="paragraph">
                  <wp:posOffset>4117975</wp:posOffset>
                </wp:positionV>
                <wp:extent cx="106680" cy="100965"/>
                <wp:effectExtent l="6350" t="6350" r="13970" b="19685"/>
                <wp:wrapNone/>
                <wp:docPr id="142" name="椭圆 142"/>
                <wp:cNvGraphicFramePr/>
                <a:graphic xmlns:a="http://schemas.openxmlformats.org/drawingml/2006/main">
                  <a:graphicData uri="http://schemas.microsoft.com/office/word/2010/wordprocessingShape">
                    <wps:wsp>
                      <wps:cNvSpPr/>
                      <wps:spPr>
                        <a:xfrm>
                          <a:off x="6227445" y="5358130"/>
                          <a:ext cx="106680" cy="10096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00.8pt;margin-top:324.25pt;height:7.95pt;width:8.4pt;z-index:251699200;v-text-anchor:middle;mso-width-relative:page;mso-height-relative:page;" fillcolor="#FF0000" filled="t" stroked="t" coordsize="21600,21600" o:gfxdata="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OFcjktUAAAALAQAADwAAAAAAAAABACAAAAAiAAAA&#10;ZHJzL2Rvd25yZXYueG1sUEsBAhQAFAAAAAgAh07iQODyiLF8AgAABgUAAA4AAAAAAAAAAQAgAAAA&#10;JAEAAGRycy9lMm9Eb2MueG1sUEsFBgAAAAAGAAYAWQEAABIGAAAAAA==&#10;">
                <v:fill on="t" focussize="0,0"/>
                <v:stroke weight="1pt" color="#FF0000 [2404]" miterlimit="8" joinstyle="miter"/>
                <v:imagedata o:title=""/>
                <o:lock v:ext="edit" aspectratio="f"/>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5089525</wp:posOffset>
                </wp:positionH>
                <wp:positionV relativeFrom="paragraph">
                  <wp:posOffset>4354195</wp:posOffset>
                </wp:positionV>
                <wp:extent cx="121285" cy="114300"/>
                <wp:effectExtent l="10795" t="13335" r="20320" b="24765"/>
                <wp:wrapNone/>
                <wp:docPr id="144" name="等腰三角形 144"/>
                <wp:cNvGraphicFramePr/>
                <a:graphic xmlns:a="http://schemas.openxmlformats.org/drawingml/2006/main">
                  <a:graphicData uri="http://schemas.microsoft.com/office/word/2010/wordprocessingShape">
                    <wps:wsp>
                      <wps:cNvSpPr/>
                      <wps:spPr>
                        <a:xfrm>
                          <a:off x="6212840" y="5708015"/>
                          <a:ext cx="121285" cy="114300"/>
                        </a:xfrm>
                        <a:prstGeom prst="triangle">
                          <a:avLst/>
                        </a:prstGeom>
                        <a:solidFill>
                          <a:srgbClr val="FFC0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400.75pt;margin-top:342.85pt;height:9pt;width:9.55pt;z-index:251700224;v-text-anchor:middle;mso-width-relative:page;mso-height-relative:page;" fillcolor="#FFC000" filled="t" stroked="t" coordsize="21600,21600" o:gfxdata="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GPa7EHZAAAACwEAAA8AAAAAAAAAAQAgAAAAIgAAAGRycy9kb3ducmV2Lnht&#10;bFBLAQIUABQAAAAIAIdO4kCy+C4UowIAADIFAAAOAAAAAAAAAAEAIAAAACgBAABkcnMvZTJvRG9j&#10;LnhtbFBLBQYAAAAABgAGAFkBAAA9BgAAAAA=&#10;" adj="10800">
                <v:fill on="t" focussize="0,0"/>
                <v:stroke weight="1pt" color="#2E75B6 [2404]" miterlimit="8" joinstyle="miter"/>
                <v:imagedata o:title=""/>
                <o:lock v:ext="edit" aspectratio="f"/>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4989830</wp:posOffset>
                </wp:positionH>
                <wp:positionV relativeFrom="paragraph">
                  <wp:posOffset>3776345</wp:posOffset>
                </wp:positionV>
                <wp:extent cx="2012315" cy="978535"/>
                <wp:effectExtent l="6350" t="6350" r="13335" b="31115"/>
                <wp:wrapNone/>
                <wp:docPr id="141" name="文本框 141"/>
                <wp:cNvGraphicFramePr/>
                <a:graphic xmlns:a="http://schemas.openxmlformats.org/drawingml/2006/main">
                  <a:graphicData uri="http://schemas.microsoft.com/office/word/2010/wordprocessingShape">
                    <wps:wsp>
                      <wps:cNvSpPr txBox="1"/>
                      <wps:spPr>
                        <a:xfrm>
                          <a:off x="6077585" y="5001895"/>
                          <a:ext cx="2012315" cy="9785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A1510B6">
                            <w:pPr>
                              <w:rPr>
                                <w:rFonts w:hint="eastAsia" w:ascii="华文楷体" w:hAnsi="华文楷体" w:eastAsia="华文楷体" w:cs="华文楷体"/>
                              </w:rPr>
                            </w:pPr>
                            <w:r>
                              <w:rPr>
                                <w:rFonts w:hint="eastAsia" w:ascii="华文楷体" w:hAnsi="华文楷体" w:eastAsia="华文楷体" w:cs="华文楷体"/>
                              </w:rPr>
                              <w:t>图例：</w:t>
                            </w:r>
                          </w:p>
                          <w:p w14:paraId="152F1EB7">
                            <w:pPr>
                              <w:pStyle w:val="2"/>
                              <w:rPr>
                                <w:rFonts w:hint="eastAsia" w:ascii="华文楷体" w:hAnsi="华文楷体" w:eastAsia="华文楷体" w:cs="华文楷体"/>
                                <w:sz w:val="18"/>
                                <w:szCs w:val="18"/>
                              </w:rPr>
                            </w:pPr>
                            <w:r>
                              <w:rPr>
                                <w:rFonts w:hint="eastAsia" w:ascii="华文楷体" w:hAnsi="华文楷体" w:eastAsia="华文楷体" w:cs="华文楷体"/>
                                <w:sz w:val="18"/>
                                <w:szCs w:val="18"/>
                              </w:rPr>
                              <w:t xml:space="preserve">   环境空气质量现状检测点位示意</w:t>
                            </w:r>
                          </w:p>
                          <w:p w14:paraId="4BBA0B0D">
                            <w:r>
                              <w:rPr>
                                <w:rFonts w:hint="eastAsia"/>
                              </w:rPr>
                              <w:t xml:space="preserve">   </w:t>
                            </w:r>
                            <w:r>
                              <w:rPr>
                                <w:rFonts w:hint="eastAsia" w:ascii="华文楷体" w:hAnsi="华文楷体" w:eastAsia="华文楷体" w:cs="华文楷体"/>
                                <w:sz w:val="18"/>
                                <w:szCs w:val="18"/>
                              </w:rPr>
                              <w:t>土壤质量现状检测点位示意</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2.9pt;margin-top:297.35pt;height:77.05pt;width:158.45pt;z-index:251698176;mso-width-relative:page;mso-height-relative:page;" fillcolor="#FFFFFF [3201]" filled="t" stroked="t" coordsize="21600,21600" o:gfxdata="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WYvi5tgAAAAMAQAADwAAAAAAAAABACAAAAAiAAAAZHJzL2Rvd25yZXYueG1sUEsB&#10;AhQAFAAAAAgAh07iQFrHYqVnAgAAxwQAAA4AAAAAAAAAAQAgAAAAJwEAAGRycy9lMm9Eb2MueG1s&#10;UEsFBgAAAAAGAAYAWQEAAAAGAAAAAA==&#10;">
                <v:fill on="t" focussize="0,0"/>
                <v:stroke weight="0.5pt" color="#000000 [3204]" joinstyle="round"/>
                <v:imagedata o:title=""/>
                <o:lock v:ext="edit" aspectratio="f"/>
                <v:textbox>
                  <w:txbxContent>
                    <w:p w14:paraId="7A1510B6">
                      <w:pPr>
                        <w:rPr>
                          <w:rFonts w:hint="eastAsia" w:ascii="华文楷体" w:hAnsi="华文楷体" w:eastAsia="华文楷体" w:cs="华文楷体"/>
                        </w:rPr>
                      </w:pPr>
                      <w:r>
                        <w:rPr>
                          <w:rFonts w:hint="eastAsia" w:ascii="华文楷体" w:hAnsi="华文楷体" w:eastAsia="华文楷体" w:cs="华文楷体"/>
                        </w:rPr>
                        <w:t>图例：</w:t>
                      </w:r>
                    </w:p>
                    <w:p w14:paraId="152F1EB7">
                      <w:pPr>
                        <w:pStyle w:val="2"/>
                        <w:rPr>
                          <w:rFonts w:hint="eastAsia" w:ascii="华文楷体" w:hAnsi="华文楷体" w:eastAsia="华文楷体" w:cs="华文楷体"/>
                          <w:sz w:val="18"/>
                          <w:szCs w:val="18"/>
                        </w:rPr>
                      </w:pPr>
                      <w:r>
                        <w:rPr>
                          <w:rFonts w:hint="eastAsia" w:ascii="华文楷体" w:hAnsi="华文楷体" w:eastAsia="华文楷体" w:cs="华文楷体"/>
                          <w:sz w:val="18"/>
                          <w:szCs w:val="18"/>
                        </w:rPr>
                        <w:t xml:space="preserve">   环境空气质量现状检测点位示意</w:t>
                      </w:r>
                    </w:p>
                    <w:p w14:paraId="4BBA0B0D">
                      <w:r>
                        <w:rPr>
                          <w:rFonts w:hint="eastAsia"/>
                        </w:rPr>
                        <w:t xml:space="preserve">   </w:t>
                      </w:r>
                      <w:r>
                        <w:rPr>
                          <w:rFonts w:hint="eastAsia" w:ascii="华文楷体" w:hAnsi="华文楷体" w:eastAsia="华文楷体" w:cs="华文楷体"/>
                          <w:sz w:val="18"/>
                          <w:szCs w:val="18"/>
                        </w:rPr>
                        <w:t>土壤质量现状检测点位示意</w:t>
                      </w:r>
                    </w:p>
                  </w:txbxContent>
                </v:textbox>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4557395</wp:posOffset>
                </wp:positionH>
                <wp:positionV relativeFrom="paragraph">
                  <wp:posOffset>2259965</wp:posOffset>
                </wp:positionV>
                <wp:extent cx="370840" cy="323850"/>
                <wp:effectExtent l="0" t="0" r="0" b="0"/>
                <wp:wrapNone/>
                <wp:docPr id="140" name="文本框 140"/>
                <wp:cNvGraphicFramePr/>
                <a:graphic xmlns:a="http://schemas.openxmlformats.org/drawingml/2006/main">
                  <a:graphicData uri="http://schemas.microsoft.com/office/word/2010/wordprocessingShape">
                    <wps:wsp>
                      <wps:cNvSpPr txBox="1"/>
                      <wps:spPr>
                        <a:xfrm>
                          <a:off x="0" y="0"/>
                          <a:ext cx="370840"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C83BCE">
                            <w:pPr>
                              <w:rPr>
                                <w:rFonts w:hint="eastAsia" w:ascii="华文楷体" w:hAnsi="华文楷体" w:eastAsia="华文楷体" w:cs="华文楷体"/>
                                <w:b/>
                                <w:bCs/>
                                <w:color w:val="FFFF00"/>
                                <w:sz w:val="18"/>
                                <w:szCs w:val="18"/>
                              </w:rPr>
                            </w:pPr>
                            <w:r>
                              <w:rPr>
                                <w:rFonts w:hint="eastAsia" w:ascii="华文楷体" w:hAnsi="华文楷体" w:eastAsia="华文楷体" w:cs="华文楷体"/>
                                <w:b/>
                                <w:bCs/>
                                <w:color w:val="FFFF00"/>
                                <w:sz w:val="18"/>
                                <w:szCs w:val="18"/>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8.85pt;margin-top:177.95pt;height:25.5pt;width:29.2pt;z-index:251697152;mso-width-relative:page;mso-height-relative:page;" filled="f" stroked="f" coordsize="21600,21600" o:gfxdata="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&#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P4PAOvcAAAACwEAAA8AAAAAAAAAAQAgAAAAIgAAAGRy&#10;cy9kb3ducmV2LnhtbFBLAQIUABQAAAAIAIdO4kC+m81fOgIAAGkEAAAOAAAAAAAAAAEAIAAAACsB&#10;AABkcnMvZTJvRG9jLnhtbFBLBQYAAAAABgAGAFkBAADXBQAAAAA=&#10;">
                <v:fill on="f" focussize="0,0"/>
                <v:stroke on="f" weight="0.5pt"/>
                <v:imagedata o:title=""/>
                <o:lock v:ext="edit" aspectratio="f"/>
                <v:textbox>
                  <w:txbxContent>
                    <w:p w14:paraId="26C83BCE">
                      <w:pPr>
                        <w:rPr>
                          <w:rFonts w:hint="eastAsia" w:ascii="华文楷体" w:hAnsi="华文楷体" w:eastAsia="华文楷体" w:cs="华文楷体"/>
                          <w:b/>
                          <w:bCs/>
                          <w:color w:val="FFFF00"/>
                          <w:sz w:val="18"/>
                          <w:szCs w:val="18"/>
                        </w:rPr>
                      </w:pPr>
                      <w:r>
                        <w:rPr>
                          <w:rFonts w:hint="eastAsia" w:ascii="华文楷体" w:hAnsi="华文楷体" w:eastAsia="华文楷体" w:cs="华文楷体"/>
                          <w:b/>
                          <w:bCs/>
                          <w:color w:val="FFFF00"/>
                          <w:sz w:val="18"/>
                          <w:szCs w:val="18"/>
                        </w:rPr>
                        <w:t>2#</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4848860</wp:posOffset>
                </wp:positionH>
                <wp:positionV relativeFrom="paragraph">
                  <wp:posOffset>2074545</wp:posOffset>
                </wp:positionV>
                <wp:extent cx="370840" cy="323850"/>
                <wp:effectExtent l="0" t="0" r="0" b="0"/>
                <wp:wrapNone/>
                <wp:docPr id="138" name="文本框 138"/>
                <wp:cNvGraphicFramePr/>
                <a:graphic xmlns:a="http://schemas.openxmlformats.org/drawingml/2006/main">
                  <a:graphicData uri="http://schemas.microsoft.com/office/word/2010/wordprocessingShape">
                    <wps:wsp>
                      <wps:cNvSpPr txBox="1"/>
                      <wps:spPr>
                        <a:xfrm>
                          <a:off x="0" y="0"/>
                          <a:ext cx="370840"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71F3CF">
                            <w:pPr>
                              <w:rPr>
                                <w:rFonts w:hint="eastAsia" w:ascii="华文楷体" w:hAnsi="华文楷体" w:eastAsia="华文楷体" w:cs="华文楷体"/>
                                <w:b/>
                                <w:bCs/>
                                <w:color w:val="FFFF00"/>
                                <w:sz w:val="18"/>
                                <w:szCs w:val="18"/>
                              </w:rPr>
                            </w:pPr>
                            <w:r>
                              <w:rPr>
                                <w:rFonts w:hint="eastAsia" w:ascii="华文楷体" w:hAnsi="华文楷体" w:eastAsia="华文楷体" w:cs="华文楷体"/>
                                <w:b/>
                                <w:bCs/>
                                <w:color w:val="FFFF00"/>
                                <w:sz w:val="18"/>
                                <w:szCs w:val="18"/>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1.8pt;margin-top:163.35pt;height:25.5pt;width:29.2pt;z-index:251696128;mso-width-relative:page;mso-height-relative:page;" filled="f" stroked="f" coordsize="21600,21600" o:gfxdata="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&#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Phnn3TbAAAACwEAAA8AAAAAAAAAAQAgAAAAIgAAAGRy&#10;cy9kb3ducmV2LnhtbFBLAQIUABQAAAAIAIdO4kDrWyF7OwIAAGkEAAAOAAAAAAAAAAEAIAAAACoB&#10;AABkcnMvZTJvRG9jLnhtbFBLBQYAAAAABgAGAFkBAADXBQAAAAA=&#10;">
                <v:fill on="f" focussize="0,0"/>
                <v:stroke on="f" weight="0.5pt"/>
                <v:imagedata o:title=""/>
                <o:lock v:ext="edit" aspectratio="f"/>
                <v:textbox>
                  <w:txbxContent>
                    <w:p w14:paraId="3F71F3CF">
                      <w:pPr>
                        <w:rPr>
                          <w:rFonts w:hint="eastAsia" w:ascii="华文楷体" w:hAnsi="华文楷体" w:eastAsia="华文楷体" w:cs="华文楷体"/>
                          <w:b/>
                          <w:bCs/>
                          <w:color w:val="FFFF00"/>
                          <w:sz w:val="18"/>
                          <w:szCs w:val="18"/>
                        </w:rPr>
                      </w:pPr>
                      <w:r>
                        <w:rPr>
                          <w:rFonts w:hint="eastAsia" w:ascii="华文楷体" w:hAnsi="华文楷体" w:eastAsia="华文楷体" w:cs="华文楷体"/>
                          <w:b/>
                          <w:bCs/>
                          <w:color w:val="FFFF00"/>
                          <w:sz w:val="18"/>
                          <w:szCs w:val="18"/>
                        </w:rPr>
                        <w:t>1#</w:t>
                      </w:r>
                    </w:p>
                  </w:txbxContent>
                </v:textbox>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5235575</wp:posOffset>
                </wp:positionH>
                <wp:positionV relativeFrom="paragraph">
                  <wp:posOffset>2061210</wp:posOffset>
                </wp:positionV>
                <wp:extent cx="370840" cy="323850"/>
                <wp:effectExtent l="0" t="0" r="0" b="0"/>
                <wp:wrapNone/>
                <wp:docPr id="136" name="文本框 136"/>
                <wp:cNvGraphicFramePr/>
                <a:graphic xmlns:a="http://schemas.openxmlformats.org/drawingml/2006/main">
                  <a:graphicData uri="http://schemas.microsoft.com/office/word/2010/wordprocessingShape">
                    <wps:wsp>
                      <wps:cNvSpPr txBox="1"/>
                      <wps:spPr>
                        <a:xfrm>
                          <a:off x="0" y="0"/>
                          <a:ext cx="370840"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A0B7AD">
                            <w:pPr>
                              <w:rPr>
                                <w:rFonts w:hint="eastAsia" w:ascii="华文楷体" w:hAnsi="华文楷体" w:eastAsia="华文楷体" w:cs="华文楷体"/>
                                <w:b/>
                                <w:bCs/>
                                <w:color w:val="FFFF00"/>
                                <w:sz w:val="18"/>
                                <w:szCs w:val="18"/>
                              </w:rPr>
                            </w:pPr>
                            <w:r>
                              <w:rPr>
                                <w:rFonts w:hint="eastAsia" w:ascii="华文楷体" w:hAnsi="华文楷体" w:eastAsia="华文楷体" w:cs="华文楷体"/>
                                <w:b/>
                                <w:bCs/>
                                <w:color w:val="FFFF00"/>
                                <w:sz w:val="18"/>
                                <w:szCs w:val="18"/>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2.25pt;margin-top:162.3pt;height:25.5pt;width:29.2pt;z-index:251695104;mso-width-relative:page;mso-height-relative:page;" filled="f" stroked="f" coordsize="21600,21600" o:gfxdata="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&#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IM4Bt3AAAAAsBAAAPAAAAAAAAAAEAIAAAACIAAABk&#10;cnMvZG93bnJldi54bWxQSwECFAAUAAAACACHTuJA7ADApDsCAABpBAAADgAAAAAAAAABACAAAAAr&#10;AQAAZHJzL2Uyb0RvYy54bWxQSwUGAAAAAAYABgBZAQAA2AUAAAAA&#10;">
                <v:fill on="f" focussize="0,0"/>
                <v:stroke on="f" weight="0.5pt"/>
                <v:imagedata o:title=""/>
                <o:lock v:ext="edit" aspectratio="f"/>
                <v:textbox>
                  <w:txbxContent>
                    <w:p w14:paraId="3BA0B7AD">
                      <w:pPr>
                        <w:rPr>
                          <w:rFonts w:hint="eastAsia" w:ascii="华文楷体" w:hAnsi="华文楷体" w:eastAsia="华文楷体" w:cs="华文楷体"/>
                          <w:b/>
                          <w:bCs/>
                          <w:color w:val="FFFF00"/>
                          <w:sz w:val="18"/>
                          <w:szCs w:val="18"/>
                        </w:rPr>
                      </w:pPr>
                      <w:r>
                        <w:rPr>
                          <w:rFonts w:hint="eastAsia" w:ascii="华文楷体" w:hAnsi="华文楷体" w:eastAsia="华文楷体" w:cs="华文楷体"/>
                          <w:b/>
                          <w:bCs/>
                          <w:color w:val="FFFF00"/>
                          <w:sz w:val="18"/>
                          <w:szCs w:val="18"/>
                        </w:rPr>
                        <w:t>2#</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1835785</wp:posOffset>
                </wp:positionH>
                <wp:positionV relativeFrom="paragraph">
                  <wp:posOffset>2086610</wp:posOffset>
                </wp:positionV>
                <wp:extent cx="370840" cy="323850"/>
                <wp:effectExtent l="0" t="0" r="0" b="0"/>
                <wp:wrapNone/>
                <wp:docPr id="135" name="文本框 135"/>
                <wp:cNvGraphicFramePr/>
                <a:graphic xmlns:a="http://schemas.openxmlformats.org/drawingml/2006/main">
                  <a:graphicData uri="http://schemas.microsoft.com/office/word/2010/wordprocessingShape">
                    <wps:wsp>
                      <wps:cNvSpPr txBox="1"/>
                      <wps:spPr>
                        <a:xfrm>
                          <a:off x="4251325" y="2912745"/>
                          <a:ext cx="370840"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E945C2">
                            <w:pPr>
                              <w:rPr>
                                <w:rFonts w:hint="eastAsia" w:ascii="华文楷体" w:hAnsi="华文楷体" w:eastAsia="华文楷体" w:cs="华文楷体"/>
                                <w:b/>
                                <w:bCs/>
                                <w:color w:val="FFFF00"/>
                                <w:sz w:val="18"/>
                                <w:szCs w:val="18"/>
                              </w:rPr>
                            </w:pPr>
                            <w:r>
                              <w:rPr>
                                <w:rFonts w:hint="eastAsia" w:ascii="华文楷体" w:hAnsi="华文楷体" w:eastAsia="华文楷体" w:cs="华文楷体"/>
                                <w:b/>
                                <w:bCs/>
                                <w:color w:val="FFFF00"/>
                                <w:sz w:val="18"/>
                                <w:szCs w:val="18"/>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4.55pt;margin-top:164.3pt;height:25.5pt;width:29.2pt;z-index:251693056;mso-width-relative:page;mso-height-relative:page;" filled="f" stroked="f" coordsize="21600,21600" o:gfxdata="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60L4n3QAAAAsBAAAPAAAA&#10;AAAAAAEAIAAAACIAAABkcnMvZG93bnJldi54bWxQSwECFAAUAAAACACHTuJAvOSJ6EkCAAB1BAAA&#10;DgAAAAAAAAABACAAAAAsAQAAZHJzL2Uyb0RvYy54bWxQSwUGAAAAAAYABgBZAQAA5wUAAAAA&#10;">
                <v:fill on="f" focussize="0,0"/>
                <v:stroke on="f" weight="0.5pt"/>
                <v:imagedata o:title=""/>
                <o:lock v:ext="edit" aspectratio="f"/>
                <v:textbox>
                  <w:txbxContent>
                    <w:p w14:paraId="38E945C2">
                      <w:pPr>
                        <w:rPr>
                          <w:rFonts w:hint="eastAsia" w:ascii="华文楷体" w:hAnsi="华文楷体" w:eastAsia="华文楷体" w:cs="华文楷体"/>
                          <w:b/>
                          <w:bCs/>
                          <w:color w:val="FFFF00"/>
                          <w:sz w:val="18"/>
                          <w:szCs w:val="18"/>
                        </w:rPr>
                      </w:pPr>
                      <w:r>
                        <w:rPr>
                          <w:rFonts w:hint="eastAsia" w:ascii="华文楷体" w:hAnsi="华文楷体" w:eastAsia="华文楷体" w:cs="华文楷体"/>
                          <w:b/>
                          <w:bCs/>
                          <w:color w:val="FFFF00"/>
                          <w:sz w:val="18"/>
                          <w:szCs w:val="18"/>
                        </w:rPr>
                        <w:t>1#</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5116195</wp:posOffset>
                </wp:positionH>
                <wp:positionV relativeFrom="paragraph">
                  <wp:posOffset>1910715</wp:posOffset>
                </wp:positionV>
                <wp:extent cx="486410" cy="522605"/>
                <wp:effectExtent l="8255" t="8255" r="13335" b="27940"/>
                <wp:wrapNone/>
                <wp:docPr id="129" name="任意多边形 129"/>
                <wp:cNvGraphicFramePr/>
                <a:graphic xmlns:a="http://schemas.openxmlformats.org/drawingml/2006/main">
                  <a:graphicData uri="http://schemas.microsoft.com/office/word/2010/wordprocessingShape">
                    <wps:wsp>
                      <wps:cNvSpPr/>
                      <wps:spPr>
                        <a:xfrm>
                          <a:off x="6213475" y="3261360"/>
                          <a:ext cx="486410" cy="522605"/>
                        </a:xfrm>
                        <a:custGeom>
                          <a:avLst/>
                          <a:gdLst>
                            <a:gd name="connisteX0" fmla="*/ 486410 w 486410"/>
                            <a:gd name="connsiteY0" fmla="*/ 374015 h 522605"/>
                            <a:gd name="connisteX1" fmla="*/ 306705 w 486410"/>
                            <a:gd name="connsiteY1" fmla="*/ 0 h 522605"/>
                            <a:gd name="connisteX2" fmla="*/ 0 w 486410"/>
                            <a:gd name="connsiteY2" fmla="*/ 153035 h 522605"/>
                            <a:gd name="connisteX3" fmla="*/ 179070 w 486410"/>
                            <a:gd name="connsiteY3" fmla="*/ 522605 h 522605"/>
                            <a:gd name="connisteX4" fmla="*/ 486410 w 486410"/>
                            <a:gd name="connsiteY4" fmla="*/ 374015 h 52260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486410" h="522605">
                              <a:moveTo>
                                <a:pt x="486410" y="374015"/>
                              </a:moveTo>
                              <a:lnTo>
                                <a:pt x="306705" y="0"/>
                              </a:lnTo>
                              <a:lnTo>
                                <a:pt x="0" y="153035"/>
                              </a:lnTo>
                              <a:lnTo>
                                <a:pt x="179070" y="522605"/>
                              </a:lnTo>
                              <a:lnTo>
                                <a:pt x="486410" y="374015"/>
                              </a:lnTo>
                              <a:close/>
                            </a:path>
                          </a:pathLst>
                        </a:custGeom>
                        <a:solidFill>
                          <a:schemeClr val="accent1">
                            <a:alpha val="0"/>
                          </a:schemeClr>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02.85pt;margin-top:150.45pt;height:41.15pt;width:38.3pt;z-index:251688960;mso-width-relative:page;mso-height-relative:page;" fillcolor="#5B9BD5 [3204]" filled="t" stroked="t" coordsize="486410,522605" o:gfxdata="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" path="m486410,374015l306705,0,0,153035,179070,522605,486410,374015xe">
                <v:path o:connectlocs="486410,374015;306705,0;0,153035;179070,522605;486410,374015" o:connectangles="0,0,0,0,0"/>
                <v:fill on="t" opacity="0f" focussize="0,0"/>
                <v:stroke weight="1pt" color="#FF0000 [2404]" miterlimit="8" joinstyle="miter"/>
                <v:imagedata o:title=""/>
                <o:lock v:ext="edit" aspectratio="f"/>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5238750</wp:posOffset>
                </wp:positionH>
                <wp:positionV relativeFrom="paragraph">
                  <wp:posOffset>2188210</wp:posOffset>
                </wp:positionV>
                <wp:extent cx="118745" cy="118745"/>
                <wp:effectExtent l="6350" t="6350" r="27305" b="27305"/>
                <wp:wrapNone/>
                <wp:docPr id="127" name="椭圆 127"/>
                <wp:cNvGraphicFramePr/>
                <a:graphic xmlns:a="http://schemas.openxmlformats.org/drawingml/2006/main">
                  <a:graphicData uri="http://schemas.microsoft.com/office/word/2010/wordprocessingShape">
                    <wps:wsp>
                      <wps:cNvSpPr/>
                      <wps:spPr>
                        <a:xfrm>
                          <a:off x="6315075" y="3587750"/>
                          <a:ext cx="118745" cy="11874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12.5pt;margin-top:172.3pt;height:9.35pt;width:9.35pt;z-index:251687936;v-text-anchor:middle;mso-width-relative:page;mso-height-relative:page;" fillcolor="#FF0000" filled="t" stroked="t" coordsize="21600,21600" o:gfxdata="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gg9+odcAAAALAQAADwAAAAAAAAABACAAAAAiAAAAZHJz&#10;L2Rvd25yZXYueG1sUEsBAhQAFAAAAAgAh07iQK0ueT13AgAABgUAAA4AAAAAAAAAAQAgAAAAJgEA&#10;AGRycy9lMm9Eb2MueG1sUEsFBgAAAAAGAAYAWQEAAA8GAAAAAA==&#10;">
                <v:fill on="t" focussize="0,0"/>
                <v:stroke weight="1pt" color="#FF0000 [2404]" miterlimit="8" joinstyle="miter"/>
                <v:imagedata o:title=""/>
                <o:lock v:ext="edit" aspectratio="f"/>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5071110</wp:posOffset>
                </wp:positionH>
                <wp:positionV relativeFrom="paragraph">
                  <wp:posOffset>2149475</wp:posOffset>
                </wp:positionV>
                <wp:extent cx="109855" cy="104140"/>
                <wp:effectExtent l="10795" t="13335" r="31750" b="9525"/>
                <wp:wrapNone/>
                <wp:docPr id="132" name="等腰三角形 132"/>
                <wp:cNvGraphicFramePr/>
                <a:graphic xmlns:a="http://schemas.openxmlformats.org/drawingml/2006/main">
                  <a:graphicData uri="http://schemas.microsoft.com/office/word/2010/wordprocessingShape">
                    <wps:wsp>
                      <wps:cNvSpPr/>
                      <wps:spPr>
                        <a:xfrm>
                          <a:off x="6151880" y="3450590"/>
                          <a:ext cx="109855" cy="104140"/>
                        </a:xfrm>
                        <a:prstGeom prst="triangle">
                          <a:avLst/>
                        </a:prstGeom>
                        <a:solidFill>
                          <a:srgbClr val="FFC0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99.3pt;margin-top:169.25pt;height:8.2pt;width:8.65pt;z-index:251692032;v-text-anchor:middle;mso-width-relative:page;mso-height-relative:page;" fillcolor="#FFC000" filled="t" stroked="t" coordsize="21600,21600" o:gfxdata="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X2O/NtoAAAALAQAADwAAAAAAAAABACAAAAAiAAAAZHJzL2Rvd25y&#10;ZXYueG1sUEsBAhQAFAAAAAgAh07iQOJ47xWnAgAAMgUAAA4AAAAAAAAAAQAgAAAAKQEAAGRycy9l&#10;Mm9Eb2MueG1sUEsFBgAAAAAGAAYAWQEAAEIGAAAAAA==&#10;" adj="10800">
                <v:fill on="t" focussize="0,0"/>
                <v:stroke weight="1pt" color="#2E75B6 [2404]" miterlimit="8" joinstyle="miter"/>
                <v:imagedata o:title=""/>
                <o:lock v:ext="edit" aspectratio="f"/>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4765675</wp:posOffset>
                </wp:positionH>
                <wp:positionV relativeFrom="paragraph">
                  <wp:posOffset>2277110</wp:posOffset>
                </wp:positionV>
                <wp:extent cx="118745" cy="112395"/>
                <wp:effectExtent l="10795" t="13335" r="22860" b="26670"/>
                <wp:wrapNone/>
                <wp:docPr id="131" name="等腰三角形 131"/>
                <wp:cNvGraphicFramePr/>
                <a:graphic xmlns:a="http://schemas.openxmlformats.org/drawingml/2006/main">
                  <a:graphicData uri="http://schemas.microsoft.com/office/word/2010/wordprocessingShape">
                    <wps:wsp>
                      <wps:cNvSpPr/>
                      <wps:spPr>
                        <a:xfrm>
                          <a:off x="5876925" y="3658235"/>
                          <a:ext cx="118745" cy="112395"/>
                        </a:xfrm>
                        <a:prstGeom prst="triangle">
                          <a:avLst/>
                        </a:prstGeom>
                        <a:solidFill>
                          <a:srgbClr val="FFC0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75.25pt;margin-top:179.3pt;height:8.85pt;width:9.35pt;z-index:251691008;v-text-anchor:middle;mso-width-relative:page;mso-height-relative:page;" fillcolor="#FFC000" filled="t" stroked="t" coordsize="21600,21600" o:gfxdata="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D4Gqbi2gAAAAsBAAAPAAAAAAAAAAEAIAAAACIAAABkcnMvZG93&#10;bnJldi54bWxQSwECFAAUAAAACACHTuJAvB33fqkCAAAyBQAADgAAAAAAAAABACAAAAApAQAAZHJz&#10;L2Uyb0RvYy54bWxQSwUGAAAAAAYABgBZAQAARAYAAAAA&#10;" adj="10800">
                <v:fill on="t" focussize="0,0"/>
                <v:stroke weight="1pt" color="#2E75B6 [2404]" miterlimit="8" joinstyle="miter"/>
                <v:imagedata o:title=""/>
                <o:lock v:ext="edit" aspectratio="f"/>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5749290</wp:posOffset>
                </wp:positionH>
                <wp:positionV relativeFrom="paragraph">
                  <wp:posOffset>2544445</wp:posOffset>
                </wp:positionV>
                <wp:extent cx="1059815" cy="311150"/>
                <wp:effectExtent l="346075" t="285115" r="16510" b="13335"/>
                <wp:wrapNone/>
                <wp:docPr id="130" name="圆角矩形标注 130"/>
                <wp:cNvGraphicFramePr/>
                <a:graphic xmlns:a="http://schemas.openxmlformats.org/drawingml/2006/main">
                  <a:graphicData uri="http://schemas.microsoft.com/office/word/2010/wordprocessingShape">
                    <wps:wsp>
                      <wps:cNvSpPr/>
                      <wps:spPr>
                        <a:xfrm>
                          <a:off x="4973955" y="4603115"/>
                          <a:ext cx="1059815" cy="311150"/>
                        </a:xfrm>
                        <a:prstGeom prst="wedgeRoundRectCallout">
                          <a:avLst>
                            <a:gd name="adj1" fmla="val -78197"/>
                            <a:gd name="adj2" fmla="val -134222"/>
                            <a:gd name="adj3" fmla="val 1666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15B2EFBF">
                            <w:pPr>
                              <w:jc w:val="center"/>
                              <w:rPr>
                                <w:rFonts w:hint="eastAsia" w:ascii="华文楷体" w:hAnsi="华文楷体" w:eastAsia="华文楷体" w:cs="华文楷体"/>
                                <w:b/>
                                <w:bCs/>
                                <w:sz w:val="18"/>
                                <w:szCs w:val="18"/>
                              </w:rPr>
                            </w:pPr>
                            <w:r>
                              <w:rPr>
                                <w:rFonts w:hint="eastAsia" w:ascii="华文楷体" w:hAnsi="华文楷体" w:eastAsia="华文楷体" w:cs="华文楷体"/>
                                <w:b/>
                                <w:bCs/>
                                <w:sz w:val="18"/>
                                <w:szCs w:val="18"/>
                              </w:rPr>
                              <w:t>本项目位置示意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452.7pt;margin-top:200.35pt;height:24.5pt;width:83.45pt;z-index:251689984;v-text-anchor:middle;mso-width-relative:page;mso-height-relative:page;" fillcolor="#5B9BD5 [3204]" filled="t" stroked="t" coordsize="21600,21600" o:gfxdata="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" adj="-6091,-18192,14400">
                <v:fill on="t" focussize="0,0"/>
                <v:stroke weight="1pt" color="#2E75B6 [2404]" miterlimit="8" joinstyle="miter"/>
                <v:imagedata o:title=""/>
                <o:lock v:ext="edit" aspectratio="f"/>
                <v:textbox>
                  <w:txbxContent>
                    <w:p w14:paraId="15B2EFBF">
                      <w:pPr>
                        <w:jc w:val="center"/>
                        <w:rPr>
                          <w:rFonts w:hint="eastAsia" w:ascii="华文楷体" w:hAnsi="华文楷体" w:eastAsia="华文楷体" w:cs="华文楷体"/>
                          <w:b/>
                          <w:bCs/>
                          <w:sz w:val="18"/>
                          <w:szCs w:val="18"/>
                        </w:rPr>
                      </w:pPr>
                      <w:r>
                        <w:rPr>
                          <w:rFonts w:hint="eastAsia" w:ascii="华文楷体" w:hAnsi="华文楷体" w:eastAsia="华文楷体" w:cs="华文楷体"/>
                          <w:b/>
                          <w:bCs/>
                          <w:sz w:val="18"/>
                          <w:szCs w:val="18"/>
                        </w:rPr>
                        <w:t>本项目位置示意</w:t>
                      </w: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1802765</wp:posOffset>
                </wp:positionH>
                <wp:positionV relativeFrom="paragraph">
                  <wp:posOffset>2188845</wp:posOffset>
                </wp:positionV>
                <wp:extent cx="92710" cy="100965"/>
                <wp:effectExtent l="6350" t="6350" r="27940" b="19685"/>
                <wp:wrapNone/>
                <wp:docPr id="126" name="椭圆 126"/>
                <wp:cNvGraphicFramePr/>
                <a:graphic xmlns:a="http://schemas.openxmlformats.org/drawingml/2006/main">
                  <a:graphicData uri="http://schemas.microsoft.com/office/word/2010/wordprocessingShape">
                    <wps:wsp>
                      <wps:cNvSpPr/>
                      <wps:spPr>
                        <a:xfrm>
                          <a:off x="2883535" y="3557270"/>
                          <a:ext cx="92710" cy="10096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41.95pt;margin-top:172.35pt;height:7.95pt;width:7.3pt;z-index:251686912;v-text-anchor:middle;mso-width-relative:page;mso-height-relative:page;" fillcolor="#FF0000" filled="t" stroked="t" coordsize="21600,21600" o:gfxdata="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skMyV2AAAAAsBAAAPAAAAAAAAAAEAIAAAACIA&#10;AABkcnMvZG93bnJldi54bWxQSwECFAAUAAAACACHTuJAEKBm83sCAAAFBQAADgAAAAAAAAABACAA&#10;AAAnAQAAZHJzL2Uyb0RvYy54bWxQSwUGAAAAAAYABgBZAQAAFAYAAAAA&#10;">
                <v:fill on="t" focussize="0,0"/>
                <v:stroke weight="1pt" color="#FF0000 [2404]" miterlimit="8" joinstyle="miter"/>
                <v:imagedata o:title=""/>
                <o:lock v:ext="edit" aspectratio="f"/>
              </v:shape>
            </w:pict>
          </mc:Fallback>
        </mc:AlternateContent>
      </w:r>
      <w:r>
        <w:drawing>
          <wp:inline distT="0" distB="0" distL="114300" distR="114300">
            <wp:extent cx="8528685" cy="4803140"/>
            <wp:effectExtent l="0" t="0" r="5715" b="22860"/>
            <wp:docPr id="12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46"/>
                    <pic:cNvPicPr>
                      <a:picLocks noChangeAspect="1"/>
                    </pic:cNvPicPr>
                  </pic:nvPicPr>
                  <pic:blipFill>
                    <a:blip r:embed="rId116"/>
                    <a:stretch>
                      <a:fillRect/>
                    </a:stretch>
                  </pic:blipFill>
                  <pic:spPr>
                    <a:xfrm>
                      <a:off x="0" y="0"/>
                      <a:ext cx="8528685" cy="4803140"/>
                    </a:xfrm>
                    <a:prstGeom prst="rect">
                      <a:avLst/>
                    </a:prstGeom>
                    <a:noFill/>
                    <a:ln>
                      <a:noFill/>
                    </a:ln>
                  </pic:spPr>
                </pic:pic>
              </a:graphicData>
            </a:graphic>
          </wp:inline>
        </w:drawing>
      </w:r>
    </w:p>
    <w:sectPr>
      <w:pgSz w:w="16838" w:h="11906" w:orient="landscape"/>
      <w:pgMar w:top="1531" w:right="1702" w:bottom="1531" w:left="1702" w:header="851" w:footer="141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9F8A117-2D70-4D6E-B2E7-FACC5B73F66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CE8EBEB-A1EC-489C-839E-81AD26BFCFEF}"/>
  </w:font>
  <w:font w:name="仿宋_GB2312">
    <w:panose1 w:val="02010609030101010101"/>
    <w:charset w:val="86"/>
    <w:family w:val="modern"/>
    <w:pitch w:val="default"/>
    <w:sig w:usb0="00000001" w:usb1="080E0000" w:usb2="00000000" w:usb3="00000000" w:csb0="00040000" w:csb1="00000000"/>
    <w:embedRegular r:id="rId3" w:fontKey="{73168D4B-DD6E-42C0-8403-89EFCBEBE34E}"/>
  </w:font>
  <w:font w:name="Cambria">
    <w:panose1 w:val="02040503050406030204"/>
    <w:charset w:val="00"/>
    <w:family w:val="roman"/>
    <w:pitch w:val="default"/>
    <w:sig w:usb0="E00006FF" w:usb1="420024FF" w:usb2="02000000" w:usb3="00000000" w:csb0="2000019F" w:csb1="00000000"/>
  </w:font>
  <w:font w:name="MingLiU">
    <w:altName w:val="PMingLiU-ExtB"/>
    <w:panose1 w:val="02020509000000000000"/>
    <w:charset w:val="88"/>
    <w:family w:val="modern"/>
    <w:pitch w:val="default"/>
    <w:sig w:usb0="00000000" w:usb1="00000000" w:usb2="00000016" w:usb3="00000000" w:csb0="00100001" w:csb1="00000000"/>
  </w:font>
  <w:font w:name="宋体-繁">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embedRegular r:id="rId4" w:fontKey="{E11BE209-2FB2-4B9D-8663-460E3DBCF13A}"/>
  </w:font>
  <w:font w:name="Helvetica">
    <w:altName w:val="Arial"/>
    <w:panose1 w:val="00000000000000000000"/>
    <w:charset w:val="00"/>
    <w:family w:val="auto"/>
    <w:pitch w:val="default"/>
    <w:sig w:usb0="00000000" w:usb1="00000000" w:usb2="00000000" w:usb3="00000000" w:csb0="2000019F" w:csb1="4F010000"/>
  </w:font>
  <w:font w:name="楷体_GB2312">
    <w:panose1 w:val="02010609030101010101"/>
    <w:charset w:val="86"/>
    <w:family w:val="modern"/>
    <w:pitch w:val="default"/>
    <w:sig w:usb0="00000001" w:usb1="080E0000" w:usb2="00000000" w:usb3="00000000" w:csb0="00040000" w:csb1="00000000"/>
    <w:embedRegular r:id="rId5" w:fontKey="{5D6A1505-CA69-4EDA-954F-2AC1946833B5}"/>
  </w:font>
  <w:font w:name="楷体">
    <w:panose1 w:val="02010609060101010101"/>
    <w:charset w:val="86"/>
    <w:family w:val="modern"/>
    <w:pitch w:val="default"/>
    <w:sig w:usb0="800002BF" w:usb1="38CF7CFA" w:usb2="00000016" w:usb3="00000000" w:csb0="00040001" w:csb1="00000000"/>
    <w:embedRegular r:id="rId6" w:fontKey="{7EA8A70D-4785-4B9B-9BC2-F7933C79B7BD}"/>
  </w:font>
  <w:font w:name="宋体-PUA">
    <w:altName w:val="宋体"/>
    <w:panose1 w:val="02010600030101010101"/>
    <w:charset w:val="86"/>
    <w:family w:val="auto"/>
    <w:pitch w:val="default"/>
    <w:sig w:usb0="00000000" w:usb1="00000000" w:usb2="00000000" w:usb3="00000000" w:csb0="00040000" w:csb1="00000000"/>
    <w:embedRegular r:id="rId7" w:fontKey="{48039ACC-21BE-4F48-B0E5-7AC373A9D9F0}"/>
  </w:font>
  <w:font w:name="汉仪书宋二KW">
    <w:altName w:val="宋体"/>
    <w:panose1 w:val="00020600040101010101"/>
    <w:charset w:val="86"/>
    <w:family w:val="auto"/>
    <w:pitch w:val="default"/>
    <w:sig w:usb0="00000000" w:usb1="00000000" w:usb2="00000016" w:usb3="00000000" w:csb0="00040000" w:csb1="00000000"/>
  </w:font>
  <w:font w:name="Times New Roman Bold">
    <w:panose1 w:val="02020503050405090304"/>
    <w:charset w:val="00"/>
    <w:family w:val="auto"/>
    <w:pitch w:val="default"/>
    <w:sig w:usb0="00000000" w:usb1="00000000" w:usb2="00000001" w:usb3="00000000" w:csb0="400001BF" w:csb1="DFF70000"/>
    <w:embedRegular r:id="rId8" w:fontKey="{A782F30E-41A8-44CE-9874-B4C0A29A546E}"/>
  </w:font>
  <w:font w:name="KaTeX_Math">
    <w:altName w:val="Segoe Print"/>
    <w:panose1 w:val="00000000000000000000"/>
    <w:charset w:val="00"/>
    <w:family w:val="auto"/>
    <w:pitch w:val="default"/>
    <w:sig w:usb0="00000000" w:usb1="00000000" w:usb2="00000000" w:usb3="00000000" w:csb0="00000000" w:csb1="00000000"/>
    <w:embedRegular r:id="rId9" w:fontKey="{A3DDDE91-C52B-4641-8B1C-641AF08E8ABE}"/>
  </w:font>
  <w:font w:name="苹方-简">
    <w:altName w:val="宋体"/>
    <w:panose1 w:val="020B0400000000000000"/>
    <w:charset w:val="86"/>
    <w:family w:val="auto"/>
    <w:pitch w:val="default"/>
    <w:sig w:usb0="00000000" w:usb1="00000000" w:usb2="00000017" w:usb3="00000000" w:csb0="00040001" w:csb1="00000000"/>
  </w:font>
  <w:font w:name="华文楷体">
    <w:altName w:val="楷体_GB2312"/>
    <w:panose1 w:val="02010600040101010101"/>
    <w:charset w:val="86"/>
    <w:family w:val="auto"/>
    <w:pitch w:val="default"/>
    <w:sig w:usb0="00000000" w:usb1="00000000" w:usb2="00000016" w:usb3="00000000" w:csb0="0004001F" w:csb1="00000000"/>
    <w:embedRegular r:id="rId10" w:fontKey="{D9BC84E9-A8A1-4A47-A398-BB76AEA1E456}"/>
  </w:font>
  <w:font w:name="方正小标宋_GBK">
    <w:altName w:val="微软雅黑"/>
    <w:panose1 w:val="02000000000000000000"/>
    <w:charset w:val="86"/>
    <w:family w:val="script"/>
    <w:pitch w:val="default"/>
    <w:sig w:usb0="00000000" w:usb1="00000000" w:usb2="00082016" w:usb3="00000000" w:csb0="00040001" w:csb1="00000000"/>
    <w:embedRegular r:id="rId11" w:fontKey="{31ED95E4-214D-4D10-B3FC-45D59D398519}"/>
  </w:font>
  <w:font w:name="方正仿宋简体">
    <w:altName w:val="微软雅黑"/>
    <w:panose1 w:val="02000000000000000000"/>
    <w:charset w:val="86"/>
    <w:family w:val="script"/>
    <w:pitch w:val="default"/>
    <w:sig w:usb0="00000000" w:usb1="00000000" w:usb2="00000012" w:usb3="00000000" w:csb0="00040001" w:csb1="00000000"/>
    <w:embedRegular r:id="rId12" w:fontKey="{85C7FC5E-2723-4871-B209-EEF45B17269F}"/>
  </w:font>
  <w:font w:name="仿宋-简">
    <w:altName w:val="仿宋"/>
    <w:panose1 w:val="02010609060101010101"/>
    <w:charset w:val="86"/>
    <w:family w:val="auto"/>
    <w:pitch w:val="default"/>
    <w:sig w:usb0="00000000" w:usb1="00000000" w:usb2="00000016" w:usb3="00000000" w:csb0="00040001" w:csb1="00000000"/>
  </w:font>
  <w:font w:name="方正仿宋">
    <w:altName w:val="仿宋"/>
    <w:panose1 w:val="03000509000000000000"/>
    <w:charset w:val="86"/>
    <w:family w:val="auto"/>
    <w:pitch w:val="default"/>
    <w:sig w:usb0="00000000" w:usb1="00000000" w:usb2="00000000" w:usb3="00000000" w:csb0="00040000" w:csb1="00000000"/>
    <w:embedRegular r:id="rId13" w:fontKey="{794FFDAD-8B8C-4470-A2B6-E92A946FD0D3}"/>
  </w:font>
  <w:font w:name="方正楷体_GB2312">
    <w:panose1 w:val="02000000000000000000"/>
    <w:charset w:val="86"/>
    <w:family w:val="auto"/>
    <w:pitch w:val="default"/>
    <w:sig w:usb0="A00002BF" w:usb1="184F6CFA" w:usb2="00000012" w:usb3="00000000" w:csb0="00040001" w:csb1="00000000"/>
    <w:embedRegular r:id="rId14" w:fontKey="{5E26FB80-9401-4BF1-9246-AB80012ECBE1}"/>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00000000000000000"/>
    <w:charset w:val="86"/>
    <w:family w:val="auto"/>
    <w:pitch w:val="default"/>
    <w:sig w:usb0="A00002BF" w:usb1="184F6CFA" w:usb2="00000012" w:usb3="00000000" w:csb0="00040001" w:csb1="00000000"/>
  </w:font>
  <w:font w:name="PMingLiU-ExtB">
    <w:panose1 w:val="02020500000000000000"/>
    <w:charset w:val="88"/>
    <w:family w:val="auto"/>
    <w:pitch w:val="default"/>
    <w:sig w:usb0="8000002F" w:usb1="02000008" w:usb2="00000000" w:usb3="00000000" w:csb0="0010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C1CF1">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32F12">
    <w:pPr>
      <w:pStyle w:val="17"/>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867E05">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1F867E05">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2C85D">
    <w:pPr>
      <w:pStyle w:val="17"/>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467F8B">
                          <w:pPr>
                            <w:pStyle w:val="17"/>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41467F8B">
                    <w:pPr>
                      <w:pStyle w:val="17"/>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AE749">
    <w:pPr>
      <w:pStyle w:val="17"/>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57B22A">
                          <w:pPr>
                            <w:pStyle w:val="17"/>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5957B22A">
                    <w:pPr>
                      <w:pStyle w:val="17"/>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25D04">
    <w:pPr>
      <w:pStyle w:val="17"/>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C7C5F0">
                          <w:pPr>
                            <w:pStyle w:val="17"/>
                          </w:pPr>
                          <w:r>
                            <w:fldChar w:fldCharType="begin"/>
                          </w:r>
                          <w:r>
                            <w:instrText xml:space="preserve"> PAGE  \* MERGEFORMAT </w:instrText>
                          </w:r>
                          <w:r>
                            <w:fldChar w:fldCharType="separate"/>
                          </w:r>
                          <w:r>
                            <w:t>139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0AC7C5F0">
                    <w:pPr>
                      <w:pStyle w:val="17"/>
                    </w:pPr>
                    <w:r>
                      <w:fldChar w:fldCharType="begin"/>
                    </w:r>
                    <w:r>
                      <w:instrText xml:space="preserve"> PAGE  \* MERGEFORMAT </w:instrText>
                    </w:r>
                    <w:r>
                      <w:fldChar w:fldCharType="separate"/>
                    </w:r>
                    <w:r>
                      <w:t>139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BC64EC"/>
    <w:multiLevelType w:val="singleLevel"/>
    <w:tmpl w:val="AABC64EC"/>
    <w:lvl w:ilvl="0" w:tentative="0">
      <w:start w:val="1"/>
      <w:numFmt w:val="decimal"/>
      <w:lvlText w:val="%1."/>
      <w:lvlJc w:val="left"/>
      <w:pPr>
        <w:tabs>
          <w:tab w:val="left" w:pos="312"/>
        </w:tabs>
      </w:pPr>
    </w:lvl>
  </w:abstractNum>
  <w:abstractNum w:abstractNumId="1">
    <w:nsid w:val="00E5DB56"/>
    <w:multiLevelType w:val="singleLevel"/>
    <w:tmpl w:val="00E5DB56"/>
    <w:lvl w:ilvl="0" w:tentative="0">
      <w:start w:val="1"/>
      <w:numFmt w:val="decimal"/>
      <w:lvlText w:val="(%1)"/>
      <w:lvlJc w:val="left"/>
      <w:pPr>
        <w:tabs>
          <w:tab w:val="left" w:pos="312"/>
        </w:tabs>
      </w:pPr>
    </w:lvl>
  </w:abstractNum>
  <w:abstractNum w:abstractNumId="2">
    <w:nsid w:val="05F195BB"/>
    <w:multiLevelType w:val="singleLevel"/>
    <w:tmpl w:val="05F195BB"/>
    <w:lvl w:ilvl="0" w:tentative="0">
      <w:start w:val="1"/>
      <w:numFmt w:val="bullet"/>
      <w:pStyle w:val="12"/>
      <w:lvlText w:val=""/>
      <w:lvlJc w:val="left"/>
      <w:pPr>
        <w:tabs>
          <w:tab w:val="left" w:pos="2040"/>
        </w:tabs>
        <w:ind w:left="2040" w:hanging="360"/>
      </w:pPr>
      <w:rPr>
        <w:rFonts w:hint="default" w:ascii="Wingdings" w:hAnsi="Wingdings"/>
      </w:rPr>
    </w:lvl>
  </w:abstractNum>
  <w:abstractNum w:abstractNumId="3">
    <w:nsid w:val="06B94F01"/>
    <w:multiLevelType w:val="singleLevel"/>
    <w:tmpl w:val="06B94F01"/>
    <w:lvl w:ilvl="0" w:tentative="0">
      <w:start w:val="1"/>
      <w:numFmt w:val="decimal"/>
      <w:lvlText w:val="(%1)"/>
      <w:lvlJc w:val="left"/>
      <w:pPr>
        <w:tabs>
          <w:tab w:val="left" w:pos="312"/>
        </w:tabs>
      </w:pPr>
    </w:lvl>
  </w:abstractNum>
  <w:abstractNum w:abstractNumId="4">
    <w:nsid w:val="3D2146B8"/>
    <w:multiLevelType w:val="singleLevel"/>
    <w:tmpl w:val="3D2146B8"/>
    <w:lvl w:ilvl="0" w:tentative="0">
      <w:start w:val="1"/>
      <w:numFmt w:val="decimal"/>
      <w:suff w:val="nothing"/>
      <w:lvlText w:val="%1）"/>
      <w:lvlJc w:val="left"/>
    </w:lvl>
  </w:abstractNum>
  <w:abstractNum w:abstractNumId="5">
    <w:nsid w:val="55FBBF38"/>
    <w:multiLevelType w:val="singleLevel"/>
    <w:tmpl w:val="55FBBF38"/>
    <w:lvl w:ilvl="0" w:tentative="0">
      <w:start w:val="4"/>
      <w:numFmt w:val="decimal"/>
      <w:suff w:val="nothing"/>
      <w:lvlText w:val="%1）"/>
      <w:lvlJc w:val="left"/>
    </w:lvl>
  </w:abstractNum>
  <w:abstractNum w:abstractNumId="6">
    <w:nsid w:val="6AFF3BEA"/>
    <w:multiLevelType w:val="singleLevel"/>
    <w:tmpl w:val="6AFF3BEA"/>
    <w:lvl w:ilvl="0" w:tentative="0">
      <w:start w:val="1"/>
      <w:numFmt w:val="decimal"/>
      <w:lvlText w:val="(%1)"/>
      <w:lvlJc w:val="left"/>
      <w:pPr>
        <w:tabs>
          <w:tab w:val="left" w:pos="312"/>
        </w:tabs>
      </w:pPr>
    </w:lvl>
  </w:abstractNum>
  <w:num w:numId="1">
    <w:abstractNumId w:val="2"/>
  </w:num>
  <w:num w:numId="2">
    <w:abstractNumId w:val="0"/>
  </w:num>
  <w:num w:numId="3">
    <w:abstractNumId w:val="1"/>
  </w:num>
  <w:num w:numId="4">
    <w:abstractNumId w:val="4"/>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iODZlYmZkYzJjNzM1NTViMDI4MzY0YTg5MzUwZGMifQ=="/>
    <w:docVar w:name="KSO_WPS_MARK_KEY" w:val="223e0c83-590f-416e-a8ec-032fbcf1b43d"/>
  </w:docVars>
  <w:rsids>
    <w:rsidRoot w:val="03147F8A"/>
    <w:rsid w:val="00003210"/>
    <w:rsid w:val="0001051B"/>
    <w:rsid w:val="00034E54"/>
    <w:rsid w:val="00044B20"/>
    <w:rsid w:val="000A76BF"/>
    <w:rsid w:val="000C11C1"/>
    <w:rsid w:val="000E4B2C"/>
    <w:rsid w:val="000E7EAE"/>
    <w:rsid w:val="0010031D"/>
    <w:rsid w:val="001722CE"/>
    <w:rsid w:val="00176452"/>
    <w:rsid w:val="00193A86"/>
    <w:rsid w:val="001A13F3"/>
    <w:rsid w:val="001E0203"/>
    <w:rsid w:val="00222088"/>
    <w:rsid w:val="00230166"/>
    <w:rsid w:val="00235CE1"/>
    <w:rsid w:val="00247D26"/>
    <w:rsid w:val="00294E33"/>
    <w:rsid w:val="0029695A"/>
    <w:rsid w:val="002E1DA1"/>
    <w:rsid w:val="002F078E"/>
    <w:rsid w:val="00302377"/>
    <w:rsid w:val="00325C2D"/>
    <w:rsid w:val="0039475E"/>
    <w:rsid w:val="003B52E4"/>
    <w:rsid w:val="003B6F37"/>
    <w:rsid w:val="003D086A"/>
    <w:rsid w:val="003D135B"/>
    <w:rsid w:val="003F0C80"/>
    <w:rsid w:val="00401197"/>
    <w:rsid w:val="004012A0"/>
    <w:rsid w:val="00461980"/>
    <w:rsid w:val="00463F3F"/>
    <w:rsid w:val="00482E59"/>
    <w:rsid w:val="00491186"/>
    <w:rsid w:val="00497FAF"/>
    <w:rsid w:val="00506591"/>
    <w:rsid w:val="005139AB"/>
    <w:rsid w:val="005413AE"/>
    <w:rsid w:val="005A1B87"/>
    <w:rsid w:val="005B5C1A"/>
    <w:rsid w:val="00606D2E"/>
    <w:rsid w:val="00607D59"/>
    <w:rsid w:val="0063190B"/>
    <w:rsid w:val="00631B29"/>
    <w:rsid w:val="00632F92"/>
    <w:rsid w:val="00642D00"/>
    <w:rsid w:val="00643E78"/>
    <w:rsid w:val="006714B8"/>
    <w:rsid w:val="00693545"/>
    <w:rsid w:val="006C261B"/>
    <w:rsid w:val="006E1999"/>
    <w:rsid w:val="006F7C56"/>
    <w:rsid w:val="00702583"/>
    <w:rsid w:val="007433DF"/>
    <w:rsid w:val="0075003D"/>
    <w:rsid w:val="00750454"/>
    <w:rsid w:val="0076229F"/>
    <w:rsid w:val="00764EFC"/>
    <w:rsid w:val="00795017"/>
    <w:rsid w:val="007969F9"/>
    <w:rsid w:val="007B3769"/>
    <w:rsid w:val="007B751C"/>
    <w:rsid w:val="007E6E58"/>
    <w:rsid w:val="007F38C2"/>
    <w:rsid w:val="00805AE6"/>
    <w:rsid w:val="00830BBC"/>
    <w:rsid w:val="008C09A8"/>
    <w:rsid w:val="008E47D0"/>
    <w:rsid w:val="008F42DF"/>
    <w:rsid w:val="008F619C"/>
    <w:rsid w:val="00905F7A"/>
    <w:rsid w:val="009616A4"/>
    <w:rsid w:val="0097226F"/>
    <w:rsid w:val="009B5E18"/>
    <w:rsid w:val="009D06D4"/>
    <w:rsid w:val="009F2F69"/>
    <w:rsid w:val="00A32DE4"/>
    <w:rsid w:val="00A477EB"/>
    <w:rsid w:val="00A50AE3"/>
    <w:rsid w:val="00A769C3"/>
    <w:rsid w:val="00A850D4"/>
    <w:rsid w:val="00A94595"/>
    <w:rsid w:val="00AB094F"/>
    <w:rsid w:val="00AB1AC2"/>
    <w:rsid w:val="00AF6B8F"/>
    <w:rsid w:val="00B214C9"/>
    <w:rsid w:val="00B35750"/>
    <w:rsid w:val="00B84825"/>
    <w:rsid w:val="00C04C3F"/>
    <w:rsid w:val="00C1054D"/>
    <w:rsid w:val="00C1403E"/>
    <w:rsid w:val="00C21B2E"/>
    <w:rsid w:val="00C43CAD"/>
    <w:rsid w:val="00C47EBF"/>
    <w:rsid w:val="00C80FCD"/>
    <w:rsid w:val="00C91D10"/>
    <w:rsid w:val="00C957A0"/>
    <w:rsid w:val="00C97D21"/>
    <w:rsid w:val="00CA33E1"/>
    <w:rsid w:val="00CE73AC"/>
    <w:rsid w:val="00CF1C19"/>
    <w:rsid w:val="00E33235"/>
    <w:rsid w:val="00E65958"/>
    <w:rsid w:val="00ED0AF5"/>
    <w:rsid w:val="00F03B89"/>
    <w:rsid w:val="00F32DF4"/>
    <w:rsid w:val="00F4732C"/>
    <w:rsid w:val="00F66432"/>
    <w:rsid w:val="00F97D77"/>
    <w:rsid w:val="00FB09AB"/>
    <w:rsid w:val="00FE2BBA"/>
    <w:rsid w:val="010B405F"/>
    <w:rsid w:val="0126355D"/>
    <w:rsid w:val="012A1648"/>
    <w:rsid w:val="0156177E"/>
    <w:rsid w:val="01826A17"/>
    <w:rsid w:val="01A52705"/>
    <w:rsid w:val="01AC3A93"/>
    <w:rsid w:val="01B36BD0"/>
    <w:rsid w:val="01E153D7"/>
    <w:rsid w:val="01E74ACC"/>
    <w:rsid w:val="01F0609F"/>
    <w:rsid w:val="0216715F"/>
    <w:rsid w:val="02313F99"/>
    <w:rsid w:val="02581525"/>
    <w:rsid w:val="0276795A"/>
    <w:rsid w:val="027C16B8"/>
    <w:rsid w:val="0284231A"/>
    <w:rsid w:val="02C60B85"/>
    <w:rsid w:val="02F254D6"/>
    <w:rsid w:val="02F70D3E"/>
    <w:rsid w:val="02FC0103"/>
    <w:rsid w:val="03147F8A"/>
    <w:rsid w:val="033B6E7D"/>
    <w:rsid w:val="034C108A"/>
    <w:rsid w:val="03547F3F"/>
    <w:rsid w:val="03A77069"/>
    <w:rsid w:val="03B629A7"/>
    <w:rsid w:val="03EA08A3"/>
    <w:rsid w:val="03F55E6D"/>
    <w:rsid w:val="03F92894"/>
    <w:rsid w:val="03FD2384"/>
    <w:rsid w:val="04473600"/>
    <w:rsid w:val="046E6DDE"/>
    <w:rsid w:val="047343F5"/>
    <w:rsid w:val="048E56D2"/>
    <w:rsid w:val="049F168E"/>
    <w:rsid w:val="04AD0A3B"/>
    <w:rsid w:val="04ED23F9"/>
    <w:rsid w:val="04EF43C3"/>
    <w:rsid w:val="058368B9"/>
    <w:rsid w:val="05F87E4B"/>
    <w:rsid w:val="06304C93"/>
    <w:rsid w:val="06470B55"/>
    <w:rsid w:val="068943A3"/>
    <w:rsid w:val="06B6262F"/>
    <w:rsid w:val="0719278E"/>
    <w:rsid w:val="071E2D3E"/>
    <w:rsid w:val="073360BD"/>
    <w:rsid w:val="07342561"/>
    <w:rsid w:val="07726BE5"/>
    <w:rsid w:val="07C05BA3"/>
    <w:rsid w:val="07C253B4"/>
    <w:rsid w:val="07EC6998"/>
    <w:rsid w:val="07F27D26"/>
    <w:rsid w:val="07F67816"/>
    <w:rsid w:val="0834033F"/>
    <w:rsid w:val="087C2B47"/>
    <w:rsid w:val="088210AA"/>
    <w:rsid w:val="088E5CA1"/>
    <w:rsid w:val="08AE00F1"/>
    <w:rsid w:val="08BB45BC"/>
    <w:rsid w:val="08D613F6"/>
    <w:rsid w:val="0972111F"/>
    <w:rsid w:val="09736C45"/>
    <w:rsid w:val="098175B4"/>
    <w:rsid w:val="098D41AA"/>
    <w:rsid w:val="099F1451"/>
    <w:rsid w:val="09AD03A9"/>
    <w:rsid w:val="09F45FD8"/>
    <w:rsid w:val="0A222B45"/>
    <w:rsid w:val="0A3B7763"/>
    <w:rsid w:val="0A4F76B2"/>
    <w:rsid w:val="0AAE4704"/>
    <w:rsid w:val="0AC305F9"/>
    <w:rsid w:val="0AF456A1"/>
    <w:rsid w:val="0AF67B2D"/>
    <w:rsid w:val="0B291CB1"/>
    <w:rsid w:val="0B8C3FEE"/>
    <w:rsid w:val="0BB53545"/>
    <w:rsid w:val="0BDB744F"/>
    <w:rsid w:val="0BDD50C1"/>
    <w:rsid w:val="0BFC3C8D"/>
    <w:rsid w:val="0C460641"/>
    <w:rsid w:val="0C803B53"/>
    <w:rsid w:val="0C8D626F"/>
    <w:rsid w:val="0CAA0BCF"/>
    <w:rsid w:val="0CC06645"/>
    <w:rsid w:val="0CCA1272"/>
    <w:rsid w:val="0CD21ED4"/>
    <w:rsid w:val="0D0B5B12"/>
    <w:rsid w:val="0D103128"/>
    <w:rsid w:val="0D110C4F"/>
    <w:rsid w:val="0D3C7C39"/>
    <w:rsid w:val="0D75435E"/>
    <w:rsid w:val="0D7731A8"/>
    <w:rsid w:val="0DB00467"/>
    <w:rsid w:val="0DC9092E"/>
    <w:rsid w:val="0DDD0DB2"/>
    <w:rsid w:val="0E0F7D57"/>
    <w:rsid w:val="0E186E89"/>
    <w:rsid w:val="0E1924B1"/>
    <w:rsid w:val="0E325320"/>
    <w:rsid w:val="0E456360"/>
    <w:rsid w:val="0EA0672E"/>
    <w:rsid w:val="0EA55AF2"/>
    <w:rsid w:val="0EBD1679"/>
    <w:rsid w:val="0F220EF1"/>
    <w:rsid w:val="0F6C2EE2"/>
    <w:rsid w:val="0F7B6853"/>
    <w:rsid w:val="0F917E25"/>
    <w:rsid w:val="0FCE1079"/>
    <w:rsid w:val="103C0479"/>
    <w:rsid w:val="103F5AD3"/>
    <w:rsid w:val="104D01F0"/>
    <w:rsid w:val="1059136E"/>
    <w:rsid w:val="107C2883"/>
    <w:rsid w:val="10AC760C"/>
    <w:rsid w:val="10B97633"/>
    <w:rsid w:val="113F222E"/>
    <w:rsid w:val="11531836"/>
    <w:rsid w:val="115D26B4"/>
    <w:rsid w:val="117F6ACF"/>
    <w:rsid w:val="11AA2603"/>
    <w:rsid w:val="11AD28E0"/>
    <w:rsid w:val="11D72467"/>
    <w:rsid w:val="11EA5B2E"/>
    <w:rsid w:val="11FE4BEC"/>
    <w:rsid w:val="1211601A"/>
    <w:rsid w:val="121D3BF2"/>
    <w:rsid w:val="122A2885"/>
    <w:rsid w:val="127203E1"/>
    <w:rsid w:val="127B54E8"/>
    <w:rsid w:val="12B207DE"/>
    <w:rsid w:val="12EA441C"/>
    <w:rsid w:val="13202965"/>
    <w:rsid w:val="13294F44"/>
    <w:rsid w:val="13525B1D"/>
    <w:rsid w:val="13546FDB"/>
    <w:rsid w:val="13873A19"/>
    <w:rsid w:val="13F07536"/>
    <w:rsid w:val="13FD1F2D"/>
    <w:rsid w:val="148B578A"/>
    <w:rsid w:val="14AE3227"/>
    <w:rsid w:val="14B7657F"/>
    <w:rsid w:val="14BE790E"/>
    <w:rsid w:val="14D40EDF"/>
    <w:rsid w:val="14D56A06"/>
    <w:rsid w:val="14E07884"/>
    <w:rsid w:val="14F11A91"/>
    <w:rsid w:val="155C2C83"/>
    <w:rsid w:val="15991506"/>
    <w:rsid w:val="15D46CBD"/>
    <w:rsid w:val="15DA0777"/>
    <w:rsid w:val="15F829AC"/>
    <w:rsid w:val="15F86E50"/>
    <w:rsid w:val="160A26DF"/>
    <w:rsid w:val="161578EC"/>
    <w:rsid w:val="164C2CF7"/>
    <w:rsid w:val="16556050"/>
    <w:rsid w:val="16797F90"/>
    <w:rsid w:val="167A1029"/>
    <w:rsid w:val="167F30CD"/>
    <w:rsid w:val="16893F4C"/>
    <w:rsid w:val="169326D4"/>
    <w:rsid w:val="169D02B7"/>
    <w:rsid w:val="16D76FA6"/>
    <w:rsid w:val="173E0F97"/>
    <w:rsid w:val="1743234C"/>
    <w:rsid w:val="176A78D9"/>
    <w:rsid w:val="176F6C9D"/>
    <w:rsid w:val="179C380B"/>
    <w:rsid w:val="17E56F60"/>
    <w:rsid w:val="18550589"/>
    <w:rsid w:val="1876405C"/>
    <w:rsid w:val="18A7188C"/>
    <w:rsid w:val="18B43502"/>
    <w:rsid w:val="18C1177B"/>
    <w:rsid w:val="19240E44"/>
    <w:rsid w:val="193A152D"/>
    <w:rsid w:val="19994246"/>
    <w:rsid w:val="1999861A"/>
    <w:rsid w:val="19C12CE6"/>
    <w:rsid w:val="19E00326"/>
    <w:rsid w:val="19F22D2D"/>
    <w:rsid w:val="19F575ED"/>
    <w:rsid w:val="1AC6751C"/>
    <w:rsid w:val="1ADF05DE"/>
    <w:rsid w:val="1AEE0C12"/>
    <w:rsid w:val="1B230E07"/>
    <w:rsid w:val="1B324BB2"/>
    <w:rsid w:val="1B3C13CB"/>
    <w:rsid w:val="1B5B5EB7"/>
    <w:rsid w:val="1B943177"/>
    <w:rsid w:val="1BD20B2C"/>
    <w:rsid w:val="1BE86F45"/>
    <w:rsid w:val="1BF04DE7"/>
    <w:rsid w:val="1BF81957"/>
    <w:rsid w:val="1C275D99"/>
    <w:rsid w:val="1C533032"/>
    <w:rsid w:val="1C786541"/>
    <w:rsid w:val="1C8256C5"/>
    <w:rsid w:val="1CAD0994"/>
    <w:rsid w:val="1CBD04AB"/>
    <w:rsid w:val="1D1207F7"/>
    <w:rsid w:val="1D230C56"/>
    <w:rsid w:val="1D37583E"/>
    <w:rsid w:val="1D734962"/>
    <w:rsid w:val="1DC85359"/>
    <w:rsid w:val="1E1D3489"/>
    <w:rsid w:val="1E230482"/>
    <w:rsid w:val="1E390F42"/>
    <w:rsid w:val="1E9D2342"/>
    <w:rsid w:val="1EBB0A1A"/>
    <w:rsid w:val="1EE73F05"/>
    <w:rsid w:val="1F2C1918"/>
    <w:rsid w:val="1F9A0F77"/>
    <w:rsid w:val="1FA5544F"/>
    <w:rsid w:val="1FF13C48"/>
    <w:rsid w:val="1FF16DE9"/>
    <w:rsid w:val="1FF4C317"/>
    <w:rsid w:val="1FFD7FBB"/>
    <w:rsid w:val="20027E9C"/>
    <w:rsid w:val="20112FE8"/>
    <w:rsid w:val="20232D1B"/>
    <w:rsid w:val="20300F1D"/>
    <w:rsid w:val="20474DD5"/>
    <w:rsid w:val="207F2647"/>
    <w:rsid w:val="20A57BD4"/>
    <w:rsid w:val="20AF2801"/>
    <w:rsid w:val="20EF2BFD"/>
    <w:rsid w:val="21676C37"/>
    <w:rsid w:val="21A165ED"/>
    <w:rsid w:val="21AA7058"/>
    <w:rsid w:val="21AE2AB8"/>
    <w:rsid w:val="21C10BD4"/>
    <w:rsid w:val="21C63177"/>
    <w:rsid w:val="21E775CE"/>
    <w:rsid w:val="21E8421C"/>
    <w:rsid w:val="22010E3A"/>
    <w:rsid w:val="220152DE"/>
    <w:rsid w:val="2228286B"/>
    <w:rsid w:val="223E3E3C"/>
    <w:rsid w:val="22446555"/>
    <w:rsid w:val="22A939AB"/>
    <w:rsid w:val="22B660C8"/>
    <w:rsid w:val="2312564D"/>
    <w:rsid w:val="23700025"/>
    <w:rsid w:val="23A61C99"/>
    <w:rsid w:val="23C30021"/>
    <w:rsid w:val="24250554"/>
    <w:rsid w:val="24482D50"/>
    <w:rsid w:val="24873B27"/>
    <w:rsid w:val="24C0322E"/>
    <w:rsid w:val="24CA19B7"/>
    <w:rsid w:val="24F5112A"/>
    <w:rsid w:val="25113A8A"/>
    <w:rsid w:val="25565941"/>
    <w:rsid w:val="25733CE9"/>
    <w:rsid w:val="258778A8"/>
    <w:rsid w:val="258C1362"/>
    <w:rsid w:val="259124D5"/>
    <w:rsid w:val="25996B9F"/>
    <w:rsid w:val="25A007B5"/>
    <w:rsid w:val="25A93CC2"/>
    <w:rsid w:val="25D725DE"/>
    <w:rsid w:val="25E030DE"/>
    <w:rsid w:val="26073435"/>
    <w:rsid w:val="263537A8"/>
    <w:rsid w:val="26377520"/>
    <w:rsid w:val="26404D62"/>
    <w:rsid w:val="26A451E2"/>
    <w:rsid w:val="26B40B71"/>
    <w:rsid w:val="26BB1EFF"/>
    <w:rsid w:val="26CD578F"/>
    <w:rsid w:val="27037402"/>
    <w:rsid w:val="27277595"/>
    <w:rsid w:val="276460F3"/>
    <w:rsid w:val="276A5C02"/>
    <w:rsid w:val="276E0740"/>
    <w:rsid w:val="27873B8F"/>
    <w:rsid w:val="27A961FC"/>
    <w:rsid w:val="27D33279"/>
    <w:rsid w:val="27EC7ACB"/>
    <w:rsid w:val="27FA045B"/>
    <w:rsid w:val="28180D37"/>
    <w:rsid w:val="28395B4D"/>
    <w:rsid w:val="28610884"/>
    <w:rsid w:val="288C3F84"/>
    <w:rsid w:val="289E73E3"/>
    <w:rsid w:val="28AF78D0"/>
    <w:rsid w:val="28BA7F95"/>
    <w:rsid w:val="28D64DCE"/>
    <w:rsid w:val="28E84B02"/>
    <w:rsid w:val="293D6BFB"/>
    <w:rsid w:val="29543F45"/>
    <w:rsid w:val="298874CD"/>
    <w:rsid w:val="29982084"/>
    <w:rsid w:val="29BD7D3C"/>
    <w:rsid w:val="2A5901CB"/>
    <w:rsid w:val="2AA44A58"/>
    <w:rsid w:val="2AD52E64"/>
    <w:rsid w:val="2AF14141"/>
    <w:rsid w:val="2AFC2AE6"/>
    <w:rsid w:val="2B0674C1"/>
    <w:rsid w:val="2B3202B6"/>
    <w:rsid w:val="2B344771"/>
    <w:rsid w:val="2B5B4CCB"/>
    <w:rsid w:val="2B927F58"/>
    <w:rsid w:val="2BB3269B"/>
    <w:rsid w:val="2BBE5998"/>
    <w:rsid w:val="2BDA2E28"/>
    <w:rsid w:val="2BDA4BD6"/>
    <w:rsid w:val="2C1B0D4A"/>
    <w:rsid w:val="2CA174A1"/>
    <w:rsid w:val="2CA451E4"/>
    <w:rsid w:val="2CA46F92"/>
    <w:rsid w:val="2CC00E87"/>
    <w:rsid w:val="2CE850D0"/>
    <w:rsid w:val="2CF63077"/>
    <w:rsid w:val="2D391DD0"/>
    <w:rsid w:val="2D4B38B1"/>
    <w:rsid w:val="2D68B1E1"/>
    <w:rsid w:val="2D6B414F"/>
    <w:rsid w:val="2E051311"/>
    <w:rsid w:val="2E0B3DC7"/>
    <w:rsid w:val="2E474078"/>
    <w:rsid w:val="2E494DDB"/>
    <w:rsid w:val="2E8C5F2F"/>
    <w:rsid w:val="2E9D638E"/>
    <w:rsid w:val="2EB5058B"/>
    <w:rsid w:val="2EB83EB8"/>
    <w:rsid w:val="2EED69CE"/>
    <w:rsid w:val="2F067A90"/>
    <w:rsid w:val="2F1A79DF"/>
    <w:rsid w:val="2F407445"/>
    <w:rsid w:val="2F6C023B"/>
    <w:rsid w:val="2F8512FC"/>
    <w:rsid w:val="2F880DEC"/>
    <w:rsid w:val="2FDF3747"/>
    <w:rsid w:val="2FFB336C"/>
    <w:rsid w:val="2FFDA489"/>
    <w:rsid w:val="30134B5A"/>
    <w:rsid w:val="30406FD1"/>
    <w:rsid w:val="304B4C2D"/>
    <w:rsid w:val="304E7940"/>
    <w:rsid w:val="30992E53"/>
    <w:rsid w:val="309D08C8"/>
    <w:rsid w:val="30A47560"/>
    <w:rsid w:val="30B11C7D"/>
    <w:rsid w:val="30B33FB7"/>
    <w:rsid w:val="30B5176D"/>
    <w:rsid w:val="313034EA"/>
    <w:rsid w:val="316B106E"/>
    <w:rsid w:val="31DC366B"/>
    <w:rsid w:val="31DE4CF4"/>
    <w:rsid w:val="31F1BF5C"/>
    <w:rsid w:val="322748ED"/>
    <w:rsid w:val="323808A8"/>
    <w:rsid w:val="324A05DB"/>
    <w:rsid w:val="32803FFD"/>
    <w:rsid w:val="328330C4"/>
    <w:rsid w:val="32BC3287"/>
    <w:rsid w:val="32C1089D"/>
    <w:rsid w:val="33386686"/>
    <w:rsid w:val="334868C9"/>
    <w:rsid w:val="336F728F"/>
    <w:rsid w:val="33D0244C"/>
    <w:rsid w:val="33ED7470"/>
    <w:rsid w:val="34425A0E"/>
    <w:rsid w:val="346F4329"/>
    <w:rsid w:val="34781430"/>
    <w:rsid w:val="34790D04"/>
    <w:rsid w:val="34A915E9"/>
    <w:rsid w:val="34AA710F"/>
    <w:rsid w:val="34F706A2"/>
    <w:rsid w:val="352B0250"/>
    <w:rsid w:val="35917DCF"/>
    <w:rsid w:val="359978AF"/>
    <w:rsid w:val="35B1124F"/>
    <w:rsid w:val="35DF2318"/>
    <w:rsid w:val="35E14DB3"/>
    <w:rsid w:val="35F1149A"/>
    <w:rsid w:val="35FE6EA1"/>
    <w:rsid w:val="360B0081"/>
    <w:rsid w:val="361C403D"/>
    <w:rsid w:val="361C5DEB"/>
    <w:rsid w:val="3623361D"/>
    <w:rsid w:val="36316048"/>
    <w:rsid w:val="36454301"/>
    <w:rsid w:val="364D069A"/>
    <w:rsid w:val="36731B29"/>
    <w:rsid w:val="369167D9"/>
    <w:rsid w:val="36981915"/>
    <w:rsid w:val="37075415"/>
    <w:rsid w:val="37272A06"/>
    <w:rsid w:val="37643EED"/>
    <w:rsid w:val="37735EDE"/>
    <w:rsid w:val="37A27F5B"/>
    <w:rsid w:val="37AF8FF5"/>
    <w:rsid w:val="37C45484"/>
    <w:rsid w:val="37CD55EE"/>
    <w:rsid w:val="37DBC841"/>
    <w:rsid w:val="37DF762F"/>
    <w:rsid w:val="37E40B8A"/>
    <w:rsid w:val="383733B0"/>
    <w:rsid w:val="383C2774"/>
    <w:rsid w:val="384A67E4"/>
    <w:rsid w:val="38627871"/>
    <w:rsid w:val="38673097"/>
    <w:rsid w:val="38BF676D"/>
    <w:rsid w:val="38F34667"/>
    <w:rsid w:val="3910405F"/>
    <w:rsid w:val="391B682D"/>
    <w:rsid w:val="392C27E9"/>
    <w:rsid w:val="39585E47"/>
    <w:rsid w:val="39B90520"/>
    <w:rsid w:val="39D05A61"/>
    <w:rsid w:val="39D215E2"/>
    <w:rsid w:val="3A360E11"/>
    <w:rsid w:val="3AD46AFA"/>
    <w:rsid w:val="3ADC4B07"/>
    <w:rsid w:val="3AEE6323"/>
    <w:rsid w:val="3AF64E5C"/>
    <w:rsid w:val="3AFE2116"/>
    <w:rsid w:val="3B234ACD"/>
    <w:rsid w:val="3B753AA1"/>
    <w:rsid w:val="3B8E0D3D"/>
    <w:rsid w:val="3BA66882"/>
    <w:rsid w:val="3BD37085"/>
    <w:rsid w:val="3BE15B0C"/>
    <w:rsid w:val="3BE21884"/>
    <w:rsid w:val="3C454CA5"/>
    <w:rsid w:val="3C795D45"/>
    <w:rsid w:val="3C8A71FA"/>
    <w:rsid w:val="3CBE0A2A"/>
    <w:rsid w:val="3CDF7A7E"/>
    <w:rsid w:val="3D041CAF"/>
    <w:rsid w:val="3D711112"/>
    <w:rsid w:val="3D8C5F4C"/>
    <w:rsid w:val="3DA70690"/>
    <w:rsid w:val="3DB77928"/>
    <w:rsid w:val="3DEE2762"/>
    <w:rsid w:val="3DF716C6"/>
    <w:rsid w:val="3DF797D5"/>
    <w:rsid w:val="3DFA1107"/>
    <w:rsid w:val="3DFD00C6"/>
    <w:rsid w:val="3E111FAD"/>
    <w:rsid w:val="3E391C30"/>
    <w:rsid w:val="3EE15E23"/>
    <w:rsid w:val="3EF6FF0F"/>
    <w:rsid w:val="3F1332ED"/>
    <w:rsid w:val="3F1A65C9"/>
    <w:rsid w:val="3F45672B"/>
    <w:rsid w:val="3F8073EA"/>
    <w:rsid w:val="3F9335C1"/>
    <w:rsid w:val="3F9B4224"/>
    <w:rsid w:val="3FBB8582"/>
    <w:rsid w:val="3FF40890"/>
    <w:rsid w:val="3FFD4EDF"/>
    <w:rsid w:val="3FFEA7BC"/>
    <w:rsid w:val="3FFF07D1"/>
    <w:rsid w:val="40112738"/>
    <w:rsid w:val="40420B44"/>
    <w:rsid w:val="409D49B8"/>
    <w:rsid w:val="40EF4D2E"/>
    <w:rsid w:val="410127AD"/>
    <w:rsid w:val="411B386E"/>
    <w:rsid w:val="412F731A"/>
    <w:rsid w:val="41523008"/>
    <w:rsid w:val="41950A78"/>
    <w:rsid w:val="43284021"/>
    <w:rsid w:val="43302ED5"/>
    <w:rsid w:val="43362BE2"/>
    <w:rsid w:val="43403DF8"/>
    <w:rsid w:val="438D4493"/>
    <w:rsid w:val="438E2B23"/>
    <w:rsid w:val="43A51951"/>
    <w:rsid w:val="443469F5"/>
    <w:rsid w:val="44B02392"/>
    <w:rsid w:val="44C71617"/>
    <w:rsid w:val="44E32264"/>
    <w:rsid w:val="44F248E6"/>
    <w:rsid w:val="45181E73"/>
    <w:rsid w:val="453FE03B"/>
    <w:rsid w:val="45660E30"/>
    <w:rsid w:val="45682DFA"/>
    <w:rsid w:val="45795008"/>
    <w:rsid w:val="45B73505"/>
    <w:rsid w:val="45BF416B"/>
    <w:rsid w:val="45E74232"/>
    <w:rsid w:val="45F4643C"/>
    <w:rsid w:val="46250CEB"/>
    <w:rsid w:val="462A6302"/>
    <w:rsid w:val="46AC47F2"/>
    <w:rsid w:val="46AE0CE1"/>
    <w:rsid w:val="46C2478C"/>
    <w:rsid w:val="46E75FA1"/>
    <w:rsid w:val="46E82445"/>
    <w:rsid w:val="47240FA3"/>
    <w:rsid w:val="47413903"/>
    <w:rsid w:val="47743CD8"/>
    <w:rsid w:val="47BB1907"/>
    <w:rsid w:val="47EF7803"/>
    <w:rsid w:val="48013092"/>
    <w:rsid w:val="48050DD4"/>
    <w:rsid w:val="4847221A"/>
    <w:rsid w:val="48496F13"/>
    <w:rsid w:val="48912668"/>
    <w:rsid w:val="48D96F81"/>
    <w:rsid w:val="48E46C3C"/>
    <w:rsid w:val="48F055E1"/>
    <w:rsid w:val="49382AE4"/>
    <w:rsid w:val="493D634C"/>
    <w:rsid w:val="494D47E1"/>
    <w:rsid w:val="497A134E"/>
    <w:rsid w:val="49B00621"/>
    <w:rsid w:val="49B605D8"/>
    <w:rsid w:val="4A037596"/>
    <w:rsid w:val="4A0B1FA6"/>
    <w:rsid w:val="4AA30431"/>
    <w:rsid w:val="4AB15E17"/>
    <w:rsid w:val="4AC7411F"/>
    <w:rsid w:val="4AC960E9"/>
    <w:rsid w:val="4AD80FE1"/>
    <w:rsid w:val="4ADA6548"/>
    <w:rsid w:val="4AE8372A"/>
    <w:rsid w:val="4AFB026D"/>
    <w:rsid w:val="4B022425"/>
    <w:rsid w:val="4B3043BA"/>
    <w:rsid w:val="4B3A5046"/>
    <w:rsid w:val="4B3B46E5"/>
    <w:rsid w:val="4B895879"/>
    <w:rsid w:val="4B99237B"/>
    <w:rsid w:val="4BA671BA"/>
    <w:rsid w:val="4BD40DA6"/>
    <w:rsid w:val="4C26756B"/>
    <w:rsid w:val="4C3677AE"/>
    <w:rsid w:val="4C417F01"/>
    <w:rsid w:val="4C9E7102"/>
    <w:rsid w:val="4CF82CB6"/>
    <w:rsid w:val="4D491763"/>
    <w:rsid w:val="4D5F0F87"/>
    <w:rsid w:val="4D6A33BD"/>
    <w:rsid w:val="4D6E4C0D"/>
    <w:rsid w:val="4D783DF7"/>
    <w:rsid w:val="4D9430AE"/>
    <w:rsid w:val="4D97427D"/>
    <w:rsid w:val="4DB90697"/>
    <w:rsid w:val="4DCB3F26"/>
    <w:rsid w:val="4DD54DA5"/>
    <w:rsid w:val="4DEF230B"/>
    <w:rsid w:val="4E0538DC"/>
    <w:rsid w:val="4E265601"/>
    <w:rsid w:val="4E5E2FEC"/>
    <w:rsid w:val="4E6F51FA"/>
    <w:rsid w:val="4E946A0E"/>
    <w:rsid w:val="4ED11A10"/>
    <w:rsid w:val="4F0B7104"/>
    <w:rsid w:val="4F111E0D"/>
    <w:rsid w:val="4F530677"/>
    <w:rsid w:val="4F6258FA"/>
    <w:rsid w:val="4F6C798B"/>
    <w:rsid w:val="4F6F4D85"/>
    <w:rsid w:val="4F860A4D"/>
    <w:rsid w:val="4F8922EB"/>
    <w:rsid w:val="4F9111A0"/>
    <w:rsid w:val="4FBFA061"/>
    <w:rsid w:val="4FFC0B37"/>
    <w:rsid w:val="501E33D0"/>
    <w:rsid w:val="505F6C84"/>
    <w:rsid w:val="5060304C"/>
    <w:rsid w:val="508F4BAA"/>
    <w:rsid w:val="50B05655"/>
    <w:rsid w:val="50C86E43"/>
    <w:rsid w:val="51037E7B"/>
    <w:rsid w:val="518A40F8"/>
    <w:rsid w:val="519A395F"/>
    <w:rsid w:val="51B318A1"/>
    <w:rsid w:val="51C413B8"/>
    <w:rsid w:val="51D4A95D"/>
    <w:rsid w:val="51D610EC"/>
    <w:rsid w:val="51E10169"/>
    <w:rsid w:val="51EA6716"/>
    <w:rsid w:val="51F223CA"/>
    <w:rsid w:val="520420FD"/>
    <w:rsid w:val="5209326F"/>
    <w:rsid w:val="527162B3"/>
    <w:rsid w:val="52992845"/>
    <w:rsid w:val="52DF490A"/>
    <w:rsid w:val="52E343CA"/>
    <w:rsid w:val="53090ED4"/>
    <w:rsid w:val="531D5224"/>
    <w:rsid w:val="533802B0"/>
    <w:rsid w:val="53536E98"/>
    <w:rsid w:val="535844AE"/>
    <w:rsid w:val="537E1A3B"/>
    <w:rsid w:val="53FF2B7C"/>
    <w:rsid w:val="540006A2"/>
    <w:rsid w:val="541D3002"/>
    <w:rsid w:val="547669F2"/>
    <w:rsid w:val="54817A35"/>
    <w:rsid w:val="55067914"/>
    <w:rsid w:val="551408A9"/>
    <w:rsid w:val="551C0899"/>
    <w:rsid w:val="556233C2"/>
    <w:rsid w:val="55D43B94"/>
    <w:rsid w:val="562B5EAA"/>
    <w:rsid w:val="562E3C41"/>
    <w:rsid w:val="56535401"/>
    <w:rsid w:val="56E83D9B"/>
    <w:rsid w:val="570D6F4B"/>
    <w:rsid w:val="573B7155"/>
    <w:rsid w:val="57784469"/>
    <w:rsid w:val="57BC2B32"/>
    <w:rsid w:val="57DF7BBC"/>
    <w:rsid w:val="57F750D7"/>
    <w:rsid w:val="5851771E"/>
    <w:rsid w:val="58627B7D"/>
    <w:rsid w:val="58743E23"/>
    <w:rsid w:val="587C4FD0"/>
    <w:rsid w:val="58AE4B70"/>
    <w:rsid w:val="58B24661"/>
    <w:rsid w:val="58D26AB1"/>
    <w:rsid w:val="58E3481A"/>
    <w:rsid w:val="58E570D7"/>
    <w:rsid w:val="58E6255C"/>
    <w:rsid w:val="58F5279F"/>
    <w:rsid w:val="590B5B1F"/>
    <w:rsid w:val="590D4641"/>
    <w:rsid w:val="593432C8"/>
    <w:rsid w:val="593E4146"/>
    <w:rsid w:val="59C503C4"/>
    <w:rsid w:val="5A240CEC"/>
    <w:rsid w:val="5A4D3D65"/>
    <w:rsid w:val="5A6F20DD"/>
    <w:rsid w:val="5A736072"/>
    <w:rsid w:val="5A804BF8"/>
    <w:rsid w:val="5AB346C0"/>
    <w:rsid w:val="5B044F1C"/>
    <w:rsid w:val="5B21787C"/>
    <w:rsid w:val="5B3752F1"/>
    <w:rsid w:val="5B3E6680"/>
    <w:rsid w:val="5B4517BC"/>
    <w:rsid w:val="5B590DC3"/>
    <w:rsid w:val="5B7C0F56"/>
    <w:rsid w:val="5BB95D06"/>
    <w:rsid w:val="5C052CF9"/>
    <w:rsid w:val="5C623709"/>
    <w:rsid w:val="5CF07506"/>
    <w:rsid w:val="5D1C654D"/>
    <w:rsid w:val="5D2E44D2"/>
    <w:rsid w:val="5D3F90FB"/>
    <w:rsid w:val="5D8D11F8"/>
    <w:rsid w:val="5D997B9D"/>
    <w:rsid w:val="5DA84284"/>
    <w:rsid w:val="5DCC1BCB"/>
    <w:rsid w:val="5DE52DE2"/>
    <w:rsid w:val="5E055233"/>
    <w:rsid w:val="5E5D0BCB"/>
    <w:rsid w:val="5E5D506F"/>
    <w:rsid w:val="5ECE3876"/>
    <w:rsid w:val="5ED35331"/>
    <w:rsid w:val="5EDE9740"/>
    <w:rsid w:val="5EEECDA2"/>
    <w:rsid w:val="5F166FCB"/>
    <w:rsid w:val="5F2E07B9"/>
    <w:rsid w:val="5F487E26"/>
    <w:rsid w:val="5F4A08A3"/>
    <w:rsid w:val="5F770546"/>
    <w:rsid w:val="5F7F9FB0"/>
    <w:rsid w:val="5FAC0E2F"/>
    <w:rsid w:val="5FBA3DFB"/>
    <w:rsid w:val="5FC40555"/>
    <w:rsid w:val="5FDE5E4F"/>
    <w:rsid w:val="5FDEB2ED"/>
    <w:rsid w:val="5FDF1491"/>
    <w:rsid w:val="5FE64129"/>
    <w:rsid w:val="5FE90CB3"/>
    <w:rsid w:val="5FEDF110"/>
    <w:rsid w:val="5FEEB524"/>
    <w:rsid w:val="5FF78E93"/>
    <w:rsid w:val="60123C37"/>
    <w:rsid w:val="605D3104"/>
    <w:rsid w:val="606C03AD"/>
    <w:rsid w:val="606C1599"/>
    <w:rsid w:val="60854409"/>
    <w:rsid w:val="60B371C8"/>
    <w:rsid w:val="60DA73D8"/>
    <w:rsid w:val="610C68D8"/>
    <w:rsid w:val="61860970"/>
    <w:rsid w:val="61EA6C19"/>
    <w:rsid w:val="61EC54BF"/>
    <w:rsid w:val="61FD1A7A"/>
    <w:rsid w:val="62157A0E"/>
    <w:rsid w:val="626D784A"/>
    <w:rsid w:val="627B1F67"/>
    <w:rsid w:val="6280132C"/>
    <w:rsid w:val="62A50D92"/>
    <w:rsid w:val="62D43425"/>
    <w:rsid w:val="62E55633"/>
    <w:rsid w:val="62EE44E7"/>
    <w:rsid w:val="631D301E"/>
    <w:rsid w:val="63500CFE"/>
    <w:rsid w:val="635527B8"/>
    <w:rsid w:val="636E73D6"/>
    <w:rsid w:val="63CBC8A9"/>
    <w:rsid w:val="6421269A"/>
    <w:rsid w:val="645E569D"/>
    <w:rsid w:val="64A0727F"/>
    <w:rsid w:val="64C9520C"/>
    <w:rsid w:val="650049A6"/>
    <w:rsid w:val="650F4BE9"/>
    <w:rsid w:val="655A5E64"/>
    <w:rsid w:val="65624D19"/>
    <w:rsid w:val="656F7352"/>
    <w:rsid w:val="65737E03"/>
    <w:rsid w:val="65DE4CE7"/>
    <w:rsid w:val="65FF18F0"/>
    <w:rsid w:val="66187ACD"/>
    <w:rsid w:val="66811B16"/>
    <w:rsid w:val="6686712D"/>
    <w:rsid w:val="668B0680"/>
    <w:rsid w:val="66C537B1"/>
    <w:rsid w:val="66DB10CC"/>
    <w:rsid w:val="66F714D1"/>
    <w:rsid w:val="67024A05"/>
    <w:rsid w:val="6703077D"/>
    <w:rsid w:val="67220C03"/>
    <w:rsid w:val="67334BBF"/>
    <w:rsid w:val="67472D21"/>
    <w:rsid w:val="684D7C5F"/>
    <w:rsid w:val="685F3791"/>
    <w:rsid w:val="68655728"/>
    <w:rsid w:val="68EF2D67"/>
    <w:rsid w:val="69407A67"/>
    <w:rsid w:val="69A973BA"/>
    <w:rsid w:val="69B8584F"/>
    <w:rsid w:val="69E55F18"/>
    <w:rsid w:val="6A1231B1"/>
    <w:rsid w:val="6A3824EC"/>
    <w:rsid w:val="6A7554EE"/>
    <w:rsid w:val="6AB13596"/>
    <w:rsid w:val="6AB9362D"/>
    <w:rsid w:val="6AFE1987"/>
    <w:rsid w:val="6B7317F6"/>
    <w:rsid w:val="6B7B6B34"/>
    <w:rsid w:val="6B8D6867"/>
    <w:rsid w:val="6BBB1626"/>
    <w:rsid w:val="6BD47A2A"/>
    <w:rsid w:val="6BF6265F"/>
    <w:rsid w:val="6BFD1FF9"/>
    <w:rsid w:val="6C133210"/>
    <w:rsid w:val="6C21592D"/>
    <w:rsid w:val="6C6E0447"/>
    <w:rsid w:val="6CDC3602"/>
    <w:rsid w:val="6D3E42BD"/>
    <w:rsid w:val="6D5136AA"/>
    <w:rsid w:val="6D532984"/>
    <w:rsid w:val="6D7C20B2"/>
    <w:rsid w:val="6D9914F3"/>
    <w:rsid w:val="6D995997"/>
    <w:rsid w:val="6DBFBF48"/>
    <w:rsid w:val="6DEC1F6B"/>
    <w:rsid w:val="6E250FD9"/>
    <w:rsid w:val="6E6814E1"/>
    <w:rsid w:val="6EA36ACE"/>
    <w:rsid w:val="6F243AFF"/>
    <w:rsid w:val="6F2D283B"/>
    <w:rsid w:val="6F6124E5"/>
    <w:rsid w:val="6F717AB7"/>
    <w:rsid w:val="6F7C10CD"/>
    <w:rsid w:val="6F977CB5"/>
    <w:rsid w:val="6FAA3187"/>
    <w:rsid w:val="6FBB7E47"/>
    <w:rsid w:val="6FD76303"/>
    <w:rsid w:val="6FDC5FA6"/>
    <w:rsid w:val="6FF61FD6"/>
    <w:rsid w:val="70333E81"/>
    <w:rsid w:val="70974410"/>
    <w:rsid w:val="70A64653"/>
    <w:rsid w:val="70B86135"/>
    <w:rsid w:val="71107D1F"/>
    <w:rsid w:val="711E068D"/>
    <w:rsid w:val="713779A1"/>
    <w:rsid w:val="718F50E7"/>
    <w:rsid w:val="72001B41"/>
    <w:rsid w:val="72121874"/>
    <w:rsid w:val="721346F5"/>
    <w:rsid w:val="722D1608"/>
    <w:rsid w:val="72312642"/>
    <w:rsid w:val="7231619E"/>
    <w:rsid w:val="726427F7"/>
    <w:rsid w:val="726A345E"/>
    <w:rsid w:val="726C42FA"/>
    <w:rsid w:val="72850298"/>
    <w:rsid w:val="7289422C"/>
    <w:rsid w:val="72A746B3"/>
    <w:rsid w:val="72B12AB3"/>
    <w:rsid w:val="72D8486C"/>
    <w:rsid w:val="72DD07A0"/>
    <w:rsid w:val="72E90827"/>
    <w:rsid w:val="7315161C"/>
    <w:rsid w:val="731735E6"/>
    <w:rsid w:val="733838F9"/>
    <w:rsid w:val="734E2D80"/>
    <w:rsid w:val="73D7585D"/>
    <w:rsid w:val="73D94BDB"/>
    <w:rsid w:val="73E861C9"/>
    <w:rsid w:val="73F210CC"/>
    <w:rsid w:val="74480289"/>
    <w:rsid w:val="74620891"/>
    <w:rsid w:val="7479207F"/>
    <w:rsid w:val="748A603A"/>
    <w:rsid w:val="748D4C00"/>
    <w:rsid w:val="74BD4384"/>
    <w:rsid w:val="74CB28DA"/>
    <w:rsid w:val="74DB0643"/>
    <w:rsid w:val="751029E3"/>
    <w:rsid w:val="752B15CB"/>
    <w:rsid w:val="753164B5"/>
    <w:rsid w:val="75475A73"/>
    <w:rsid w:val="75842A89"/>
    <w:rsid w:val="75A7DFA7"/>
    <w:rsid w:val="75D91027"/>
    <w:rsid w:val="75F75951"/>
    <w:rsid w:val="75F96FD3"/>
    <w:rsid w:val="7614205F"/>
    <w:rsid w:val="76270821"/>
    <w:rsid w:val="762785CC"/>
    <w:rsid w:val="764861AD"/>
    <w:rsid w:val="766F3C4F"/>
    <w:rsid w:val="768216BE"/>
    <w:rsid w:val="76957314"/>
    <w:rsid w:val="769B008A"/>
    <w:rsid w:val="76A553AD"/>
    <w:rsid w:val="76AA4771"/>
    <w:rsid w:val="76C84BF7"/>
    <w:rsid w:val="76DF266D"/>
    <w:rsid w:val="77000835"/>
    <w:rsid w:val="7701153E"/>
    <w:rsid w:val="77075720"/>
    <w:rsid w:val="774D3A7A"/>
    <w:rsid w:val="77762C6B"/>
    <w:rsid w:val="77770AF7"/>
    <w:rsid w:val="777A2396"/>
    <w:rsid w:val="777F63D8"/>
    <w:rsid w:val="77942523"/>
    <w:rsid w:val="77F7EED7"/>
    <w:rsid w:val="77FD7596"/>
    <w:rsid w:val="780305DD"/>
    <w:rsid w:val="78103DDF"/>
    <w:rsid w:val="784D3606"/>
    <w:rsid w:val="785B21C7"/>
    <w:rsid w:val="78AC657F"/>
    <w:rsid w:val="78BB18C4"/>
    <w:rsid w:val="78BD078C"/>
    <w:rsid w:val="78BD69DE"/>
    <w:rsid w:val="78D87374"/>
    <w:rsid w:val="78D930EC"/>
    <w:rsid w:val="78EF1CC8"/>
    <w:rsid w:val="79127008"/>
    <w:rsid w:val="79584959"/>
    <w:rsid w:val="795A5FDB"/>
    <w:rsid w:val="79660E24"/>
    <w:rsid w:val="79856DD0"/>
    <w:rsid w:val="79871553"/>
    <w:rsid w:val="798B088A"/>
    <w:rsid w:val="7997722F"/>
    <w:rsid w:val="79A153F3"/>
    <w:rsid w:val="79A74F98"/>
    <w:rsid w:val="79E570EC"/>
    <w:rsid w:val="79EA1A55"/>
    <w:rsid w:val="79F3F592"/>
    <w:rsid w:val="79FD6631"/>
    <w:rsid w:val="7A5213A8"/>
    <w:rsid w:val="7A590988"/>
    <w:rsid w:val="7A6510DB"/>
    <w:rsid w:val="7AB60074"/>
    <w:rsid w:val="7ACF4F56"/>
    <w:rsid w:val="7ADF363F"/>
    <w:rsid w:val="7ADFD067"/>
    <w:rsid w:val="7B1D19B6"/>
    <w:rsid w:val="7B1FDB86"/>
    <w:rsid w:val="7B4FEA25"/>
    <w:rsid w:val="7B711D02"/>
    <w:rsid w:val="7B876E2F"/>
    <w:rsid w:val="7BB6DD05"/>
    <w:rsid w:val="7BC63DFB"/>
    <w:rsid w:val="7BF3258B"/>
    <w:rsid w:val="7BFFE444"/>
    <w:rsid w:val="7CA335CD"/>
    <w:rsid w:val="7CCE5C7B"/>
    <w:rsid w:val="7CDD5B1D"/>
    <w:rsid w:val="7D0270B5"/>
    <w:rsid w:val="7D16490F"/>
    <w:rsid w:val="7D496A92"/>
    <w:rsid w:val="7D545437"/>
    <w:rsid w:val="7D562E3B"/>
    <w:rsid w:val="7D56C57B"/>
    <w:rsid w:val="7D627B54"/>
    <w:rsid w:val="7D7B227D"/>
    <w:rsid w:val="7D943A85"/>
    <w:rsid w:val="7DD17328"/>
    <w:rsid w:val="7DDA883F"/>
    <w:rsid w:val="7DDD0C2F"/>
    <w:rsid w:val="7DE9B679"/>
    <w:rsid w:val="7DFF8534"/>
    <w:rsid w:val="7E1846B6"/>
    <w:rsid w:val="7E2754D6"/>
    <w:rsid w:val="7E2C4DDA"/>
    <w:rsid w:val="7E2D1F10"/>
    <w:rsid w:val="7E484F9C"/>
    <w:rsid w:val="7E4B484D"/>
    <w:rsid w:val="7E573431"/>
    <w:rsid w:val="7E7C79FC"/>
    <w:rsid w:val="7E7F64E4"/>
    <w:rsid w:val="7ED6AA8E"/>
    <w:rsid w:val="7EED61C1"/>
    <w:rsid w:val="7EEF71C5"/>
    <w:rsid w:val="7EF079AB"/>
    <w:rsid w:val="7EF26CB5"/>
    <w:rsid w:val="7F2E23E3"/>
    <w:rsid w:val="7F5FF53C"/>
    <w:rsid w:val="7F7B5D28"/>
    <w:rsid w:val="7F7DAEDD"/>
    <w:rsid w:val="7F7E4CBA"/>
    <w:rsid w:val="7F867625"/>
    <w:rsid w:val="7FDF5709"/>
    <w:rsid w:val="7FDF7C6B"/>
    <w:rsid w:val="7FE7E6D8"/>
    <w:rsid w:val="7FE80D46"/>
    <w:rsid w:val="7FEB275F"/>
    <w:rsid w:val="7FF30731"/>
    <w:rsid w:val="7FF73C10"/>
    <w:rsid w:val="7FFB603E"/>
    <w:rsid w:val="7FFBABEC"/>
    <w:rsid w:val="7FFF3D86"/>
    <w:rsid w:val="8F7FC6FB"/>
    <w:rsid w:val="9ABEE1CA"/>
    <w:rsid w:val="9CEE47BC"/>
    <w:rsid w:val="9F7742FF"/>
    <w:rsid w:val="9FF72A2F"/>
    <w:rsid w:val="A7EE0895"/>
    <w:rsid w:val="B1C78EA4"/>
    <w:rsid w:val="B5FE13B8"/>
    <w:rsid w:val="B78BC21F"/>
    <w:rsid w:val="BD3EAFBD"/>
    <w:rsid w:val="BDDED075"/>
    <w:rsid w:val="BDEA885D"/>
    <w:rsid w:val="BEBEE0F8"/>
    <w:rsid w:val="BECE8F19"/>
    <w:rsid w:val="BEF9CF39"/>
    <w:rsid w:val="BEFFF1DC"/>
    <w:rsid w:val="BF7F24BC"/>
    <w:rsid w:val="BFABCEF2"/>
    <w:rsid w:val="BFF72680"/>
    <w:rsid w:val="BFF9C0E7"/>
    <w:rsid w:val="CEFFD39C"/>
    <w:rsid w:val="CFDF17C6"/>
    <w:rsid w:val="CFEF0D18"/>
    <w:rsid w:val="D5FD6596"/>
    <w:rsid w:val="D7576138"/>
    <w:rsid w:val="D7BB2BFB"/>
    <w:rsid w:val="D7DBB6F6"/>
    <w:rsid w:val="D96FE5A8"/>
    <w:rsid w:val="DD1E8BDB"/>
    <w:rsid w:val="DEE9C34F"/>
    <w:rsid w:val="DEEFE46C"/>
    <w:rsid w:val="DF6FC06F"/>
    <w:rsid w:val="DF76693B"/>
    <w:rsid w:val="DFDD1AAB"/>
    <w:rsid w:val="DFF70529"/>
    <w:rsid w:val="E7D69D18"/>
    <w:rsid w:val="EDFEC536"/>
    <w:rsid w:val="EE57BF62"/>
    <w:rsid w:val="EEF6A818"/>
    <w:rsid w:val="EEFDCA41"/>
    <w:rsid w:val="EF77F4A2"/>
    <w:rsid w:val="EFAF175C"/>
    <w:rsid w:val="EFBFFDA3"/>
    <w:rsid w:val="EFF5AAA7"/>
    <w:rsid w:val="F1E52C99"/>
    <w:rsid w:val="F2DB7DE2"/>
    <w:rsid w:val="F3D72F7A"/>
    <w:rsid w:val="F3F30384"/>
    <w:rsid w:val="F5AF15E3"/>
    <w:rsid w:val="F5B5228A"/>
    <w:rsid w:val="F6DFA968"/>
    <w:rsid w:val="F6FF5B96"/>
    <w:rsid w:val="F6FFB08F"/>
    <w:rsid w:val="F77F1808"/>
    <w:rsid w:val="F7AF1549"/>
    <w:rsid w:val="F7BF51F0"/>
    <w:rsid w:val="F7DF18F1"/>
    <w:rsid w:val="F7F61FE8"/>
    <w:rsid w:val="F7FEE1CD"/>
    <w:rsid w:val="F8F196E2"/>
    <w:rsid w:val="F9F1DDE4"/>
    <w:rsid w:val="FA5F3A07"/>
    <w:rsid w:val="FA964991"/>
    <w:rsid w:val="FBB7EDB3"/>
    <w:rsid w:val="FBEBDEE5"/>
    <w:rsid w:val="FBED59ED"/>
    <w:rsid w:val="FBFC895B"/>
    <w:rsid w:val="FCDFC9F3"/>
    <w:rsid w:val="FCFFF305"/>
    <w:rsid w:val="FD7FC964"/>
    <w:rsid w:val="FDBE591E"/>
    <w:rsid w:val="FDF3CDDD"/>
    <w:rsid w:val="FEAC3773"/>
    <w:rsid w:val="FED976AE"/>
    <w:rsid w:val="FEE12C89"/>
    <w:rsid w:val="FEED41B9"/>
    <w:rsid w:val="FEFF51F5"/>
    <w:rsid w:val="FF3304E7"/>
    <w:rsid w:val="FF3F0172"/>
    <w:rsid w:val="FF4BB6DB"/>
    <w:rsid w:val="FF7B534F"/>
    <w:rsid w:val="FFBC93C5"/>
    <w:rsid w:val="FFBF8BFA"/>
    <w:rsid w:val="FFC3E5F4"/>
    <w:rsid w:val="FFCA83FB"/>
    <w:rsid w:val="FFCF2821"/>
    <w:rsid w:val="FFEBB065"/>
    <w:rsid w:val="FFF76927"/>
    <w:rsid w:val="FFFB4138"/>
    <w:rsid w:val="FFFF485F"/>
    <w:rsid w:val="FFFFB9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line="360" w:lineRule="auto"/>
      <w:jc w:val="left"/>
      <w:outlineLvl w:val="0"/>
    </w:pPr>
    <w:rPr>
      <w:rFonts w:eastAsia="黑体"/>
      <w:bCs/>
      <w:kern w:val="44"/>
      <w:sz w:val="30"/>
      <w:szCs w:val="44"/>
    </w:rPr>
  </w:style>
  <w:style w:type="paragraph" w:styleId="3">
    <w:name w:val="heading 2"/>
    <w:basedOn w:val="1"/>
    <w:next w:val="1"/>
    <w:autoRedefine/>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qFormat/>
    <w:uiPriority w:val="0"/>
    <w:pPr>
      <w:keepNext/>
      <w:keepLines/>
      <w:spacing w:line="360" w:lineRule="auto"/>
      <w:ind w:firstLine="640" w:firstLineChars="200"/>
      <w:jc w:val="left"/>
      <w:outlineLvl w:val="2"/>
    </w:pPr>
    <w:rPr>
      <w:rFonts w:eastAsia="宋体"/>
      <w:b/>
      <w:color w:val="000000"/>
      <w:spacing w:val="8"/>
      <w:w w:val="110"/>
      <w:sz w:val="24"/>
      <w:szCs w:val="20"/>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30">
    <w:name w:val="Default Paragraph Font"/>
    <w:semiHidden/>
    <w:unhideWhenUsed/>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6">
    <w:name w:val="List 3"/>
    <w:basedOn w:val="1"/>
    <w:autoRedefine/>
    <w:qFormat/>
    <w:uiPriority w:val="0"/>
    <w:pPr>
      <w:ind w:left="100" w:leftChars="400" w:hanging="200" w:hangingChars="200"/>
    </w:pPr>
  </w:style>
  <w:style w:type="paragraph" w:styleId="7">
    <w:name w:val="Normal Indent"/>
    <w:basedOn w:val="1"/>
    <w:next w:val="8"/>
    <w:autoRedefine/>
    <w:qFormat/>
    <w:uiPriority w:val="0"/>
    <w:pPr>
      <w:ind w:firstLine="420"/>
    </w:pPr>
  </w:style>
  <w:style w:type="paragraph" w:styleId="8">
    <w:name w:val="Body Text First Indent 2"/>
    <w:basedOn w:val="9"/>
    <w:next w:val="1"/>
    <w:autoRedefine/>
    <w:unhideWhenUsed/>
    <w:qFormat/>
    <w:uiPriority w:val="99"/>
    <w:pPr>
      <w:spacing w:after="120"/>
      <w:ind w:left="420" w:leftChars="200" w:firstLine="420"/>
    </w:pPr>
  </w:style>
  <w:style w:type="paragraph" w:styleId="9">
    <w:name w:val="Body Text Indent"/>
    <w:basedOn w:val="1"/>
    <w:next w:val="1"/>
    <w:autoRedefine/>
    <w:qFormat/>
    <w:uiPriority w:val="0"/>
    <w:pPr>
      <w:ind w:firstLine="570"/>
    </w:pPr>
    <w:rPr>
      <w:sz w:val="28"/>
      <w:szCs w:val="20"/>
    </w:rPr>
  </w:style>
  <w:style w:type="paragraph" w:styleId="10">
    <w:name w:val="annotation text"/>
    <w:basedOn w:val="1"/>
    <w:link w:val="108"/>
    <w:autoRedefine/>
    <w:qFormat/>
    <w:uiPriority w:val="0"/>
    <w:pPr>
      <w:jc w:val="left"/>
    </w:pPr>
  </w:style>
  <w:style w:type="paragraph" w:styleId="11">
    <w:name w:val="Body Text"/>
    <w:basedOn w:val="1"/>
    <w:next w:val="12"/>
    <w:autoRedefine/>
    <w:qFormat/>
    <w:uiPriority w:val="0"/>
    <w:pPr>
      <w:spacing w:line="360" w:lineRule="auto"/>
      <w:ind w:firstLine="200" w:firstLineChars="200"/>
      <w:jc w:val="left"/>
    </w:pPr>
    <w:rPr>
      <w:sz w:val="24"/>
    </w:rPr>
  </w:style>
  <w:style w:type="paragraph" w:styleId="12">
    <w:name w:val="List Bullet 5"/>
    <w:basedOn w:val="1"/>
    <w:autoRedefine/>
    <w:qFormat/>
    <w:uiPriority w:val="0"/>
    <w:pPr>
      <w:numPr>
        <w:ilvl w:val="0"/>
        <w:numId w:val="1"/>
      </w:numPr>
    </w:pPr>
  </w:style>
  <w:style w:type="paragraph" w:styleId="13">
    <w:name w:val="Plain Text"/>
    <w:basedOn w:val="1"/>
    <w:autoRedefine/>
    <w:qFormat/>
    <w:uiPriority w:val="0"/>
    <w:rPr>
      <w:rFonts w:ascii="宋体" w:hAnsi="Courier New" w:eastAsia="仿宋_GB2312"/>
      <w:sz w:val="28"/>
      <w:szCs w:val="21"/>
    </w:rPr>
  </w:style>
  <w:style w:type="paragraph" w:styleId="14">
    <w:name w:val="Body Text Indent 2"/>
    <w:basedOn w:val="1"/>
    <w:next w:val="15"/>
    <w:autoRedefine/>
    <w:qFormat/>
    <w:uiPriority w:val="0"/>
    <w:pPr>
      <w:spacing w:after="120" w:line="480" w:lineRule="auto"/>
      <w:ind w:left="420" w:leftChars="200"/>
    </w:pPr>
    <w:rPr>
      <w:rFonts w:eastAsia="宋体"/>
    </w:rPr>
  </w:style>
  <w:style w:type="paragraph" w:customStyle="1" w:styleId="15">
    <w:name w:val="表格文字"/>
    <w:basedOn w:val="11"/>
    <w:next w:val="1"/>
    <w:autoRedefine/>
    <w:qFormat/>
    <w:uiPriority w:val="99"/>
    <w:pPr>
      <w:adjustRightInd w:val="0"/>
      <w:snapToGrid w:val="0"/>
      <w:jc w:val="center"/>
    </w:pPr>
    <w:rPr>
      <w:sz w:val="21"/>
    </w:rPr>
  </w:style>
  <w:style w:type="paragraph" w:styleId="16">
    <w:name w:val="Balloon Text"/>
    <w:basedOn w:val="1"/>
    <w:link w:val="110"/>
    <w:qFormat/>
    <w:uiPriority w:val="0"/>
    <w:rPr>
      <w:sz w:val="18"/>
      <w:szCs w:val="18"/>
    </w:rPr>
  </w:style>
  <w:style w:type="paragraph" w:styleId="17">
    <w:name w:val="footer"/>
    <w:basedOn w:val="1"/>
    <w:link w:val="45"/>
    <w:autoRedefine/>
    <w:qFormat/>
    <w:uiPriority w:val="0"/>
    <w:pPr>
      <w:tabs>
        <w:tab w:val="center" w:pos="4153"/>
        <w:tab w:val="right" w:pos="8306"/>
      </w:tabs>
      <w:snapToGrid w:val="0"/>
      <w:jc w:val="left"/>
    </w:pPr>
    <w:rPr>
      <w:sz w:val="18"/>
    </w:rPr>
  </w:style>
  <w:style w:type="paragraph" w:styleId="1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9">
    <w:name w:val="Subtitle"/>
    <w:basedOn w:val="1"/>
    <w:next w:val="1"/>
    <w:qFormat/>
    <w:uiPriority w:val="0"/>
    <w:pPr>
      <w:jc w:val="left"/>
      <w:outlineLvl w:val="3"/>
    </w:pPr>
    <w:rPr>
      <w:rFonts w:cstheme="majorBidi"/>
      <w:b/>
      <w:bCs/>
      <w:kern w:val="28"/>
      <w:szCs w:val="32"/>
    </w:rPr>
  </w:style>
  <w:style w:type="paragraph" w:styleId="20">
    <w:name w:val="List"/>
    <w:basedOn w:val="1"/>
    <w:qFormat/>
    <w:uiPriority w:val="0"/>
    <w:pPr>
      <w:ind w:left="200" w:hanging="200" w:hangingChars="200"/>
    </w:pPr>
    <w:rPr>
      <w:rFonts w:ascii="宋体"/>
      <w:spacing w:val="6"/>
      <w:kern w:val="0"/>
    </w:rPr>
  </w:style>
  <w:style w:type="paragraph" w:styleId="21">
    <w:name w:val="table of figures"/>
    <w:basedOn w:val="1"/>
    <w:next w:val="1"/>
    <w:autoRedefine/>
    <w:unhideWhenUsed/>
    <w:qFormat/>
    <w:uiPriority w:val="99"/>
    <w:pPr>
      <w:ind w:left="200" w:leftChars="200" w:hanging="200" w:hangingChars="200"/>
    </w:pPr>
    <w:rPr>
      <w:rFonts w:ascii="Calibri" w:hAnsi="Calibri" w:cs="宋体"/>
      <w:szCs w:val="21"/>
    </w:rPr>
  </w:style>
  <w:style w:type="paragraph" w:styleId="22">
    <w:name w:val="toc 2"/>
    <w:basedOn w:val="1"/>
    <w:next w:val="1"/>
    <w:qFormat/>
    <w:uiPriority w:val="39"/>
    <w:pPr>
      <w:ind w:left="420" w:leftChars="200"/>
    </w:pPr>
  </w:style>
  <w:style w:type="paragraph" w:styleId="23">
    <w:name w:val="Body Text 2"/>
    <w:basedOn w:val="1"/>
    <w:autoRedefine/>
    <w:unhideWhenUsed/>
    <w:qFormat/>
    <w:uiPriority w:val="99"/>
    <w:rPr>
      <w:sz w:val="24"/>
    </w:rPr>
  </w:style>
  <w:style w:type="paragraph" w:styleId="2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rPr>
  </w:style>
  <w:style w:type="paragraph" w:styleId="25">
    <w:name w:val="Normal (Web)"/>
    <w:basedOn w:val="1"/>
    <w:link w:val="46"/>
    <w:autoRedefine/>
    <w:qFormat/>
    <w:uiPriority w:val="0"/>
    <w:pPr>
      <w:widowControl/>
      <w:spacing w:beforeAutospacing="1" w:afterAutospacing="1"/>
      <w:jc w:val="left"/>
    </w:pPr>
    <w:rPr>
      <w:rFonts w:hint="eastAsia" w:ascii="宋体" w:hAnsi="宋体" w:eastAsia="宋体" w:cs="Times New Roman"/>
      <w:kern w:val="0"/>
      <w:sz w:val="24"/>
      <w:szCs w:val="20"/>
    </w:rPr>
  </w:style>
  <w:style w:type="paragraph" w:styleId="26">
    <w:name w:val="annotation subject"/>
    <w:basedOn w:val="10"/>
    <w:next w:val="10"/>
    <w:link w:val="109"/>
    <w:qFormat/>
    <w:uiPriority w:val="0"/>
    <w:rPr>
      <w:b/>
      <w:bCs/>
    </w:rPr>
  </w:style>
  <w:style w:type="paragraph" w:styleId="27">
    <w:name w:val="Body Text First Indent"/>
    <w:basedOn w:val="1"/>
    <w:next w:val="1"/>
    <w:autoRedefine/>
    <w:qFormat/>
    <w:uiPriority w:val="0"/>
    <w:pPr>
      <w:spacing w:line="360" w:lineRule="auto"/>
      <w:ind w:firstLine="640" w:firstLineChars="200"/>
    </w:pPr>
    <w:rPr>
      <w:kern w:val="0"/>
    </w:rPr>
  </w:style>
  <w:style w:type="table" w:styleId="29">
    <w:name w:val="Table Grid"/>
    <w:basedOn w:val="28"/>
    <w:autoRedefine/>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autoRedefine/>
    <w:qFormat/>
    <w:uiPriority w:val="0"/>
    <w:rPr>
      <w:b/>
    </w:rPr>
  </w:style>
  <w:style w:type="character" w:styleId="32">
    <w:name w:val="page number"/>
    <w:qFormat/>
    <w:uiPriority w:val="0"/>
  </w:style>
  <w:style w:type="character" w:styleId="33">
    <w:name w:val="Emphasis"/>
    <w:basedOn w:val="30"/>
    <w:qFormat/>
    <w:uiPriority w:val="0"/>
    <w:rPr>
      <w:i/>
    </w:rPr>
  </w:style>
  <w:style w:type="character" w:styleId="34">
    <w:name w:val="Hyperlink"/>
    <w:basedOn w:val="30"/>
    <w:autoRedefine/>
    <w:qFormat/>
    <w:uiPriority w:val="0"/>
    <w:rPr>
      <w:color w:val="0000FF"/>
      <w:u w:val="single"/>
    </w:rPr>
  </w:style>
  <w:style w:type="character" w:styleId="35">
    <w:name w:val="HTML Code"/>
    <w:basedOn w:val="30"/>
    <w:qFormat/>
    <w:uiPriority w:val="0"/>
    <w:rPr>
      <w:rFonts w:ascii="Courier New" w:hAnsi="Courier New"/>
      <w:sz w:val="20"/>
    </w:rPr>
  </w:style>
  <w:style w:type="character" w:styleId="36">
    <w:name w:val="annotation reference"/>
    <w:autoRedefine/>
    <w:qFormat/>
    <w:uiPriority w:val="0"/>
    <w:rPr>
      <w:rFonts w:ascii="宋体" w:hAnsi="宋体" w:cs="宋体"/>
      <w:sz w:val="21"/>
      <w:szCs w:val="21"/>
    </w:rPr>
  </w:style>
  <w:style w:type="paragraph" w:customStyle="1" w:styleId="37">
    <w:name w:val="表头"/>
    <w:basedOn w:val="20"/>
    <w:link w:val="102"/>
    <w:autoRedefine/>
    <w:qFormat/>
    <w:uiPriority w:val="0"/>
    <w:pPr>
      <w:spacing w:line="240" w:lineRule="atLeast"/>
      <w:ind w:firstLine="0" w:firstLineChars="0"/>
      <w:jc w:val="center"/>
    </w:pPr>
    <w:rPr>
      <w:b/>
      <w:szCs w:val="21"/>
    </w:rPr>
  </w:style>
  <w:style w:type="paragraph" w:customStyle="1" w:styleId="38">
    <w:name w:val="样式 正文缩进正文缩进2正文缩进 Char Char正文缩进 Char Char Char Char正文缩进 Char ..."/>
    <w:basedOn w:val="7"/>
    <w:autoRedefine/>
    <w:qFormat/>
    <w:uiPriority w:val="0"/>
    <w:pPr>
      <w:ind w:firstLine="200"/>
    </w:pPr>
    <w:rPr>
      <w:rFonts w:cs="宋体"/>
    </w:rPr>
  </w:style>
  <w:style w:type="paragraph" w:customStyle="1" w:styleId="39">
    <w:name w:val="Default"/>
    <w:basedOn w:val="40"/>
    <w:next w:val="1"/>
    <w:autoRedefine/>
    <w:qFormat/>
    <w:uiPriority w:val="0"/>
    <w:pPr>
      <w:autoSpaceDE w:val="0"/>
      <w:autoSpaceDN w:val="0"/>
      <w:jc w:val="left"/>
    </w:pPr>
    <w:rPr>
      <w:rFonts w:hint="eastAsia" w:hAnsi="Times New Roman" w:cs="宋体"/>
      <w:color w:val="000000"/>
      <w:kern w:val="0"/>
    </w:rPr>
  </w:style>
  <w:style w:type="paragraph" w:customStyle="1" w:styleId="40">
    <w:name w:val="纯文本1"/>
    <w:basedOn w:val="1"/>
    <w:autoRedefine/>
    <w:qFormat/>
    <w:uiPriority w:val="0"/>
    <w:pPr>
      <w:adjustRightInd w:val="0"/>
      <w:snapToGrid w:val="0"/>
      <w:spacing w:line="460" w:lineRule="exact"/>
      <w:ind w:firstLine="480" w:firstLineChars="200"/>
    </w:pPr>
    <w:rPr>
      <w:rFonts w:ascii="宋体" w:eastAsia="宋体"/>
      <w:snapToGrid w:val="0"/>
      <w:sz w:val="24"/>
    </w:rPr>
  </w:style>
  <w:style w:type="paragraph" w:customStyle="1" w:styleId="41">
    <w:name w:val="样式 标题 1一级标题 + 段前: 0.5 行 段后: 0.5 行"/>
    <w:basedOn w:val="2"/>
    <w:autoRedefine/>
    <w:qFormat/>
    <w:uiPriority w:val="99"/>
    <w:pPr>
      <w:spacing w:line="320" w:lineRule="exact"/>
      <w:outlineLvl w:val="9"/>
    </w:pPr>
    <w:rPr>
      <w:spacing w:val="-6"/>
      <w:sz w:val="21"/>
      <w:szCs w:val="21"/>
    </w:rPr>
  </w:style>
  <w:style w:type="paragraph" w:customStyle="1" w:styleId="42">
    <w:name w:val="样式1"/>
    <w:basedOn w:val="1"/>
    <w:autoRedefine/>
    <w:qFormat/>
    <w:uiPriority w:val="99"/>
    <w:pPr>
      <w:spacing w:beforeLines="50" w:afterLines="50"/>
      <w:jc w:val="center"/>
    </w:pPr>
    <w:rPr>
      <w:rFonts w:eastAsia="黑体"/>
      <w:szCs w:val="28"/>
    </w:rPr>
  </w:style>
  <w:style w:type="paragraph" w:customStyle="1" w:styleId="43">
    <w:name w:val="表格"/>
    <w:basedOn w:val="1"/>
    <w:next w:val="1"/>
    <w:link w:val="47"/>
    <w:autoRedefine/>
    <w:qFormat/>
    <w:uiPriority w:val="0"/>
    <w:pPr>
      <w:adjustRightInd w:val="0"/>
      <w:snapToGrid w:val="0"/>
      <w:spacing w:beforeLines="10" w:line="256" w:lineRule="auto"/>
      <w:jc w:val="center"/>
    </w:pPr>
    <w:rPr>
      <w:rFonts w:hint="eastAsia" w:ascii="宋体" w:hAnsi="Times New Roman" w:eastAsia="宋体" w:cs="Times New Roman"/>
      <w:kern w:val="0"/>
      <w:szCs w:val="20"/>
    </w:rPr>
  </w:style>
  <w:style w:type="character" w:customStyle="1" w:styleId="44">
    <w:name w:val="页脚 Char1"/>
    <w:basedOn w:val="30"/>
    <w:autoRedefine/>
    <w:qFormat/>
    <w:uiPriority w:val="0"/>
    <w:rPr>
      <w:kern w:val="2"/>
      <w:sz w:val="18"/>
      <w:szCs w:val="18"/>
    </w:rPr>
  </w:style>
  <w:style w:type="character" w:customStyle="1" w:styleId="45">
    <w:name w:val="页脚 字符"/>
    <w:basedOn w:val="30"/>
    <w:link w:val="17"/>
    <w:autoRedefine/>
    <w:qFormat/>
    <w:uiPriority w:val="0"/>
    <w:rPr>
      <w:sz w:val="18"/>
    </w:rPr>
  </w:style>
  <w:style w:type="character" w:customStyle="1" w:styleId="46">
    <w:name w:val="普通(网站) 字符"/>
    <w:basedOn w:val="30"/>
    <w:link w:val="25"/>
    <w:autoRedefine/>
    <w:qFormat/>
    <w:uiPriority w:val="0"/>
    <w:rPr>
      <w:rFonts w:hint="eastAsia" w:ascii="宋体" w:hAnsi="宋体" w:eastAsia="宋体" w:cs="宋体"/>
      <w:sz w:val="24"/>
    </w:rPr>
  </w:style>
  <w:style w:type="character" w:customStyle="1" w:styleId="47">
    <w:name w:val="表格 Char"/>
    <w:basedOn w:val="30"/>
    <w:link w:val="43"/>
    <w:autoRedefine/>
    <w:qFormat/>
    <w:uiPriority w:val="0"/>
    <w:rPr>
      <w:rFonts w:hint="eastAsia" w:ascii="宋体" w:hAnsi="宋体" w:eastAsia="宋体" w:cs="宋体"/>
      <w:sz w:val="21"/>
    </w:rPr>
  </w:style>
  <w:style w:type="paragraph" w:customStyle="1" w:styleId="48">
    <w:name w:val="表题"/>
    <w:basedOn w:val="1"/>
    <w:next w:val="1"/>
    <w:autoRedefine/>
    <w:qFormat/>
    <w:uiPriority w:val="0"/>
    <w:pPr>
      <w:tabs>
        <w:tab w:val="center" w:pos="4186"/>
      </w:tabs>
      <w:adjustRightInd w:val="0"/>
      <w:snapToGrid w:val="0"/>
      <w:ind w:firstLine="700" w:firstLineChars="250"/>
      <w:jc w:val="center"/>
    </w:pPr>
    <w:rPr>
      <w:rFonts w:eastAsia="黑体"/>
      <w:sz w:val="28"/>
    </w:rPr>
  </w:style>
  <w:style w:type="paragraph" w:customStyle="1" w:styleId="49">
    <w:name w:val="正文文本缩进1"/>
    <w:basedOn w:val="1"/>
    <w:autoRedefine/>
    <w:qFormat/>
    <w:uiPriority w:val="0"/>
    <w:pPr>
      <w:widowControl/>
      <w:spacing w:after="120"/>
      <w:jc w:val="center"/>
    </w:pPr>
    <w:rPr>
      <w:color w:val="FF0000"/>
    </w:rPr>
  </w:style>
  <w:style w:type="paragraph" w:customStyle="1" w:styleId="50">
    <w:name w:val="Table Paragraph"/>
    <w:basedOn w:val="1"/>
    <w:autoRedefine/>
    <w:qFormat/>
    <w:uiPriority w:val="1"/>
    <w:rPr>
      <w:rFonts w:ascii="宋体" w:hAnsi="宋体" w:eastAsia="宋体" w:cs="宋体"/>
      <w:lang w:val="zh-CN" w:bidi="zh-CN"/>
    </w:rPr>
  </w:style>
  <w:style w:type="paragraph" w:customStyle="1" w:styleId="51">
    <w:name w:val="表中文字"/>
    <w:basedOn w:val="1"/>
    <w:autoRedefine/>
    <w:qFormat/>
    <w:uiPriority w:val="0"/>
    <w:pPr>
      <w:jc w:val="center"/>
    </w:pPr>
  </w:style>
  <w:style w:type="paragraph" w:customStyle="1" w:styleId="52">
    <w:name w:val="表格文字1"/>
    <w:basedOn w:val="1"/>
    <w:autoRedefine/>
    <w:qFormat/>
    <w:uiPriority w:val="0"/>
    <w:pPr>
      <w:tabs>
        <w:tab w:val="left" w:pos="0"/>
      </w:tabs>
      <w:autoSpaceDE w:val="0"/>
      <w:autoSpaceDN w:val="0"/>
      <w:adjustRightInd w:val="0"/>
      <w:spacing w:before="60"/>
      <w:ind w:left="57" w:right="57"/>
      <w:jc w:val="center"/>
      <w:textAlignment w:val="baseline"/>
    </w:pPr>
  </w:style>
  <w:style w:type="paragraph" w:customStyle="1" w:styleId="53">
    <w:name w:val="Body text|1"/>
    <w:basedOn w:val="1"/>
    <w:autoRedefine/>
    <w:qFormat/>
    <w:uiPriority w:val="0"/>
    <w:pPr>
      <w:spacing w:line="406" w:lineRule="auto"/>
      <w:ind w:firstLine="400"/>
    </w:pPr>
    <w:rPr>
      <w:rFonts w:ascii="宋体" w:hAnsi="宋体" w:eastAsia="宋体" w:cs="宋体"/>
      <w:lang w:val="zh-TW" w:eastAsia="zh-TW" w:bidi="zh-TW"/>
    </w:rPr>
  </w:style>
  <w:style w:type="paragraph" w:customStyle="1" w:styleId="54">
    <w:name w:val="表格1"/>
    <w:basedOn w:val="7"/>
    <w:next w:val="7"/>
    <w:autoRedefine/>
    <w:qFormat/>
    <w:uiPriority w:val="0"/>
    <w:pPr>
      <w:adjustRightInd w:val="0"/>
      <w:snapToGrid w:val="0"/>
      <w:spacing w:line="340" w:lineRule="exact"/>
      <w:ind w:firstLine="0"/>
      <w:jc w:val="center"/>
    </w:pPr>
    <w:rPr>
      <w:szCs w:val="20"/>
    </w:rPr>
  </w:style>
  <w:style w:type="paragraph" w:customStyle="1" w:styleId="55">
    <w:name w:val="5-表标题"/>
    <w:basedOn w:val="1"/>
    <w:autoRedefine/>
    <w:qFormat/>
    <w:uiPriority w:val="0"/>
    <w:pPr>
      <w:jc w:val="center"/>
    </w:pPr>
    <w:rPr>
      <w:b/>
      <w:kern w:val="0"/>
      <w:szCs w:val="20"/>
    </w:rPr>
  </w:style>
  <w:style w:type="paragraph" w:customStyle="1" w:styleId="56">
    <w:name w:val="正文1"/>
    <w:basedOn w:val="1"/>
    <w:autoRedefine/>
    <w:qFormat/>
    <w:uiPriority w:val="99"/>
    <w:pPr>
      <w:widowControl/>
      <w:spacing w:line="360" w:lineRule="auto"/>
      <w:ind w:firstLine="482"/>
    </w:pPr>
    <w:rPr>
      <w:kern w:val="0"/>
      <w:sz w:val="24"/>
      <w:szCs w:val="20"/>
    </w:rPr>
  </w:style>
  <w:style w:type="paragraph" w:customStyle="1" w:styleId="57">
    <w:name w:val="11111"/>
    <w:basedOn w:val="1"/>
    <w:next w:val="1"/>
    <w:autoRedefine/>
    <w:qFormat/>
    <w:uiPriority w:val="0"/>
    <w:pPr>
      <w:spacing w:line="360" w:lineRule="auto"/>
      <w:ind w:firstLine="200" w:firstLineChars="200"/>
    </w:pPr>
    <w:rPr>
      <w:rFonts w:hAnsi="宋体" w:cs="宋体"/>
    </w:rPr>
  </w:style>
  <w:style w:type="paragraph" w:customStyle="1" w:styleId="58">
    <w:name w:val="表中"/>
    <w:basedOn w:val="1"/>
    <w:autoRedefine/>
    <w:qFormat/>
    <w:uiPriority w:val="0"/>
    <w:pPr>
      <w:tabs>
        <w:tab w:val="center" w:pos="4479"/>
        <w:tab w:val="right" w:pos="8866"/>
      </w:tabs>
      <w:spacing w:line="240" w:lineRule="atLeast"/>
      <w:jc w:val="center"/>
    </w:pPr>
    <w:rPr>
      <w:szCs w:val="21"/>
      <w:lang w:val="zh-CN"/>
    </w:rPr>
  </w:style>
  <w:style w:type="paragraph" w:customStyle="1" w:styleId="59">
    <w:name w:val="正文文本 (2)"/>
    <w:basedOn w:val="1"/>
    <w:autoRedefine/>
    <w:qFormat/>
    <w:uiPriority w:val="0"/>
    <w:pPr>
      <w:shd w:val="clear" w:color="auto" w:fill="FFFFFF"/>
      <w:spacing w:before="100" w:beforeAutospacing="1" w:after="240" w:line="0" w:lineRule="atLeast"/>
      <w:ind w:left="120" w:hanging="120"/>
      <w:jc w:val="center"/>
    </w:pPr>
    <w:rPr>
      <w:rFonts w:ascii="MingLiU" w:hAnsi="MingLiU" w:eastAsia="MingLiU"/>
      <w:sz w:val="22"/>
      <w:szCs w:val="22"/>
    </w:rPr>
  </w:style>
  <w:style w:type="paragraph" w:customStyle="1" w:styleId="60">
    <w:name w:val="表、图头"/>
    <w:basedOn w:val="1"/>
    <w:autoRedefine/>
    <w:qFormat/>
    <w:uiPriority w:val="0"/>
    <w:pPr>
      <w:spacing w:before="50" w:beforeLines="50"/>
      <w:jc w:val="center"/>
    </w:pPr>
    <w:rPr>
      <w:rFonts w:eastAsia="黑体"/>
    </w:rPr>
  </w:style>
  <w:style w:type="paragraph" w:customStyle="1" w:styleId="61">
    <w:name w:val="段落1"/>
    <w:basedOn w:val="1"/>
    <w:autoRedefine/>
    <w:qFormat/>
    <w:uiPriority w:val="0"/>
    <w:pPr>
      <w:spacing w:line="480" w:lineRule="exact"/>
      <w:ind w:firstLine="200" w:firstLineChars="200"/>
    </w:pPr>
    <w:rPr>
      <w:rFonts w:ascii="Times New Roman" w:hAnsi="Times New Roman"/>
      <w:sz w:val="28"/>
    </w:rPr>
  </w:style>
  <w:style w:type="paragraph" w:customStyle="1" w:styleId="62">
    <w:name w:val="a Char"/>
    <w:autoRedefine/>
    <w:qFormat/>
    <w:uiPriority w:val="0"/>
    <w:pPr>
      <w:spacing w:line="540" w:lineRule="exact"/>
      <w:ind w:firstLine="561"/>
    </w:pPr>
    <w:rPr>
      <w:rFonts w:ascii="宋体" w:hAnsi="宋体" w:eastAsia="宋体" w:cs="Times New Roman"/>
      <w:bCs/>
      <w:kern w:val="2"/>
      <w:sz w:val="28"/>
      <w:szCs w:val="28"/>
      <w:lang w:val="en-US" w:eastAsia="zh-CN" w:bidi="ar-SA"/>
    </w:rPr>
  </w:style>
  <w:style w:type="paragraph" w:styleId="63">
    <w:name w:val="List Paragraph"/>
    <w:basedOn w:val="1"/>
    <w:autoRedefine/>
    <w:qFormat/>
    <w:uiPriority w:val="1"/>
    <w:pPr>
      <w:spacing w:before="161"/>
      <w:ind w:left="1309" w:hanging="601"/>
    </w:pPr>
    <w:rPr>
      <w:rFonts w:ascii="宋体" w:hAnsi="宋体" w:eastAsia="宋体" w:cs="宋体"/>
      <w:lang w:val="zh-CN" w:bidi="zh-CN"/>
    </w:rPr>
  </w:style>
  <w:style w:type="paragraph" w:customStyle="1" w:styleId="64">
    <w:name w:val="正文缩进1"/>
    <w:basedOn w:val="1"/>
    <w:autoRedefine/>
    <w:qFormat/>
    <w:uiPriority w:val="0"/>
    <w:pPr>
      <w:ind w:firstLine="420"/>
    </w:pPr>
  </w:style>
  <w:style w:type="paragraph" w:customStyle="1" w:styleId="65">
    <w:name w:val="Other|1"/>
    <w:basedOn w:val="1"/>
    <w:autoRedefine/>
    <w:qFormat/>
    <w:uiPriority w:val="0"/>
    <w:rPr>
      <w:rFonts w:ascii="宋体" w:hAnsi="宋体" w:eastAsia="宋体" w:cs="宋体"/>
      <w:sz w:val="14"/>
      <w:szCs w:val="14"/>
      <w:lang w:val="zh-TW" w:eastAsia="zh-TW" w:bidi="zh-TW"/>
    </w:rPr>
  </w:style>
  <w:style w:type="paragraph" w:customStyle="1" w:styleId="66">
    <w:name w:val="Table caption|1"/>
    <w:basedOn w:val="1"/>
    <w:autoRedefine/>
    <w:qFormat/>
    <w:uiPriority w:val="0"/>
    <w:rPr>
      <w:rFonts w:ascii="宋体" w:hAnsi="宋体" w:eastAsia="宋体" w:cs="宋体"/>
      <w:sz w:val="14"/>
      <w:szCs w:val="14"/>
      <w:lang w:val="zh-TW" w:eastAsia="zh-TW" w:bidi="zh-TW"/>
    </w:rPr>
  </w:style>
  <w:style w:type="paragraph" w:customStyle="1" w:styleId="67">
    <w:name w:val="表格标题"/>
    <w:basedOn w:val="1"/>
    <w:next w:val="1"/>
    <w:autoRedefine/>
    <w:qFormat/>
    <w:uiPriority w:val="0"/>
    <w:pPr>
      <w:adjustRightInd w:val="0"/>
      <w:snapToGrid w:val="0"/>
      <w:spacing w:after="124" w:afterLines="40"/>
      <w:jc w:val="center"/>
    </w:pPr>
    <w:rPr>
      <w:rFonts w:eastAsia="宋体"/>
      <w:b/>
    </w:rPr>
  </w:style>
  <w:style w:type="paragraph" w:customStyle="1" w:styleId="68">
    <w:name w:val="6-表中文字"/>
    <w:basedOn w:val="1"/>
    <w:autoRedefine/>
    <w:qFormat/>
    <w:uiPriority w:val="0"/>
    <w:pPr>
      <w:adjustRightInd w:val="0"/>
      <w:snapToGrid w:val="0"/>
      <w:jc w:val="center"/>
      <w:textAlignment w:val="center"/>
    </w:pPr>
    <w:rPr>
      <w:rFonts w:eastAsia="宋体" w:cs="Times New Roman"/>
      <w:szCs w:val="21"/>
      <w:lang w:val="zh-CN"/>
    </w:rPr>
  </w:style>
  <w:style w:type="paragraph" w:customStyle="1" w:styleId="69">
    <w:name w:val="报告表正文"/>
    <w:basedOn w:val="1"/>
    <w:autoRedefine/>
    <w:qFormat/>
    <w:uiPriority w:val="0"/>
    <w:pPr>
      <w:adjustRightInd w:val="0"/>
      <w:spacing w:line="312" w:lineRule="auto"/>
      <w:ind w:left="113" w:right="113" w:firstLine="482"/>
      <w:jc w:val="left"/>
      <w:textAlignment w:val="baseline"/>
    </w:pPr>
    <w:rPr>
      <w:kern w:val="0"/>
      <w:sz w:val="24"/>
      <w:szCs w:val="21"/>
    </w:rPr>
  </w:style>
  <w:style w:type="paragraph" w:customStyle="1" w:styleId="70">
    <w:name w:val="表格内容"/>
    <w:basedOn w:val="7"/>
    <w:next w:val="1"/>
    <w:autoRedefine/>
    <w:qFormat/>
    <w:uiPriority w:val="0"/>
    <w:pPr>
      <w:jc w:val="center"/>
    </w:pPr>
    <w:rPr>
      <w:rFonts w:ascii="仿宋_GB2312" w:hAnsi="Calibri" w:eastAsia="仿宋_GB2312" w:cs="Times New Roman"/>
      <w:szCs w:val="21"/>
    </w:rPr>
  </w:style>
  <w:style w:type="paragraph" w:customStyle="1" w:styleId="71">
    <w:name w:val="4"/>
    <w:basedOn w:val="1"/>
    <w:next w:val="1"/>
    <w:autoRedefine/>
    <w:qFormat/>
    <w:uiPriority w:val="0"/>
    <w:pPr>
      <w:spacing w:after="120"/>
      <w:ind w:left="420" w:leftChars="200"/>
    </w:pPr>
  </w:style>
  <w:style w:type="paragraph" w:customStyle="1" w:styleId="72">
    <w:name w:val="大纲目录2"/>
    <w:basedOn w:val="1"/>
    <w:autoRedefine/>
    <w:qFormat/>
    <w:uiPriority w:val="0"/>
    <w:pPr>
      <w:keepNext/>
      <w:keepLines/>
      <w:spacing w:before="120" w:after="120"/>
      <w:outlineLvl w:val="2"/>
    </w:pPr>
    <w:rPr>
      <w:rFonts w:cs="宋体"/>
      <w:b/>
      <w:bCs/>
      <w:kern w:val="44"/>
      <w:sz w:val="32"/>
      <w:szCs w:val="32"/>
    </w:rPr>
  </w:style>
  <w:style w:type="paragraph" w:customStyle="1" w:styleId="73">
    <w:name w:val="￥正文"/>
    <w:basedOn w:val="1"/>
    <w:autoRedefine/>
    <w:qFormat/>
    <w:uiPriority w:val="0"/>
    <w:pPr>
      <w:spacing w:after="120" w:line="440" w:lineRule="atLeast"/>
      <w:ind w:firstLine="560" w:firstLineChars="200"/>
    </w:pPr>
    <w:rPr>
      <w:rFonts w:ascii="宋体" w:hAnsi="宋体" w:eastAsia="仿宋_GB2312" w:cs="Times New Roman"/>
      <w:kern w:val="0"/>
      <w:sz w:val="28"/>
      <w:szCs w:val="20"/>
    </w:rPr>
  </w:style>
  <w:style w:type="paragraph" w:customStyle="1" w:styleId="74">
    <w:name w:val="msonormal"/>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75">
    <w:name w:val="表中文字6"/>
    <w:basedOn w:val="1"/>
    <w:autoRedefine/>
    <w:qFormat/>
    <w:uiPriority w:val="0"/>
    <w:pPr>
      <w:adjustRightInd w:val="0"/>
      <w:snapToGrid w:val="0"/>
      <w:jc w:val="center"/>
    </w:pPr>
    <w:rPr>
      <w:rFonts w:ascii="Times New Roman" w:hAnsi="Times New Roman" w:eastAsia="宋体" w:cs="Times New Roman"/>
      <w:szCs w:val="21"/>
    </w:rPr>
  </w:style>
  <w:style w:type="table" w:customStyle="1" w:styleId="76">
    <w:name w:val="Table Normal"/>
    <w:autoRedefine/>
    <w:semiHidden/>
    <w:unhideWhenUsed/>
    <w:qFormat/>
    <w:uiPriority w:val="0"/>
    <w:tblPr>
      <w:tblCellMar>
        <w:top w:w="0" w:type="dxa"/>
        <w:left w:w="0" w:type="dxa"/>
        <w:bottom w:w="0" w:type="dxa"/>
        <w:right w:w="0" w:type="dxa"/>
      </w:tblCellMar>
    </w:tblPr>
  </w:style>
  <w:style w:type="paragraph" w:customStyle="1" w:styleId="77">
    <w:name w:val="样式 行距: 固定值 25 磅 首行缩进:  1.98 字符"/>
    <w:basedOn w:val="1"/>
    <w:autoRedefine/>
    <w:qFormat/>
    <w:uiPriority w:val="0"/>
    <w:pPr>
      <w:topLinePunct/>
      <w:adjustRightInd w:val="0"/>
      <w:snapToGrid w:val="0"/>
      <w:spacing w:line="360" w:lineRule="auto"/>
      <w:ind w:firstLine="560" w:firstLineChars="200"/>
    </w:pPr>
    <w:rPr>
      <w:rFonts w:ascii="Times New Roman"/>
      <w:color w:val="FF0000"/>
      <w:sz w:val="28"/>
      <w:szCs w:val="28"/>
    </w:rPr>
  </w:style>
  <w:style w:type="paragraph" w:customStyle="1" w:styleId="78">
    <w:name w:val="样式6"/>
    <w:basedOn w:val="1"/>
    <w:autoRedefine/>
    <w:qFormat/>
    <w:uiPriority w:val="0"/>
    <w:pPr>
      <w:spacing w:line="480" w:lineRule="exact"/>
    </w:pPr>
    <w:rPr>
      <w:sz w:val="28"/>
    </w:rPr>
  </w:style>
  <w:style w:type="paragraph" w:customStyle="1" w:styleId="79">
    <w:name w:val="正文中小标题"/>
    <w:basedOn w:val="1"/>
    <w:autoRedefine/>
    <w:qFormat/>
    <w:uiPriority w:val="0"/>
    <w:pPr>
      <w:spacing w:beforeLines="50" w:afterLines="50" w:line="460" w:lineRule="exact"/>
      <w:ind w:firstLine="200" w:firstLineChars="200"/>
    </w:pPr>
    <w:rPr>
      <w:rFonts w:eastAsia="黑体"/>
      <w:b/>
      <w:sz w:val="28"/>
    </w:rPr>
  </w:style>
  <w:style w:type="paragraph" w:customStyle="1" w:styleId="80">
    <w:name w:val="6表内文字 居中"/>
    <w:basedOn w:val="1"/>
    <w:autoRedefine/>
    <w:qFormat/>
    <w:uiPriority w:val="0"/>
    <w:pPr>
      <w:adjustRightInd w:val="0"/>
      <w:spacing w:line="240" w:lineRule="atLeast"/>
      <w:jc w:val="center"/>
      <w:textAlignment w:val="baseline"/>
    </w:pPr>
    <w:rPr>
      <w:snapToGrid w:val="0"/>
      <w:kern w:val="0"/>
    </w:rPr>
  </w:style>
  <w:style w:type="paragraph" w:customStyle="1" w:styleId="81">
    <w:name w:val="表内文字"/>
    <w:basedOn w:val="1"/>
    <w:autoRedefine/>
    <w:qFormat/>
    <w:uiPriority w:val="99"/>
    <w:pPr>
      <w:spacing w:line="320" w:lineRule="exact"/>
      <w:jc w:val="center"/>
    </w:pPr>
    <w:rPr>
      <w:rFonts w:ascii="Times New Roman" w:hAnsi="Times New Roman" w:eastAsia="仿宋_GB2312" w:cs="Times New Roman"/>
      <w:sz w:val="24"/>
    </w:rPr>
  </w:style>
  <w:style w:type="character" w:customStyle="1" w:styleId="82">
    <w:name w:val="font01"/>
    <w:basedOn w:val="30"/>
    <w:autoRedefine/>
    <w:qFormat/>
    <w:uiPriority w:val="0"/>
    <w:rPr>
      <w:rFonts w:hint="default" w:ascii="Times New Roman" w:hAnsi="Times New Roman" w:cs="Times New Roman"/>
      <w:color w:val="000000"/>
      <w:sz w:val="21"/>
      <w:szCs w:val="21"/>
      <w:u w:val="none"/>
    </w:rPr>
  </w:style>
  <w:style w:type="character" w:customStyle="1" w:styleId="83">
    <w:name w:val="font31"/>
    <w:basedOn w:val="30"/>
    <w:autoRedefine/>
    <w:qFormat/>
    <w:uiPriority w:val="0"/>
    <w:rPr>
      <w:rFonts w:hint="default" w:ascii="Times New Roman" w:hAnsi="Times New Roman" w:cs="Times New Roman"/>
      <w:color w:val="000000"/>
      <w:sz w:val="21"/>
      <w:szCs w:val="21"/>
      <w:u w:val="none"/>
      <w:vertAlign w:val="superscript"/>
    </w:rPr>
  </w:style>
  <w:style w:type="character" w:customStyle="1" w:styleId="84">
    <w:name w:val="font51"/>
    <w:basedOn w:val="30"/>
    <w:autoRedefine/>
    <w:qFormat/>
    <w:uiPriority w:val="0"/>
    <w:rPr>
      <w:rFonts w:hint="eastAsia" w:ascii="宋体" w:hAnsi="宋体" w:eastAsia="宋体" w:cs="宋体"/>
      <w:color w:val="000000"/>
      <w:sz w:val="21"/>
      <w:szCs w:val="21"/>
      <w:u w:val="none"/>
    </w:rPr>
  </w:style>
  <w:style w:type="character" w:customStyle="1" w:styleId="85">
    <w:name w:val="font61"/>
    <w:basedOn w:val="30"/>
    <w:autoRedefine/>
    <w:qFormat/>
    <w:uiPriority w:val="0"/>
    <w:rPr>
      <w:rFonts w:hint="default" w:ascii="Times New Roman" w:hAnsi="Times New Roman" w:cs="Times New Roman"/>
      <w:color w:val="000000"/>
      <w:sz w:val="24"/>
      <w:szCs w:val="24"/>
      <w:u w:val="none"/>
      <w:vertAlign w:val="superscript"/>
    </w:rPr>
  </w:style>
  <w:style w:type="paragraph" w:customStyle="1" w:styleId="86">
    <w:name w:val="0正文"/>
    <w:basedOn w:val="1"/>
    <w:qFormat/>
    <w:uiPriority w:val="0"/>
    <w:pPr>
      <w:spacing w:line="360" w:lineRule="auto"/>
      <w:ind w:firstLine="480"/>
    </w:pPr>
    <w:rPr>
      <w:kern w:val="0"/>
      <w:szCs w:val="20"/>
    </w:rPr>
  </w:style>
  <w:style w:type="paragraph" w:customStyle="1" w:styleId="87">
    <w:name w:val="表、图标题"/>
    <w:basedOn w:val="1"/>
    <w:qFormat/>
    <w:uiPriority w:val="0"/>
    <w:pPr>
      <w:spacing w:before="50" w:beforeLines="50"/>
      <w:jc w:val="center"/>
    </w:pPr>
    <w:rPr>
      <w:rFonts w:ascii="Times New Roman" w:hAnsi="Times New Roman" w:eastAsia="黑体"/>
      <w:color w:val="000000"/>
    </w:rPr>
  </w:style>
  <w:style w:type="paragraph" w:customStyle="1" w:styleId="88">
    <w:name w:val="标题4"/>
    <w:basedOn w:val="89"/>
    <w:autoRedefine/>
    <w:qFormat/>
    <w:uiPriority w:val="0"/>
    <w:pPr>
      <w:autoSpaceDE w:val="0"/>
      <w:autoSpaceDN w:val="0"/>
      <w:adjustRightInd w:val="0"/>
      <w:spacing w:line="360" w:lineRule="auto"/>
      <w:jc w:val="left"/>
      <w:textAlignment w:val="baseline"/>
    </w:pPr>
    <w:rPr>
      <w:rFonts w:ascii="Times New Roman" w:hAnsi="Times New Roman" w:eastAsia="宋体"/>
      <w:snapToGrid w:val="0"/>
    </w:rPr>
  </w:style>
  <w:style w:type="paragraph" w:customStyle="1" w:styleId="89">
    <w:name w:val="标题3"/>
    <w:basedOn w:val="1"/>
    <w:autoRedefine/>
    <w:qFormat/>
    <w:uiPriority w:val="0"/>
    <w:pPr>
      <w:outlineLvl w:val="2"/>
    </w:pPr>
    <w:rPr>
      <w:b/>
      <w:kern w:val="0"/>
      <w:szCs w:val="20"/>
    </w:rPr>
  </w:style>
  <w:style w:type="paragraph" w:customStyle="1" w:styleId="90">
    <w:name w:val="正文(首行缩进)"/>
    <w:basedOn w:val="1"/>
    <w:autoRedefine/>
    <w:qFormat/>
    <w:uiPriority w:val="0"/>
    <w:pPr>
      <w:wordWrap w:val="0"/>
      <w:spacing w:line="360" w:lineRule="auto"/>
      <w:ind w:firstLine="720" w:firstLineChars="200"/>
    </w:pPr>
    <w:rPr>
      <w:rFonts w:ascii="Times New Roman" w:hAnsi="Times New Roman" w:eastAsia="宋体"/>
      <w:snapToGrid w:val="0"/>
      <w:color w:val="000000"/>
    </w:rPr>
  </w:style>
  <w:style w:type="character" w:customStyle="1" w:styleId="91">
    <w:name w:val="报告 Char Char"/>
    <w:link w:val="92"/>
    <w:autoRedefine/>
    <w:qFormat/>
    <w:uiPriority w:val="0"/>
    <w:rPr>
      <w:szCs w:val="20"/>
    </w:rPr>
  </w:style>
  <w:style w:type="paragraph" w:customStyle="1" w:styleId="92">
    <w:name w:val="报告"/>
    <w:basedOn w:val="1"/>
    <w:link w:val="91"/>
    <w:autoRedefine/>
    <w:qFormat/>
    <w:uiPriority w:val="0"/>
    <w:pPr>
      <w:adjustRightInd w:val="0"/>
      <w:spacing w:line="360" w:lineRule="auto"/>
      <w:ind w:firstLine="505"/>
      <w:textAlignment w:val="baseline"/>
    </w:pPr>
    <w:rPr>
      <w:szCs w:val="20"/>
    </w:rPr>
  </w:style>
  <w:style w:type="table" w:customStyle="1" w:styleId="93">
    <w:name w:val="专业网格13"/>
    <w:basedOn w:val="28"/>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4">
    <w:name w:val="【正文】"/>
    <w:basedOn w:val="95"/>
    <w:next w:val="24"/>
    <w:link w:val="124"/>
    <w:autoRedefine/>
    <w:qFormat/>
    <w:uiPriority w:val="0"/>
    <w:pPr>
      <w:ind w:firstLine="200"/>
    </w:pPr>
    <w:rPr>
      <w:szCs w:val="20"/>
    </w:rPr>
  </w:style>
  <w:style w:type="paragraph" w:customStyle="1" w:styleId="95">
    <w:name w:val="标准正文"/>
    <w:basedOn w:val="1"/>
    <w:autoRedefine/>
    <w:qFormat/>
    <w:uiPriority w:val="0"/>
    <w:pPr>
      <w:ind w:firstLine="480"/>
    </w:pPr>
  </w:style>
  <w:style w:type="paragraph" w:customStyle="1" w:styleId="96">
    <w:name w:val="专属表格"/>
    <w:basedOn w:val="1"/>
    <w:next w:val="1"/>
    <w:autoRedefine/>
    <w:qFormat/>
    <w:uiPriority w:val="0"/>
    <w:pPr>
      <w:jc w:val="center"/>
    </w:pPr>
    <w:rPr>
      <w:kern w:val="0"/>
      <w:szCs w:val="21"/>
    </w:rPr>
  </w:style>
  <w:style w:type="table" w:customStyle="1" w:styleId="97">
    <w:name w:val="样式25"/>
    <w:basedOn w:val="28"/>
    <w:autoRedefine/>
    <w:qFormat/>
    <w:uiPriority w:val="99"/>
    <w:pPr>
      <w:jc w:val="center"/>
    </w:p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 w:type="paragraph" w:customStyle="1" w:styleId="98">
    <w:name w:val="MEL正文*"/>
    <w:basedOn w:val="1"/>
    <w:autoRedefine/>
    <w:qFormat/>
    <w:uiPriority w:val="0"/>
    <w:pPr>
      <w:spacing w:line="500" w:lineRule="exact"/>
      <w:ind w:firstLine="200" w:firstLineChars="200"/>
    </w:pPr>
    <w:rPr>
      <w:rFonts w:ascii="宋体"/>
      <w:kern w:val="0"/>
      <w:sz w:val="24"/>
    </w:rPr>
  </w:style>
  <w:style w:type="paragraph" w:customStyle="1" w:styleId="99">
    <w:name w:val="Table Text"/>
    <w:basedOn w:val="1"/>
    <w:autoRedefine/>
    <w:semiHidden/>
    <w:qFormat/>
    <w:uiPriority w:val="0"/>
    <w:rPr>
      <w:rFonts w:ascii="宋体" w:hAnsi="宋体" w:eastAsia="宋体" w:cs="宋体"/>
      <w:sz w:val="24"/>
      <w:lang w:eastAsia="en-US"/>
    </w:rPr>
  </w:style>
  <w:style w:type="character" w:customStyle="1" w:styleId="100">
    <w:name w:val="font21"/>
    <w:basedOn w:val="30"/>
    <w:autoRedefine/>
    <w:qFormat/>
    <w:uiPriority w:val="0"/>
    <w:rPr>
      <w:rFonts w:ascii="宋体" w:hAnsi="宋体" w:eastAsia="宋体" w:cs="宋体"/>
      <w:color w:val="000000"/>
      <w:sz w:val="22"/>
      <w:szCs w:val="22"/>
      <w:u w:val="none"/>
    </w:rPr>
  </w:style>
  <w:style w:type="character" w:customStyle="1" w:styleId="101">
    <w:name w:val="textbig1"/>
    <w:basedOn w:val="30"/>
    <w:autoRedefine/>
    <w:qFormat/>
    <w:uiPriority w:val="0"/>
    <w:rPr>
      <w:sz w:val="18"/>
      <w:szCs w:val="18"/>
    </w:rPr>
  </w:style>
  <w:style w:type="character" w:customStyle="1" w:styleId="102">
    <w:name w:val="表头 Char"/>
    <w:link w:val="37"/>
    <w:autoRedefine/>
    <w:qFormat/>
    <w:uiPriority w:val="0"/>
    <w:rPr>
      <w:b/>
      <w:szCs w:val="21"/>
    </w:rPr>
  </w:style>
  <w:style w:type="paragraph" w:customStyle="1" w:styleId="103">
    <w:name w:val="环评正文"/>
    <w:basedOn w:val="1"/>
    <w:link w:val="104"/>
    <w:autoRedefine/>
    <w:qFormat/>
    <w:uiPriority w:val="0"/>
    <w:pPr>
      <w:spacing w:line="360" w:lineRule="auto"/>
      <w:ind w:firstLine="482" w:firstLineChars="200"/>
    </w:pPr>
    <w:rPr>
      <w:rFonts w:cs="Times New Roman"/>
      <w:color w:val="000000"/>
    </w:rPr>
  </w:style>
  <w:style w:type="character" w:customStyle="1" w:styleId="104">
    <w:name w:val="环评正文 Char"/>
    <w:link w:val="103"/>
    <w:autoRedefine/>
    <w:qFormat/>
    <w:uiPriority w:val="0"/>
    <w:rPr>
      <w:rFonts w:cs="Times New Roman"/>
      <w:color w:val="000000"/>
      <w:lang w:val="en-US" w:bidi="ar-SA"/>
    </w:rPr>
  </w:style>
  <w:style w:type="paragraph" w:customStyle="1" w:styleId="105">
    <w:name w:val="图名"/>
    <w:basedOn w:val="1"/>
    <w:autoRedefine/>
    <w:qFormat/>
    <w:uiPriority w:val="0"/>
    <w:pPr>
      <w:adjustRightInd w:val="0"/>
      <w:snapToGrid w:val="0"/>
      <w:spacing w:after="50" w:afterLines="50" w:line="360" w:lineRule="auto"/>
      <w:jc w:val="center"/>
    </w:pPr>
    <w:rPr>
      <w:rFonts w:hint="eastAsia"/>
      <w:b/>
      <w:bCs/>
      <w:szCs w:val="21"/>
    </w:rPr>
  </w:style>
  <w:style w:type="paragraph" w:customStyle="1" w:styleId="106">
    <w:name w:val="中煤正文"/>
    <w:basedOn w:val="1"/>
    <w:qFormat/>
    <w:uiPriority w:val="0"/>
    <w:pPr>
      <w:widowControl/>
      <w:adjustRightInd w:val="0"/>
      <w:snapToGrid w:val="0"/>
      <w:ind w:firstLine="520" w:firstLineChars="200"/>
      <w:jc w:val="left"/>
    </w:pPr>
    <w:rPr>
      <w:rFonts w:cs="Times New Roman"/>
      <w:kern w:val="0"/>
      <w:szCs w:val="26"/>
      <w:lang w:bidi="en-US"/>
    </w:rPr>
  </w:style>
  <w:style w:type="character" w:customStyle="1" w:styleId="107">
    <w:name w:val="fontstyle11"/>
    <w:basedOn w:val="30"/>
    <w:qFormat/>
    <w:uiPriority w:val="0"/>
    <w:rPr>
      <w:rFonts w:hint="default" w:ascii="Times New Roman" w:hAnsi="Times New Roman" w:cs="Times New Roman"/>
      <w:color w:val="000000"/>
      <w:sz w:val="26"/>
      <w:szCs w:val="26"/>
    </w:rPr>
  </w:style>
  <w:style w:type="character" w:customStyle="1" w:styleId="108">
    <w:name w:val="批注文字 字符"/>
    <w:basedOn w:val="30"/>
    <w:link w:val="10"/>
    <w:qFormat/>
    <w:uiPriority w:val="0"/>
    <w:rPr>
      <w:rFonts w:asciiTheme="minorHAnsi" w:hAnsiTheme="minorHAnsi" w:eastAsiaTheme="minorEastAsia" w:cstheme="minorBidi"/>
      <w:kern w:val="2"/>
      <w:sz w:val="21"/>
      <w:szCs w:val="24"/>
    </w:rPr>
  </w:style>
  <w:style w:type="character" w:customStyle="1" w:styleId="109">
    <w:name w:val="批注主题 字符"/>
    <w:basedOn w:val="108"/>
    <w:link w:val="26"/>
    <w:qFormat/>
    <w:uiPriority w:val="0"/>
    <w:rPr>
      <w:rFonts w:asciiTheme="minorHAnsi" w:hAnsiTheme="minorHAnsi" w:eastAsiaTheme="minorEastAsia" w:cstheme="minorBidi"/>
      <w:b/>
      <w:bCs/>
      <w:kern w:val="2"/>
      <w:sz w:val="21"/>
      <w:szCs w:val="24"/>
    </w:rPr>
  </w:style>
  <w:style w:type="character" w:customStyle="1" w:styleId="110">
    <w:name w:val="批注框文本 字符"/>
    <w:basedOn w:val="30"/>
    <w:link w:val="16"/>
    <w:qFormat/>
    <w:uiPriority w:val="0"/>
    <w:rPr>
      <w:rFonts w:asciiTheme="minorHAnsi" w:hAnsiTheme="minorHAnsi" w:eastAsiaTheme="minorEastAsia" w:cstheme="minorBidi"/>
      <w:kern w:val="2"/>
      <w:sz w:val="18"/>
      <w:szCs w:val="18"/>
    </w:rPr>
  </w:style>
  <w:style w:type="paragraph" w:customStyle="1" w:styleId="111">
    <w:name w:val="表格格式"/>
    <w:basedOn w:val="1"/>
    <w:qFormat/>
    <w:uiPriority w:val="0"/>
    <w:pPr>
      <w:widowControl/>
      <w:jc w:val="center"/>
    </w:pPr>
    <w:rPr>
      <w:rFonts w:ascii="Times New Roman" w:hAnsi="Times New Roman" w:eastAsia="宋体" w:cs="Times New Roman"/>
      <w:kern w:val="0"/>
      <w:sz w:val="22"/>
    </w:rPr>
  </w:style>
  <w:style w:type="paragraph" w:customStyle="1" w:styleId="112">
    <w:name w:val="表格标题-书"/>
    <w:basedOn w:val="1"/>
    <w:next w:val="1"/>
    <w:qFormat/>
    <w:uiPriority w:val="0"/>
    <w:pPr>
      <w:widowControl/>
      <w:jc w:val="center"/>
    </w:pPr>
    <w:rPr>
      <w:b/>
      <w:kern w:val="0"/>
      <w:sz w:val="24"/>
    </w:rPr>
  </w:style>
  <w:style w:type="paragraph" w:customStyle="1" w:styleId="113">
    <w:name w:val="首行缩进正文"/>
    <w:basedOn w:val="94"/>
    <w:autoRedefine/>
    <w:qFormat/>
    <w:uiPriority w:val="0"/>
  </w:style>
  <w:style w:type="paragraph" w:customStyle="1" w:styleId="114">
    <w:name w:val="C【表中文字】-"/>
    <w:basedOn w:val="1"/>
    <w:autoRedefine/>
    <w:qFormat/>
    <w:uiPriority w:val="0"/>
    <w:pPr>
      <w:adjustRightInd w:val="0"/>
      <w:snapToGrid w:val="0"/>
      <w:jc w:val="center"/>
    </w:pPr>
    <w:rPr>
      <w:kern w:val="0"/>
      <w:sz w:val="18"/>
      <w:szCs w:val="20"/>
    </w:rPr>
  </w:style>
  <w:style w:type="paragraph" w:customStyle="1" w:styleId="115">
    <w:name w:val="C表两端"/>
    <w:basedOn w:val="1"/>
    <w:qFormat/>
    <w:uiPriority w:val="0"/>
    <w:pPr>
      <w:adjustRightInd w:val="0"/>
      <w:snapToGrid w:val="0"/>
    </w:pPr>
    <w:rPr>
      <w:kern w:val="0"/>
      <w:sz w:val="18"/>
      <w:szCs w:val="20"/>
    </w:rPr>
  </w:style>
  <w:style w:type="paragraph" w:customStyle="1" w:styleId="116">
    <w:name w:val="【表中文字】"/>
    <w:basedOn w:val="117"/>
    <w:autoRedefine/>
    <w:qFormat/>
    <w:uiPriority w:val="0"/>
    <w:pPr>
      <w:adjustRightInd w:val="0"/>
      <w:snapToGrid w:val="0"/>
    </w:pPr>
    <w:rPr>
      <w:szCs w:val="20"/>
    </w:rPr>
  </w:style>
  <w:style w:type="paragraph" w:customStyle="1" w:styleId="117">
    <w:name w:val=".表1-1-1内容"/>
    <w:basedOn w:val="1"/>
    <w:autoRedefine/>
    <w:qFormat/>
    <w:uiPriority w:val="0"/>
    <w:pPr>
      <w:spacing w:line="300" w:lineRule="exact"/>
      <w:jc w:val="center"/>
    </w:pPr>
    <w:rPr>
      <w:kern w:val="0"/>
      <w:szCs w:val="21"/>
    </w:rPr>
  </w:style>
  <w:style w:type="paragraph" w:customStyle="1" w:styleId="118">
    <w:name w:val="【表中文字】-"/>
    <w:basedOn w:val="1"/>
    <w:autoRedefine/>
    <w:qFormat/>
    <w:uiPriority w:val="0"/>
    <w:pPr>
      <w:adjustRightInd w:val="0"/>
      <w:snapToGrid w:val="0"/>
      <w:jc w:val="center"/>
    </w:pPr>
    <w:rPr>
      <w:kern w:val="0"/>
      <w:sz w:val="18"/>
      <w:szCs w:val="20"/>
    </w:rPr>
  </w:style>
  <w:style w:type="paragraph" w:customStyle="1" w:styleId="119">
    <w:name w:val="L首行缩进正文"/>
    <w:basedOn w:val="94"/>
    <w:autoRedefine/>
    <w:qFormat/>
    <w:uiPriority w:val="0"/>
    <w:pPr>
      <w:ind w:firstLine="480"/>
    </w:pPr>
    <w:rPr>
      <w:rFonts w:cs="Times New Roman"/>
      <w:szCs w:val="21"/>
    </w:rPr>
  </w:style>
  <w:style w:type="paragraph" w:customStyle="1" w:styleId="120">
    <w:name w:val="正文2"/>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121">
    <w:name w:val="C首行缩进正文"/>
    <w:basedOn w:val="94"/>
    <w:qFormat/>
    <w:uiPriority w:val="0"/>
  </w:style>
  <w:style w:type="paragraph" w:customStyle="1" w:styleId="122">
    <w:name w:val="AAA首行缩进2字符正文"/>
    <w:basedOn w:val="113"/>
    <w:autoRedefine/>
    <w:qFormat/>
    <w:uiPriority w:val="0"/>
    <w:pPr>
      <w:adjustRightInd w:val="0"/>
      <w:snapToGrid w:val="0"/>
      <w:spacing w:line="500" w:lineRule="exact"/>
    </w:pPr>
    <w:rPr>
      <w:rFonts w:eastAsia="仿宋"/>
      <w:sz w:val="24"/>
    </w:rPr>
  </w:style>
  <w:style w:type="paragraph" w:customStyle="1" w:styleId="123">
    <w:name w:val="【表头】"/>
    <w:basedOn w:val="94"/>
    <w:next w:val="1"/>
    <w:autoRedefine/>
    <w:qFormat/>
    <w:uiPriority w:val="0"/>
    <w:pPr>
      <w:widowControl/>
      <w:adjustRightInd w:val="0"/>
      <w:snapToGrid w:val="0"/>
      <w:jc w:val="center"/>
    </w:pPr>
    <w:rPr>
      <w:rFonts w:eastAsia="黑体"/>
    </w:rPr>
  </w:style>
  <w:style w:type="character" w:customStyle="1" w:styleId="124">
    <w:name w:val="【正文】 Char"/>
    <w:link w:val="94"/>
    <w:autoRedefine/>
    <w:qFormat/>
    <w:uiPriority w:val="0"/>
    <w:rPr>
      <w:szCs w:val="20"/>
    </w:rPr>
  </w:style>
  <w:style w:type="paragraph" w:customStyle="1" w:styleId="125">
    <w:name w:val="表中大字"/>
    <w:basedOn w:val="1"/>
    <w:autoRedefine/>
    <w:qFormat/>
    <w:uiPriority w:val="0"/>
    <w:pPr>
      <w:spacing w:line="440" w:lineRule="exact"/>
      <w:jc w:val="center"/>
      <w:textAlignment w:val="center"/>
    </w:pPr>
    <w:rPr>
      <w:sz w:val="28"/>
      <w:szCs w:val="28"/>
    </w:rPr>
  </w:style>
  <w:style w:type="character" w:customStyle="1" w:styleId="126">
    <w:name w:val="【正文】 Char1"/>
    <w:autoRedefine/>
    <w:qFormat/>
    <w:uiPriority w:val="0"/>
    <w:rPr>
      <w:rFonts w:ascii="Times New Roman" w:hAnsi="Times New Roman" w:eastAsia="宋体"/>
      <w:sz w:val="24"/>
    </w:rPr>
  </w:style>
  <w:style w:type="paragraph" w:customStyle="1" w:styleId="127">
    <w:name w:val="样式17"/>
    <w:basedOn w:val="19"/>
    <w:qFormat/>
    <w:uiPriority w:val="0"/>
    <w:pPr>
      <w:ind w:firstLine="482" w:firstLineChars="200"/>
      <w:outlineLvl w:val="4"/>
    </w:pPr>
  </w:style>
  <w:style w:type="paragraph" w:customStyle="1" w:styleId="128">
    <w:name w:val="正文111"/>
    <w:basedOn w:val="1"/>
    <w:autoRedefine/>
    <w:qFormat/>
    <w:uiPriority w:val="0"/>
    <w:pPr>
      <w:snapToGrid w:val="0"/>
      <w:ind w:firstLine="480"/>
    </w:pPr>
    <w:rPr>
      <w:szCs w:val="20"/>
    </w:rPr>
  </w:style>
  <w:style w:type="paragraph" w:customStyle="1" w:styleId="129">
    <w:name w:val="报告表表格正文"/>
    <w:basedOn w:val="1"/>
    <w:next w:val="69"/>
    <w:qFormat/>
    <w:uiPriority w:val="0"/>
    <w:pPr>
      <w:adjustRightInd w:val="0"/>
      <w:snapToGrid w:val="0"/>
      <w:jc w:val="center"/>
    </w:pPr>
    <w:rPr>
      <w:rFonts w:ascii="Times New Roman" w:hAnsi="Times New Roman" w:eastAsia="宋体" w:cs="Times New Roman"/>
      <w:color w:val="000000"/>
      <w:szCs w:val="21"/>
    </w:rPr>
  </w:style>
  <w:style w:type="paragraph" w:customStyle="1" w:styleId="130">
    <w:name w:val="p1"/>
    <w:basedOn w:val="1"/>
    <w:qFormat/>
    <w:uiPriority w:val="0"/>
    <w:pPr>
      <w:jc w:val="left"/>
    </w:pPr>
    <w:rPr>
      <w:rFonts w:ascii="Helvetica" w:hAnsi="Helvetica" w:eastAsia="Helvetica" w:cs="Times New Roman"/>
      <w:color w:val="000000"/>
      <w:kern w:val="0"/>
      <w:sz w:val="24"/>
    </w:rPr>
  </w:style>
  <w:style w:type="paragraph" w:customStyle="1" w:styleId="131">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0.png"/><Relationship Id="rId98" Type="http://schemas.openxmlformats.org/officeDocument/2006/relationships/image" Target="media/image89.png"/><Relationship Id="rId97" Type="http://schemas.openxmlformats.org/officeDocument/2006/relationships/image" Target="media/image88.png"/><Relationship Id="rId96" Type="http://schemas.openxmlformats.org/officeDocument/2006/relationships/image" Target="media/image87.png"/><Relationship Id="rId95" Type="http://schemas.openxmlformats.org/officeDocument/2006/relationships/image" Target="media/image86.png"/><Relationship Id="rId94" Type="http://schemas.openxmlformats.org/officeDocument/2006/relationships/image" Target="media/image85.png"/><Relationship Id="rId93" Type="http://schemas.openxmlformats.org/officeDocument/2006/relationships/image" Target="media/image84.png"/><Relationship Id="rId92" Type="http://schemas.openxmlformats.org/officeDocument/2006/relationships/image" Target="media/image83.png"/><Relationship Id="rId91" Type="http://schemas.openxmlformats.org/officeDocument/2006/relationships/image" Target="media/image82.png"/><Relationship Id="rId90" Type="http://schemas.openxmlformats.org/officeDocument/2006/relationships/image" Target="media/image81.png"/><Relationship Id="rId9" Type="http://schemas.openxmlformats.org/officeDocument/2006/relationships/image" Target="media/image1.png"/><Relationship Id="rId89" Type="http://schemas.openxmlformats.org/officeDocument/2006/relationships/image" Target="media/image80.png"/><Relationship Id="rId88" Type="http://schemas.openxmlformats.org/officeDocument/2006/relationships/image" Target="media/image79.png"/><Relationship Id="rId87" Type="http://schemas.openxmlformats.org/officeDocument/2006/relationships/image" Target="media/image78.png"/><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png"/><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theme" Target="theme/theme1.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footer" Target="footer5.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jpeg"/><Relationship Id="rId6" Type="http://schemas.openxmlformats.org/officeDocument/2006/relationships/footer" Target="footer4.xml"/><Relationship Id="rId59" Type="http://schemas.openxmlformats.org/officeDocument/2006/relationships/image" Target="media/image50.jpeg"/><Relationship Id="rId58" Type="http://schemas.openxmlformats.org/officeDocument/2006/relationships/image" Target="media/image49.jpeg"/><Relationship Id="rId57" Type="http://schemas.openxmlformats.org/officeDocument/2006/relationships/image" Target="media/image48.jpeg"/><Relationship Id="rId56" Type="http://schemas.openxmlformats.org/officeDocument/2006/relationships/image" Target="media/image47.jpe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footer" Target="foot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footer" Target="footer2.xml"/><Relationship Id="rId39" Type="http://schemas.openxmlformats.org/officeDocument/2006/relationships/image" Target="media/image30.png"/><Relationship Id="rId38" Type="http://schemas.openxmlformats.org/officeDocument/2006/relationships/image" Target="media/image29.jpeg"/><Relationship Id="rId37" Type="http://schemas.openxmlformats.org/officeDocument/2006/relationships/image" Target="media/image28.jpeg"/><Relationship Id="rId36" Type="http://schemas.openxmlformats.org/officeDocument/2006/relationships/image" Target="media/image27.jpeg"/><Relationship Id="rId35" Type="http://schemas.openxmlformats.org/officeDocument/2006/relationships/image" Target="media/image26.jpeg"/><Relationship Id="rId34" Type="http://schemas.openxmlformats.org/officeDocument/2006/relationships/image" Target="media/image25.jpeg"/><Relationship Id="rId33" Type="http://schemas.openxmlformats.org/officeDocument/2006/relationships/image" Target="media/image24.jpeg"/><Relationship Id="rId32" Type="http://schemas.openxmlformats.org/officeDocument/2006/relationships/image" Target="media/image23.jpeg"/><Relationship Id="rId31" Type="http://schemas.openxmlformats.org/officeDocument/2006/relationships/image" Target="media/image22.jpeg"/><Relationship Id="rId30" Type="http://schemas.openxmlformats.org/officeDocument/2006/relationships/image" Target="media/image21.jpeg"/><Relationship Id="rId3" Type="http://schemas.openxmlformats.org/officeDocument/2006/relationships/footer" Target="footer1.xml"/><Relationship Id="rId29" Type="http://schemas.openxmlformats.org/officeDocument/2006/relationships/image" Target="media/image20.jpeg"/><Relationship Id="rId28" Type="http://schemas.openxmlformats.org/officeDocument/2006/relationships/image" Target="media/image19.jpeg"/><Relationship Id="rId27" Type="http://schemas.openxmlformats.org/officeDocument/2006/relationships/image" Target="media/image18.jpeg"/><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wmf"/><Relationship Id="rId23" Type="http://schemas.openxmlformats.org/officeDocument/2006/relationships/oleObject" Target="embeddings/oleObject1.bin"/><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9" Type="http://schemas.openxmlformats.org/officeDocument/2006/relationships/fontTable" Target="fontTable.xml"/><Relationship Id="rId118" Type="http://schemas.openxmlformats.org/officeDocument/2006/relationships/numbering" Target="numbering.xml"/><Relationship Id="rId117" Type="http://schemas.openxmlformats.org/officeDocument/2006/relationships/customXml" Target="../customXml/item1.xml"/><Relationship Id="rId116" Type="http://schemas.openxmlformats.org/officeDocument/2006/relationships/image" Target="media/image107.png"/><Relationship Id="rId115" Type="http://schemas.openxmlformats.org/officeDocument/2006/relationships/image" Target="media/image106.png"/><Relationship Id="rId114" Type="http://schemas.openxmlformats.org/officeDocument/2006/relationships/image" Target="media/image105.png"/><Relationship Id="rId113" Type="http://schemas.openxmlformats.org/officeDocument/2006/relationships/image" Target="media/image104.png"/><Relationship Id="rId112" Type="http://schemas.openxmlformats.org/officeDocument/2006/relationships/image" Target="media/image103.png"/><Relationship Id="rId111" Type="http://schemas.openxmlformats.org/officeDocument/2006/relationships/image" Target="media/image102.jpeg"/><Relationship Id="rId110" Type="http://schemas.openxmlformats.org/officeDocument/2006/relationships/image" Target="media/image101.png"/><Relationship Id="rId11" Type="http://schemas.openxmlformats.org/officeDocument/2006/relationships/image" Target="media/image3.png"/><Relationship Id="rId109" Type="http://schemas.openxmlformats.org/officeDocument/2006/relationships/image" Target="media/image100.tiff"/><Relationship Id="rId108" Type="http://schemas.openxmlformats.org/officeDocument/2006/relationships/image" Target="media/image99.png"/><Relationship Id="rId107" Type="http://schemas.openxmlformats.org/officeDocument/2006/relationships/image" Target="media/image98.jpeg"/><Relationship Id="rId106" Type="http://schemas.openxmlformats.org/officeDocument/2006/relationships/image" Target="media/image97.jpeg"/><Relationship Id="rId105" Type="http://schemas.openxmlformats.org/officeDocument/2006/relationships/image" Target="media/image96.jpeg"/><Relationship Id="rId104" Type="http://schemas.openxmlformats.org/officeDocument/2006/relationships/image" Target="media/image95.jpeg"/><Relationship Id="rId103" Type="http://schemas.openxmlformats.org/officeDocument/2006/relationships/image" Target="media/image94.jpeg"/><Relationship Id="rId102" Type="http://schemas.openxmlformats.org/officeDocument/2006/relationships/image" Target="media/image93.jpeg"/><Relationship Id="rId101" Type="http://schemas.openxmlformats.org/officeDocument/2006/relationships/image" Target="media/image92.png"/><Relationship Id="rId100" Type="http://schemas.openxmlformats.org/officeDocument/2006/relationships/image" Target="media/image91.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RV3RDWkZWdFZucFRZVFExTmpBeU5TVXlNaVUzUkNVeVF5VTNRaVV5TW01aGJXVWxNaklsTTBFbE1qSWxSVFVsT1RBbE9FUWxSVGNsUVRjbFFqQWxNaklsTWtNbE1qSjBlWEJsSlRJeUpUTkJKVEl5YzNSeWFXNW5KVEl5SlRKREpUSXlkbUZzZFdVbE1qSWxNMEVsTWpJbE1qSWxNa01sTWpKallYUmxaMjl5ZVNVeU1pVXpRU1V5TW1SbFptRjFiSFFsTWpJbE1rTWxNakpwWkNVeU1pVXpRU1V5TWtSTlpHbHVWbnBvUm5ZNU56azBORFV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pYjJ4a0pUSXlKVE5CZEhKMVpTVTNSQ1V5UXlVeU1uUmxlSFJDYkc5amF5VXlNaVV6UVNVMVFpVTNRaVV5TW5CdmMybDBhVzl1SlRJeUpUTkJKVGRDSlRJeWVDVXlNaVV6UVRFd0pUSkRKVEl5ZVNVeU1pVXpRVEFsTWtNbE1qSjNKVEl5SlROQkpUSXlkeTB5TUNVeU1pVXlReVV5TW1nbE1qSWxNMEVsTWpKb0pUSXlKVGRFSlRKREpUSXlkR1Y0ZENVeU1pVXpRU1V5TWlWRk9DVTRNU1U0UXlWRk5TVkNOeVZCTlNWRk55VTVOQ1U1UmlWRk5pVkNOQ1ZDUWlWRk55VTVOQ1ZCT0NWRk5pVkNNQ1ZDTk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KbVNHdFhXWE40WjBVNU1qTTBOellsTWpJbE4wUWxNa01sTjBJbE1qSnVZVzFsSlRJeUpUTkJKVEl5SlVVMUpUa3dKVGhFSlVVM0pVRTNKVUl3SlRJeUpUSkRKVEl5ZEhsd1pTVXlNaVV6UVNVeU1uTjBjbWx1WnlVeU1pVXlReVV5TW5aaGJIVmxKVEl5SlROQkpUSXlKVEl5SlRKREpUSXlZMkYwWldkdmNua2xNaklsTTBFbE1qSmtaV1poZFd4MEpUSXlKVEpESlRJeWFXUWxNaklsTTBFbE1qSlpTbmhLWTNGM1dsWnhNVFl6T1Rre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WW05c1pDVXlNaVV6UVhSeWRXVWxOMFFsTWtNbE1qSjBaWGgwUW14dlkyc2xNaklsTTBFbE5VSWxOMElsTWpKd2IzTnBkR2x2YmlVeU1pVXpRU1UzUWlVeU1uZ2xNaklsTTBFeE1DVXlReVV5TW5rbE1qSWxNMEV3SlRKREpUSXlkeVV5TWlVelFTVXlNbmN0TWpBbE1qSWxNa01sTWpKb0pUSXlKVE5CSlRJeWFDVXlNaVUzUkNVeVF5VXlNblJsZUhRbE1qSWxNMEVsTWpJeE5DND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QwVjFWRVptUTJ4a1pESTVPVGMyTkNVeU1pVXpRU1UzUWlVeU1tbGtKVEl5SlROQkpUSXlkMFYxVkVabVEyeGtaREk1T1RjMk5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cFUyVnRTbmgxWlhSeE5Ea3pPRE13SlRJeUpUZEVKVEpESlRkQ0pUSXlibUZ0WlNVeU1pVXpRU1V5TWlWRk5TVTVNQ1U0UkNWRk55VkJOeVZDTUNVeU1pVXlReVV5TW5SNWNHVWxNaklsTTBFbE1qSnpkSEpwYm1jbE1qSWxNa01sTWpKMllXeDFaU1V5TWlVelFTVXlNaVV5TWlVeVF5VXlNbU5oZEdWbmIzSjVKVEl5SlROQkpUSXlaR1ZtWVhWc2RDVXlNaVV5UXlVeU1tbGtKVEl5SlROQkpUSXlaM0Y2UkhCRmRtRndaak13TkRVek55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mliMnhrSlRJeUpUTkJkSEoxWlNVM1JDVXlReVV5TW5SbGVIUkNiRzlqYXlVeU1pVXpRU1UxUWlVM1FpVXlNbkJ2YzJsMGFXOXVKVEl5SlROQkpUZENKVEl5ZUNVeU1pVXpRVEV3SlRKREpUSXllU1V5TWlVelFUQWxNa01sTWpKM0pUSXlKVE5CSlRJeWR5MHlNQ1V5TWlVeVF5VXlNbWdsTWpJbE0wRWxNakpvSlRJeUpUZEVKVEpESlRJeWRHVjRkQ1V5TWlVelFTVXlNaVZGT1NWQk15VTVSaVZGTlNWQk1DVTRNaVZGTnlVNU5DVkJPQ1ZGTmlWQ01DVkN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NUmtGMFkxZHFWV2x1TlRVME1USXlKVEl5SlRkRUpUSkRKVGRDSlRJeWJtRnRaU1V5TWlVelFTVXlNaVZGTlNVNU1DVTRSQ1ZGTnlWQk55VkNNQ1V5TWlVeVF5VXlNblI1Y0dVbE1qSWxNMEVsTWpKemRISnBibWNsTWpJbE1rTWxNakoyWVd4MVpTVXlNaVV6UVNVeU1pVXlNaVV5UXlVeU1tTmhkR1ZuYjNKNUpUSXlKVE5CSlRJeVpHVm1ZWFZzZENVeU1pVXlReVV5TW1sa0pUSXlKVE5CSlRJeVNHOWxhMmgzVG14dlJURXhNalU1TV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1pNDN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WWVtdEdVR2QyUlVSUU56Z3pNelExSlRJeUpUZEVKVEpESlRkQ0pUSXlibUZ0WlNVeU1pVXpRU1V5TWlWRk5TVTVNQ1U0UkNWRk55VkJOeVZDTUNVeU1pVXlReVV5TW5SNWNHVWxNaklsTTBFbE1qSnpkSEpwYm1jbE1qSWxNa01sTWpKMllXeDFaU1V5TWlVelFTVXlNaVV5TWlVeVF5VXlNbU5oZEdWbmIzSjVKVEl5SlROQkpUSXlaR1ZtWVhWc2RDVXlNaVV5UXlVeU1tbGtKVEl5SlROQkpUSXlWVUYwWWxCSlpXdG5UemM0TnpJeU15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ZbTlzWkNVeU1pVXpRWFJ5ZFdVbE4wUWxNa01sTWpKMFpYaDBRbXh2WTJzbE1qSWxNMEVsTlVJbE4wSWxNakp3YjNOcGRHbHZiaVV5TWlVelFTVTNRaVV5TW5nbE1qSWxNMEV4TUNVeVF5VXlNbmtsTWpJbE0wRXdKVEpESlRJeWR5VXlNaVV6UVNVeU1uY3RNakFsTWpJbE1rTWxNakpvSlRJeUpUTkJKVEl5YUNVeU1pVTNSQ1V5UXlVeU1uUmxlSFFsTWpJbE0wRWxNaklsUlRRbFFqa2xRak1sUlRVbE9FTWxPVFlsUlRZbFFqSWxRVFVsUlRrbE9VUWxPVElsUlRjbE9UUWxPVVlsUlRRbFFrRWxRVGNsUlRjbFFrRWxRa1lsUlRrbE9EVWxPRVFsUlRZbE9UWWxPVGtsUlRjbE9UUWxRVGdsUlRZbFFqQ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1kSVNFTmtUMnBCZEdVeU5UWTBPVGdsTWpJbE4wUWxNa01sTjBJbE1qSnVZVzFsSlRJeUpUTkJKVEl5SlVVMUpUa3dKVGhFSlVVM0pVRTNKVUl3SlRJeUpUSkRKVEl5ZEhsd1pTVXlNaVV6UVNVeU1uTjBjbWx1WnlVeU1pVXlReVV5TW5aaGJIVmxKVEl5SlROQkpUSXlKVEl5SlRKREpUSXlZMkYwWldkdmNua2xNaklsTTBFbE1qSmtaV1poZFd4MEpUSXlKVEpESlRJeWFXUWxNaklsTTBFbE1qSmpkWE5CVEdWbFdHRnZPREV3TkRnM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aWIyeGtKVEl5SlROQmRISjFaU1UzUkNVeVF5VXlNblJsZUhSQ2JHOWpheVV5TWlVelFTVTFRaVUzUWlVeU1uQnZjMmwwYVc5dUpUSXlKVE5CSlRkQ0pUSXllQ1V5TWlVelFURXdKVEpESlRJeWVTVXlNaVV6UVRBbE1rTWxNakozSlRJeUpUTkJKVEl5ZHkweU1DVXlNaVV5UXlVeU1tZ2xNaklsTTBFbE1qSm9KVEl5SlRkRUpUSkRKVEl5ZEdWNGRDVXlNaVV6UVNVeU1qSTBOe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jNOa1dVbE9WV3RwU0RBd05UUXdPQ1V5TWlVM1JDVXlReVUzUWlVeU1tNWhiV1VsTWpJbE0wRWxNaklsUlRVbE9UQWxPRVFsUlRjbFFUY2xRakFsTWpJbE1rTWxNakowZVhCbEpUSXlKVE5CSlRJeWMzUnlhVzVuSlRJeUpUSkRKVEl5ZG1Gc2RXVWxNaklsTTBFbE1qSWxNaklsTWtNbE1qSmpZWFJsWjI5eWVTVXlNaVV6UVNVeU1tUmxabUYxYkhRbE1qSWxNa01sTWpKcFpDVXlNaVV6UVNVeU1rNWhVWFJZVDFaUFdWUTBOakk1TXp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tSnZiR1FsTWpJbE0wRjBjblZsSlRkRUpUSkRKVEl5ZEdWNGRFSnNiMk5ySlRJeUpUTkJKVFZDSlRkQ0pUSXljRzl6YVhScGIyNGxNaklsTTBFbE4wSWxNako0SlRJeUpUTkJNVEFsTWtNbE1qSjVKVEl5SlROQk1DVXlReVV5TW5jbE1qSWxNMEVsTWpKM0xUSXdKVEl5SlRKREpUSXlhQ1V5TWlVelFTVXlNbWdsTWpJbE4wUWxNa01sTWpKMFpYaDBKVEl5SlROQkpUSXlKVVUxSlRnMkpVSTNKVVUySlRrMkpUazVKVVUwSlVKQ0pUa3pKVVUwSlVJNEpUaEJKVVUySlRrMkpUazVKVVUxSlRrMkpVSTNKVVUySlVJM0pUaENKVVU1SlRrNUpUaEVKVVUxSlVJd0pUazRKVVUzSlRrMEpVRTRKVVUySlVJd0pVS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wS2JHOVZSRVp3Y0hrek1qZzBPRFFsTWpJbE4wUWxNa01sTjBJbE1qSnVZVzFsSlRJeUpUTkJKVEl5SlVVMUpUa3dKVGhFSlVVM0pVRTNKVUl3SlRJeUpUSkRKVEl5ZEhsd1pTVXlNaVV6UVNVeU1uTjBjbWx1WnlVeU1pVXlReVV5TW5aaGJIVmxKVEl5SlROQkpUSXlKVEl5SlRKREpUSXlZMkYwWldkdmNua2xNaklsTTBFbE1qSmtaV1poZFd4MEpUSXlKVEpESlRJeWFXUWxNaklsTTBFbE1qSkZhR3BVYmxkcWFGZFZNVEUyTkRrM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tSnZiR1FsTWpJbE0wRjBjblZsSlRkRUpUSkRKVEl5ZEdWNGRFSnNiMk5ySlRJeUpUTkJKVFZDSlRkQ0pUSXljRzl6YVhScGIyNGxNaklsTTBFbE4wSWxNako0SlRJeUpUTkJNVEFsTWtNbE1qSjVKVEl5SlROQk1DVXlReVV5TW5jbE1qSWxNMEVsTWpKM0xUSXdKVEl5SlRKREpUSXlhQ1V5TWlVelFTVXlNbWdsTWpJbE4wUWxNa01sTWpKMFpYaDBKVEl5SlROQkpUSXlOalE0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kVwd1dWRnhVMVIyWnpRek16TXlOQ1V5TWlVM1JDVXlReVUzUWlVeU1tNWhiV1VsTWpJbE0wRWxNaklsUlRVbE9UQWxPRVFsUlRjbFFUY2xRakFsTWpJbE1rTWxNakowZVhCbEpUSXlKVE5CSlRJeWMzUnlhVzVuSlRJeUpUSkRKVEl5ZG1Gc2RXVWxNaklsTTBFbE1qSWxNaklsTWtNbE1qSmpZWFJsWjI5eWVTVXlNaVV6UVNVeU1tUmxabUYxYkhRbE1qSWxNa01sTWpKcFpDVXlNaVV6UVNVeU1uaEhUMkYwVVdaM1JtSTBPVFkyTXpV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tSnZiR1FsTWpJbE0wRjBjblZsSlRkRUpUSkRKVEl5ZEdWNGRFSnNiMk5ySlRJeUpUTkJKVFZDSlRkQ0pUSXljRzl6YVhScGIyNGxNaklsTTBFbE4wSWxNako0SlRJeUpUTkJNVEFsTWtNbE1qSjVKVEl5SlROQk1DVXlReVV5TW5jbE1qSWxNMEVsTWpKM0xUSXdKVEl5SlRKREpUSXlhQ1V5TWlVelFTVXlNbWdsTWpJbE4wUWxNa01sTWpKMFpYaDBKVEl5SlROQkpUSXlKVVU0SlVKR0pUa3dKVVU0SlVKRkpUa3pKVVU1SlRneEpUa3pKVVU0SlVJM0pVRkdKVVUySlRoQkpUa3hKVVUxSlVJd0pUazRKVVUzSlRrMEpVRTRKVVUySlVJd0pVS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jM0pMY2xkQ1lrNVFVekk1T0RZMk5pVXlNaVUzUkNVeVF5VTNRaVV5TW01aGJXVWxNaklsTTBFbE1qSWxSVFVsT1RBbE9FUWxSVGNsUVRjbFFqQWxNaklsTWtNbE1qSjBlWEJsSlRJeUpUTkJKVEl5YzNSeWFXNW5KVEl5SlRKREpUSXlkbUZzZFdVbE1qSWxNMEVsTWpJbE1qSWxNa01sTWpKallYUmxaMjl5ZVNVeU1pVXpRU1V5TW1SbFptRjFiSFFsTWpJbE1rTWxNakpwWkNVeU1pVXpRU1V5TW1Ga2JGVlhabmxQYWtzeU9ETTVNVGd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Up2YkdRbE1qSWxNMEYwY25WbEpUZEVKVEpESlRJeWRHVjRkRUpzYjJOckpUSXlKVE5CSlRWQ0pUZENKVEl5Y0c5emFYUnBiMjRsTWpJbE0wRWxOMElsTWpKNEpUSXlKVE5CTVRBbE1rTWxNako1SlRJeUpUTkJNQ1V5UXlVeU1uY2xNaklsTTBFbE1qSjNMVEl3SlRJeUpUSkRKVEl5YUNVeU1pVXpRU1V5TW1nbE1qSWxOMFFsTWtNbE1qSjBaWGgwSlRJeUpUTkJKVEl5TVRBNE1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25sTFZXMU5WRlJrWVRZeU5UZzFOQ1V5TWlVM1JDVXlReVUzUWlVeU1tNWhiV1VsTWpJbE0wRWxNaklsUlRVbE9UQWxPRVFsUlRjbFFUY2xRakFsTWpJbE1rTWxNakowZVhCbEpUSXlKVE5CSlRJeWMzUnlhVzVuSlRJeUpUSkRKVEl5ZG1Gc2RXVWxNaklsTTBFbE1qSWxNaklsTWtNbE1qSmpZWFJsWjI5eWVTVXlNaVV6UVNVeU1tUmxabUYxYkhRbE1qSWxNa01sTWpKcFpDVXlNaVV6UVNVeU1sUlFXV2hMVFc5R2NXSTJNREkxTURV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pYjJ4a0pUSXlKVE5CZEhKMVpTVTNSQ1V5UXlVeU1uUmxlSFJDYkc5amF5VXlNaVV6UVNVMVFpVTNRaVV5TW5CdmMybDBhVzl1SlRJeUpUTkJKVGRDSlRJeWVDVXlNaVV6UVRFd0pUSkRKVEl5ZVNVeU1pVXpRVEFsTWtNbE1qSjNKVEl5SlROQkpUSXlkeTB5TUNVeU1pVXlReVV5TW1nbE1qSWxNMEVsTWpKb0pUSXlKVGRFSlRKREpUSXlkR1Y0ZENVeU1pVXpRU1V5TWlWRk55VkJOeVZDUWlWRk5TVTRRU1ZCT0NWRk5TVkNReVU0UmlWRk9TVTVRaVZDUlNWRk55VTRNaVZCUlNWRk5pVTRRU1U1TVNWRk5TVkNNQ1U1T0NWRk55VTVOQ1ZCT0NWRk5pVkNNQ1ZDTk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ZEtabEI1VW1aaGRtazFOVFEwT0RFbE1qSWxOMFFsTWtNbE4wSWxNakp1WVcxbEpUSXlKVE5CSlRJeUpVVTFKVGt3SlRoRUpVVTNKVUUzSlVJd0pUSXlKVEpESlRJeWRIbHdaU1V5TWlVelFTVXlNbk4wY21sdVp5VXlNaVV5UXlVeU1uWmhiSFZsSlRJeUpUTkJKVEl5SlRJeUpUSkRKVEl5WTJGMFpXZHZjbmtsTWpJbE0wRWxNakprWldaaGRXeDBKVEl5SlRKREpUSXlhV1FsTWpJbE0wRWxNakphUWxwTFkwWnphMWR6TlRFME16TTN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Up2YkdRbE1qSWxNMEYwY25WbEpUZEVKVEpESlRJeWRHVjRkRUpzYjJOckpUSXlKVE5CSlRWQ0pUZENKVEl5Y0c5emFYUnBiMjRsTWpJbE0wRWxOMElsTWpKNEpUSXlKVE5CTVRBbE1rTWxNako1SlRJeUpUTkJNQ1V5UXlVeU1uY2xNaklsTTBFbE1qSjNMVEl3SlRJeUpUSkRKVEl5YUNVeU1pVXpRU1V5TW1nbE1qSWxOMFFsTWtNbE1qSjBaWGgwSlRJeUpUTkJKVEl5TXpJM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TNaMmNIQjFjV1JYYnpVek1UTTNNQ1V5TWlVelFTVTNRaVV5TW1sa0pUSXlKVE5CSlRJeVUzWjJjSEIxY1dSWGJ6VXpNVE0zTU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UUTJaR2JYUktXbFp6T0RrM01qQTFKVEl5SlRkRUpUSkRKVGRDSlRJeWJtRnRaU1V5TWlVelFTVXlNaVZGTlNVNU1DVTRSQ1ZGTnlWQk55VkNNQ1V5TWlVeVF5VXlNblI1Y0dVbE1qSWxNMEVsTWpKemRISnBibWNsTWpJbE1rTWxNakoyWVd4MVpTVXlNaVV6UVNVeU1pVXlNaVV5UXlVeU1tTmhkR1ZuYjNKNUpUSXlKVE5CSlRJeVpHVm1ZWFZzZENVeU1pVXlReVV5TW1sa0pUSXlKVE5CSlRJeVVrNUZiVVptVW5CaGJEWTNOVEUzTU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Up2YkdRbE1qSWxNMEYwY25WbEpUZEVKVEpESlRJeWRHVjRkRUpzYjJOckpUSXlKVE5CSlRWQ0pUZENKVEl5Y0c5emFYUnBiMjRsTWpJbE0wRWxOMElsTWpKNEpUSXlKVE5CTVRBbE1rTWxNako1SlRJeUpUTkJNQ1V5UXlVeU1uY2xNaklsTTBFbE1qSjNMVEl3SlRJeUpUSkRKVEl5YUNVeU1pVXpRU1V5TW1nbE1qSWxOMFFsTWtNbE1qSjBaWGgwSlRJeUpUTkJKVEl5SlVVM0pVSkNKVUpHSlVVMUpUaERKVGsySlVVM0pUazBKVUU0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VjWEZ3YTJGSFNIWnVPVGcwTWpFM0pUSXlKVGRFSlRKREpUZENKVEl5Ym1GdFpTVXlNaVV6UVNVeU1pVkZOU1U1TUNVNFJDVkZOeVZCTnlWQ01DVXlNaVV5UXlVeU1uUjVjR1VsTWpJbE0wRWxNakp6ZEhKcGJtY2xNaklsTWtNbE1qSjJZV3gxWlNVeU1pVXpRU1V5TWlVeU1pVXlReVV5TW1OaGRHVm5iM0o1SlRJeUpUTkJKVEl5WkdWbVlYVnNkQ1V5TWlVeVF5VXlNbWxrSlRJeUpUTkJKVEl5YW10emNWVlhiRXRsVmpRNE5UTTJN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ZbTlzWkNVeU1pVXpRWFJ5ZFdVbE4wUWxNa01sTWpKMFpYaDBRbXh2WTJzbE1qSWxNMEVsTlVJbE4wSWxNakp3YjNOcGRHbHZiaVV5TWlVelFTVTNRaVV5TW5nbE1qSWxNMEV4TUNVeVF5VXlNbmtsTWpJbE0wRXdKVEpESlRJeWR5VXlNaVV6UVNVeU1uY3RNakFsTWpJbE1rTWxNakpvSlRJeUpUTkJKVEl5YUNVeU1pVTNSQ1V5UXlVeU1uUmxlSFFsTWpJbE0wRWxNakl6TXk0M05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liRXBuYlhseVdrNVFPRGMxTmpFM0pUSXlKVGRFSlRKREpUZENKVEl5Ym1GdFpTVXlNaVV6UVNVeU1pVkZOU1U1TUNVNFJDVkZOeVZCTnlWQ01DVXlNaVV5UXlVeU1uUjVjR1VsTWpJbE0wRWxNakp6ZEhKcGJtY2xNaklsTWtNbE1qSjJZV3gxWlNVeU1pVXpRU1V5TWlVeU1pVXlReVV5TW1OaGRHVm5iM0o1SlRJeUpUTkJKVEl5WkdWbVlYVnNkQ1V5TWlVeVF5VXlNbWxrSlRJeUpUTkJKVEl5VEVSRGJHNURXbGhJYmpJME1ERTFN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tSnZiR1FsTWpJbE0wRjBjblZsSlRkRUpUSkRKVEl5ZEdWNGRFSnNiMk5ySlRJeUpUTkJKVFZDSlRkQ0pUSXljRzl6YVhScGIyNGxNaklsTTBFbE4wSWxNako0SlRJeUpUTkJNVEFsTWtNbE1qSjVKVEl5SlROQk1DVXlReVV5TW5jbE1qSWxNMEVsTWpKM0xUSXdKVEl5SlRKREpUSXlhQ1V5TWlVelFTVXlNbWdsTWpJbE4wUWxNa01sTWpKMFpYaDBKVEl5SlROQkpUSXlKVVUySlVJMEpUazNKVVUySlVJMkpVRTBKVVUxSlVFeEpUazBKVVUzSlRrMEpVRTRKVVUySlVJd0pVS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aVkpZUWs1cmNGUlhWamt6TURBMk9DVXlNaVUzUkNVeVF5VTNRaVV5TW01aGJXVWxNaklsTTBFbE1qSWxSVFVsT1RBbE9FUWxSVGNsUVRjbFFqQWxNaklsTWtNbE1qSjBlWEJsSlRJeUpUTkJKVEl5YzNSeWFXNW5KVEl5SlRKREpUSXlkbUZzZFdVbE1qSWxNMEVsTWpJbE1qSWxNa01sTWpKallYUmxaMjl5ZVNVeU1pVXpRU1V5TW1SbFptRjFiSFFsTWpJbE1rTWxNakpwWkNVeU1pVXpRU1V5TWxaUFptcGxVbHBIZDBZd01EQTVPVE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VltOXNaQ1V5TWlVelFYUnlkV1VsTjBRbE1rTWxNakowWlhoMFFteHZZMnNsTWpJbE0wRWxOVUlsTjBJbE1qSndiM05wZEdsdmJpVXlNaVV6UVNVM1FpVXlNbmdsTWpJbE0wRXhNQ1V5UXlVeU1ua2xNaklsTTBFd0pUSkRKVEl5ZHlVeU1pVXpRU1V5TW5jdE1qQWxNaklsTWtNbE1qSm9KVEl5SlROQkpUSXlhQ1V5TWlVM1JDVXlReVV5TW5SbGVIUWxNaklsTTBFbE1qSWxSVGdsUWtRbFFUWWxSVGdsUWtVbE9EWWxSVFVsT0RZbFFqSWxSVFlsUWpRbE9UY2xSVGNsT1RRbFFUZ2xSVFlsUWpBbFFqU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dWbVZ5VEhsSVZWWlJPVEl6TmpBd0pUSXlKVGRFSlRKREpUZENKVEl5Ym1GdFpTVXlNaVV6UVNVeU1pVkZOU1U1TUNVNFJDVkZOeVZCTnlWQ01DVXlNaVV5UXlVeU1uUjVjR1VsTWpJbE0wRWxNakp6ZEhKcGJtY2xNaklsTWtNbE1qSjJZV3gxWlNVeU1pVXpRU1V5TWlVeU1pVXlReVV5TW1OaGRHVm5iM0o1SlRJeUpUTkJKVEl5WkdWbVlYVnNkQ1V5TWlVeVF5VXlNbWxrSlRJeUpUTkJKVEl5ZDNaR2NVNVhjbUo2YVRZeE1UUTVP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FWbFNkRlZWZDJOUFpEUTJOekF4TUNVeU1pVXpRU1UzUWlVeU1tbGtKVEl5SlROQkpUSXlRVmxTZEZWVmQyTlBaRFEyTnpBeE1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TllsRlJRbWQ2VDFaS05UQTNOemd6SlRJeUpUZEVKVEpESlRkQ0pUSXlibUZ0WlNVeU1pVXpRU1V5TWlWRk5TVTVNQ1U0UkNWRk55VkJOeVZDTUNVeU1pVXlReVV5TW5SNWNHVWxNaklsTTBFbE1qSnpkSEpwYm1jbE1qSWxNa01sTWpKMllXeDFaU1V5TWlVelFTVXlNaVV5TWlVeVF5VXlNbU5oZEdWbmIzSjVKVEl5SlROQkpUSXlaR1ZtWVhWc2RDVXlNaVV5UXlVeU1tbGtKVEl5SlROQkpUSXliVWw2YmtsUVZWcG9WRFkxTXpFNE15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aWIyeGtKVEl5SlROQmRISjFaU1UzUkNVeVF5VXlNblJsZUhSQ2JHOWpheVV5TWlVelFTVTFRaVUzUWlVeU1uQnZjMmwwYVc5dUpUSXlKVE5CSlRkQ0pUSXllQ1V5TWlVelFURXdKVEpESlRJeWVTVXlNaVV6UVRBbE1rTWxNakozSlRJeUpUTkJKVEl5ZHkweU1DVXlNaVV5UXlVeU1tZ2xNaklsTTBFbE1qSm9KVEl5SlRkRUpUSkRKVEl5ZEdWNGRDVXlNaVV6UVNVeU1pVkZOU1U0TlNWQk9DVkZPU1U0TXlWQk9DVkZPQ1ZDUmlVNVFpVkZOU1U0TlNWQk5TVkZOQ1ZDUVNWQk55VkZOU1U1TXlVNE1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ObFNFZERUbnBhUkZjME16ZzFOelFsTWpJbE0wRWxOMElsTWpKcFpDVXlNaVV6UVNVeU1tTmxTRWREVG5wYVJGYzBNemcxTnpR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WVV4eWIxRkJVSFpvZURVek56VTJOaVV5TWlVM1JDVXlReVUzUWlVeU1tNWhiV1VsTWpJbE0wRWxNaklsUlRVbE9UQWxPRVFsUlRjbFFUY2xRakFsTWpJbE1rTWxNakowZVhCbEpUSXlKVE5CSlRJeWMzUnlhVzVuSlRJeUpUSkRKVEl5ZG1Gc2RXVWxNaklsTTBFbE1qSWxNaklsTWtNbE1qSmpZWFJsWjI5eWVTVXlNaVV6UVNVeU1tUmxabUYxYkhRbE1qSWxNa01sTWpKcFpDVXlNaVV6UVNVeU1tdGtkR0pJUzAxdlpFTXhNRGczTXpF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pYjJ4a0pUSXlKVE5CZEhKMVpTVTNSQ1V5UXlVeU1uUmxlSFJDYkc5amF5VXlNaVV6UVNVMVFpVTNRaVV5TW5CdmMybDBhVzl1SlRJeUpUTkJKVGRDSlRJeWVDVXlNaVV6UVRFd0pUSkRKVEl5ZVNVeU1pVXpRVEFsTWtNbE1qSjNKVEl5SlROQkpUSXlkeTB5TUNVeU1pVXlReVV5TW1nbE1qSWxNMEVsTWpKb0pUSXlKVGRFSlRKREpUSXlkR1Y0ZENVeU1pVXpRU1V5TWlWRk5TVTROU1ZCT0NWRk9TVTRNeVZCT0NWRk5pVTRSQ1U1UmlWRk9DVTRNQ1U1Tn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WhwVWs5TWVsVnpSRzR5TXpnNU5qUWxNaklsTTBFbE4wSWxNakpwWkNVeU1pVXpRU1V5TW1ocFVrOU1lbFZ6Ukc0eU16ZzVOalF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ZbXQ2YUdwT1MzbDRRalV3T1RreE5DVXlNaVUzUkNVeVF5VTNRaVV5TW01aGJXVWxNaklsTTBFbE1qSWxSVFVsT1RBbE9FUWxSVGNsUVRjbFFqQWxNaklsTWtNbE1qSjBlWEJsSlRJeUpUTkJKVEl5YzNSeWFXNW5KVEl5SlRKREpUSXlkbUZzZFdVbE1qSWxNMEVsTWpJbE1qSWxNa01sTWpKallYUmxaMjl5ZVNVeU1pVXpRU1V5TW1SbFptRjFiSFFsTWpJbE1rTWxNakpwWkNVeU1pVXpRU1V5TW5kTlRIbE5UblpuYzJjMU56VXhOemt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zlJY2tkT1VVbGFSMnM0TmpZNE5qSWxNaklsTTBFbE4wSWxNakpwWkNVeU1pVXpRU1V5TWs5SWNrZE9VVWxhUjJzNE5qWTROakl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SMnBJYlhSclUwTkdZamN5TlRBNE9TVXlNaVUzUkNVeVF5VTNRaVV5TW01aGJXVWxNaklsTTBFbE1qSWxSVFVsT1RBbE9FUWxSVGNsUVRjbFFqQWxNaklsTWtNbE1qSjBlWEJsSlRJeUpUTkJKVEl5YzNSeWFXNW5KVEl5SlRKREpUSXlkbUZzZFdVbE1qSWxNMEVsTWpJbE1qSWxNa01sTWpKallYUmxaMjl5ZVNVeU1pVXpRU1V5TW1SbFptRjFiSFFsTWpJbE1rTWxNakpwWkNVeU1pVXpRU1V5TW1kbGJXWmhhbGxTYUU0ME1URTVNRF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ZbTlzWkNVeU1pVXpRWFJ5ZFdVbE4wUWxNa01sTWpKMFpYaDBRbXh2WTJzbE1qSWxNMEVsTlVJbE4wSWxNakp3YjNOcGRHbHZiaVV5TWlVelFTVTNRaVV5TW5nbE1qSWxNMEV4TUNVeVF5VXlNbmtsTWpJbE0wRXdKVEpESlRJeWR5VXlNaVV6UVNVeU1uY3RNakFsTWpJbE1rTWxNakpvSlRJeUpUTkJKVEl5YUNVeU1pVTNSQ1V5UXlVeU1uUmxlSFFsTWpJbE0wRWxNaklsUlRrbE9ETWxRVGdsUlRVbE9EZ2xPRFlsUlRZbE9EZ2xPVEFsUlRRbFFqZ2xRa0VsUlRZbFFqSWxPRGtsUlRZbFFqY2xPREFsUlRZbFFqTWxRVFVsUlRZbFFqSWxPVGtsUlVZbFFrTWxPRU1sUlRrbE9ETWxRVGdsUlRVbE9EZ2xPRFlsUlRZbE9FUWxPVVlsUlRnbE9EQWxPVGN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"/>
    </extobj>
    <extobj name="ECB019B1-382A-4266-B25C-5B523AA43C14-2">
      <extobjdata type="ECB019B1-382A-4266-B25C-5B523AA43C14" data="ewoJIkZpbGVJZCIgOiAiMjcxMDMxNzc2NTUwIiwKCSJHcm91cElkIiA6ICIyNDYzMjI2MDAiLAoJIkltYWdlIiA6ICIiLAoJIlRoZW1lIiA6ICIiLAoJIlR5cGUiIDogImZsb3ciLAoJIlVzZXJJZCIgOiAiIiwKCSJWZXJzaW9uIiA6ICIiCn0K"/>
    </extobj>
    <extobj name="E657119C-6982-421D-8BA7-E74DEB70A7D9-3">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ZDJOeVZFZEJhR3RXY0RnNE1qQTBNaVV5TWlVM1JDVXlReVUzUWlVeU1tNWhiV1VsTWpJbE0wRWxNaklsUlRVbE9UQWxPRVFsUlRjbFFUY2xRakFsTWpJbE1rTWxNakowZVhCbEpUSXlKVE5CSlRJeWMzUnlhVzVuSlRJeUpUSkRKVEl5ZG1Gc2RXVWxNaklsTTBFbE1qSWxNaklsTWtNbE1qSmpZWFJsWjI5eWVTVXlNaVV6UVNVeU1tUmxabUYxYkhRbE1qSWxNa01sTWpKcFpDVXlNaVV6UVNVeU1saHhaVXhEZEhGRGNuTTNNVEUyTURV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aWIyeGtKVEl5SlROQmRISjFaU1V5UXlVeU1uTnBlbVVsTWpJbE0wRXhOU1UzUkNVeVF5VXlNblJsZUhSQ2JHOWpheVV5TWlVelFTVTFRaVUzUWlVeU1uQnZjMmwwYVc5dUpUSXlKVE5CSlRkQ0pUSXllQ1V5TWlVelFURXdKVEpESlRJeWVTVXlNaVV6UVRBbE1rTWxNakozSlRJeUpUTkJKVEl5ZHkweU1DVXlNaVV5UXlVeU1tZ2xNaklsTTBFbE1qSm9KVEl5SlRkRUpUSkRKVEl5ZEdWNGRDVXlNaVV6UVNVeU1pVkZPQ1ZDUkNWQ1FpVkZPQ1ZDTkNWQk9DVkZOaVU1UmlWQ05DVkZOaVZDTWlWQ09TVkZOU1U0TWlWQk9DVkZOeVZDUkNVNU1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NlNrcENVVzl2VDNsNE5UVXhNVEkySlRJeUpUZEVKVEpESlRkQ0pUSXlibUZ0WlNVeU1pVXpRU1V5TWlWRk5TVTVNQ1U0UkNWRk55VkJOeVZDTUNVeU1pVXlReVV5TW5SNWNHVWxNaklsTTBFbE1qSnpkSEpwYm1jbE1qSWxNa01sTWpKMllXeDFaU1V5TWlVelFTVXlNaVV5TWlVeVF5VXlNbU5oZEdWbmIzSjVKVEl5SlROQkpUSXlaR1ZtWVhWc2RDVXlNaVV5UXlVeU1tbGtKVEl5SlROQkpUSXlZbHB0UjFsNlFuUjJVVE0yT0RVME9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tSnZiR1FsTWpJbE0wRjBjblZsSlRKREpUSXljMmw2WlNVeU1pVXpRVEUxSlRkRUpUSkRKVEl5ZEdWNGRFSnNiMk5ySlRJeUpUTkJKVFZDSlRkQ0pUSXljRzl6YVhScGIyNGxNaklsTTBFbE4wSWxNako0SlRJeUpUTkJNVEFsTWtNbE1qSjVKVEl5SlROQk1DVXlReVV5TW5jbE1qSWxNMEVsTWpKM0xUSXdKVEl5SlRKREpUSXlhQ1V5TWlVelFTVXlNbWdsTWpJbE4wUWxNa01sTWpKMFpYaDBKVEl5SlROQkpUSXlKVVUzSlRnM0pUZ3pKVVUzSlRnekpVRTNKVVUxSlRrNUpVRTR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FrVlhkRVp0VFdoemJqYzVNekF4T0NVeU1pVXpRU1UzUWlVeU1tbGtKVEl5SlROQkpUSXlRa1ZYZEVadFRXaHpiamM1TXpBeE9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UFkxVkRWMjFNUldGUU5ETTNNakkwSlRJeUpUZEVKVEpESlRkQ0pUSXlibUZ0WlNVeU1pVXpRU1V5TWlWRk5TVTVNQ1U0UkNWRk55VkJOeVZDTUNVeU1pVXlReVV5TW5SNWNHVWxNaklsTTBFbE1qSnpkSEpwYm1jbE1qSWxNa01sTWpKMllXeDFaU1V5TWlVelFTVXlNaVV5TWlVeVF5VXlNbU5oZEdWbmIzSjVKVEl5SlROQkpUSXlaR1ZtWVhWc2RDVXlNaVV5UXlVeU1tbGtKVEl5SlROQkpUSXlXSHBaWmxkM1EzWjVkVGs1T0RReE9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tSnZiR1FsTWpJbE0wRjBjblZsSlRKREpUSXljMmw2WlNVeU1pVXpRVEUxSlRkRUpUSkRKVEl5ZEdWNGRFSnNiMk5ySlRJeUpUTkJKVFZDSlRkQ0pUSXljRzl6YVhScGIyNGxNaklsTTBFbE4wSWxNako0SlRJeUpUTkJNVEFsTWtNbE1qSjVKVEl5SlROQk1DVXlReVV5TW5jbE1qSWxNMEVsTWpKM0xUSXdKVEl5SlRKREpUSXlhQ1V5TWlVelFTVXlNbWdsTWpJbE4wUWxNa01sTWpKMFpYaDBKVEl5SlROQkpUSXlKVVUzSlRnekpUazRKVVUxSlVJNUpVSXlKVVUySlVKQ0pUbEJKVVUzSlVGRUpUa3lKVVUxSlVJNUpVSXlKVVUzSlRnM0pVRTF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JrdGxWWEppYkd0amJqUTFPREEwTmlVeU1pVXpRU1UzUWlVeU1tbGtKVEl5SlROQkpUSXlia3RsVlhKaWJHdGpialExT0RBME5p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cGJreHZTa3BEWW14aU16azJOVFV3SlRJeUpUZEVKVEpESlRkQ0pUSXlibUZ0WlNVeU1pVXpRU1V5TWlWRk5TVTVNQ1U0UkNWRk55VkJOeVZDTUNVeU1pVXlReVV5TW5SNWNHVWxNaklsTTBFbE1qSnpkSEpwYm1jbE1qSWxNa01sTWpKMllXeDFaU1V5TWlVelFTVXlNaVV5TWlVeVF5VXlNbU5oZEdWbmIzSjVKVEl5SlROQkpUSXlaR1ZtWVhWc2RDVXlNaVV5UXlVeU1tbGtKVEl5SlROQkpUSXlhSE5MVUhSNmVWTldlRFV5TkRFNU1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tSnZiR1FsTWpJbE0wRjBjblZsSlRKREpUSXljMmw2WlNVeU1pVXpRVEUxSlRkRUpUSkRKVEl5ZEdWNGRFSnNiMk5ySlRJeUpUTkJKVFZDSlRkQ0pUSXljRzl6YVhScGIyNGxNaklsTTBFbE4wSWxNako0SlRJeUpUTkJNVEFsTWtNbE1qSjVKVEl5SlROQk1DVXlReVV5TW5jbE1qSWxNMEVsTWpKM0xUSXdKVEl5SlRKREpUSXlhQ1V5TWlVelFTVXlNbWdsTWpJbE4wUWxNa01sTWpKMFpYaDBKVEl5SlROQkpUSXlKVVUySlRoR0pUa3dKVVUxSlRoRUpUZzNKVVUySlRsREpVSkJ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NHaEdTbVpGV1VGamVUVTNNekUyTUNVeU1pVXpRU1UzUWlVeU1tbGtKVEl5SlROQkpUSXljR2hHU21aRldVRmplVFUzTXpFMk1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aWJIbGxSM2xuYUVWSU9EUTJNamMwSlRJeUpUZEVKVEpESlRkQ0pUSXlibUZ0WlNVeU1pVXpRU1V5TWlWRk5TVTVNQ1U0UkNWRk55VkJOeVZDTUNVeU1pVXlReVV5TW5SNWNHVWxNaklsTTBFbE1qSnpkSEpwYm1jbE1qSWxNa01sTWpKMllXeDFaU1V5TWlVelFTVXlNaVV5TWlVeVF5VXlNbU5oZEdWbmIzSjVKVEl5SlROQkpUSXlaR1ZtWVhWc2RDVXlNaVV5UXlVeU1tbGtKVEl5SlROQkpUSXlUbVZUUzJGNWFFSklTRGt5T1RjMk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tSnZiR1FsTWpJbE0wRjBjblZsSlRKREpUSXljMmw2WlNVeU1pVXpRVEUxSlRkRUpUSkRKVEl5ZEdWNGRFSnNiMk5ySlRJeUpUTkJKVFZDSlRkQ0pUSXljRzl6YVhScGIyNGxNaklsTTBFbE4wSWxNako0SlRJeUpUTkJNVEFsTWtNbE1qSjVKVEl5SlROQk1DVXlReVV5TW5jbE1qSWxNMEVsTWpKM0xUSXdKVEl5SlRKREpUSXlhQ1V5TWlVelFTVXlNbWdsTWpJbE4wUWxNa01sTWpKMFpYaDBKVEl5SlROQkpUSXlKVVUzSlRnekpVRkVKVVU1SlVGQkpVRTRKVVUySlRrMkpUazVKVVUwSlVKQ0pUa3p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JsTnFTV3BwVkdkeFF6TTBNek16TXlVeU1pVXpRU1UzUWlVeU1tbGtKVEl5SlROQkpUSXlSbE5xU1dwcFZHZHhRek0wTXpNek15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eVdIcGlaVnBwWW5sR01EUTBNVGd4SlRJeUpUZEVKVEpESlRkQ0pUSXlibUZ0WlNVeU1pVXpRU1V5TWlWRk5TVTVNQ1U0UkNWRk55VkJOeVZDTUNVeU1pVXlReVV5TW5SNWNHVWxNaklsTTBFbE1qSnpkSEpwYm1jbE1qSWxNa01sTWpKMllXeDFaU1V5TWlVelFTVXlNaVV5TWlVeVF5VXlNbU5oZEdWbmIzSjVKVEl5SlROQkpUSXlaR1ZtWVhWc2RDVXlNaVV5UXlVeU1tbGtKVEl5SlROQkpUSXlRVWhuYVZoeFIybHlTRGc0TlRJME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mliMnhrSlRJeUpUTkJkSEoxWlNVeVF5VXlNbk5wZW1VbE1qSWxNMEV4TlNVM1JDVXlReVV5TW5SbGVIUkNiRzlqYXlVeU1pVXpRU1UxUWlVM1FpVXlNbkJ2YzJsMGFXOXVKVEl5SlROQkpUZENKVEl5ZUNVeU1pVXpRVEV3SlRKREpUSXllU1V5TWlVelFUQWxNa01sTWpKM0pUSXlKVE5CSlRJeWR5MHlNQ1V5TWlVeVF5VXlNbWdsTWpJbE0wRWxNakpvSlRJeUpUZEVKVEpESlRJeWRHVjRkQ1V5TWlVelFTVXlNaVZGT1NWQlFTVkJPQ1ZGTmlVNU5pVTVPU1ZGT0NWQlJTVkJNU1ZGT1NVNE55VTRSaVZGTnlWQ015VkNRaVZGTnlWQ1FpVTVS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FreEJXa1p2WW1sRVZ6SXpOemd6T1NVeU1pVTNSQ1V5UXlVM1FpVXlNbTVoYldVbE1qSWxNMEVsTWpJbFJUVWxPVEFsT0VRbFJUY2xRVGNsUWpBbE1qSWxNa01sTWpKMGVYQmxKVEl5SlROQkpUSXljM1J5YVc1bkpUSXlKVEpESlRJeWRtRnNkV1VsTWpJbE0wRWxNaklsTWpJbE1rTWxNakpqWVhSbFoyOXllU1V5TWlVelFTVXlNbVJsWm1GMWJIUWxNaklsTWtNbE1qSnBaQ1V5TWlVelFTVXlNbUZQVVhsUGFuRk9UVmc1TnpneE5qS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ZbTlzWkNVeU1pVXpRWFJ5ZFdVbE1rTWxNakp6YVhwbEpUSXlKVE5CTVRVbE4wUWxNa01sTWpKMFpYaDBRbXh2WTJzbE1qSWxNMEVsTlVJbE4wSWxNakp3YjNOcGRHbHZiaVV5TWlVelFTVTNRaVV5TW5nbE1qSWxNMEV4TUNVeVF5VXlNbmtsTWpJbE0wRXdKVEpESlRJeWR5VXlNaVV6UVNVeU1uY3RNakFsTWpJbE1rTWxNakpvSlRJeUpUTkJKVEl5YUNVeU1pVTNSQ1V5UXlVeU1uUmxlSFFsTWpJbE0wRWxNaklsUlRZbE9FTWxRVVlsUlRVbE9FRWxRVGdsUlRjbFFVUWxPVU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1GU1luSmhXWEpUUldjeE5UY3hNaklsTWpJbE4wUWxNa01sTjBJbE1qSnVZVzFsSlRJeUpUTkJKVEl5SlVVMUpUa3dKVGhFSlVVM0pVRTNKVUl3SlRJeUpUSkRKVEl5ZEhsd1pTVXlNaVV6UVNVeU1uTjBjbWx1WnlVeU1pVXlReVV5TW5aaGJIVmxKVEl5SlROQkpUSXlKVEl5SlRKREpUSXlZMkYwWldkdmNua2xNaklsTTBFbE1qSmtaV1poZFd4MEpUSXlKVEpESlRJeWFXUWxNaklsTTBFbE1qSlFWRkZpYzJKbFdHTkNNVGMwTnpnM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ZbTlzWkNVeU1pVXpRWFJ5ZFdVbE1rTWxNakp6YVhwbEpUSXlKVE5CTVRVbE4wUWxNa01sTWpKMFpYaDBRbXh2WTJzbE1qSWxNMEVsTlVJbE4wSWxNakp3YjNOcGRHbHZiaVV5TWlVelFTVTNRaVV5TW5nbE1qSWxNMEV4TUNVeVF5VXlNbmtsTWpJbE0wRXdKVEpESlRJeWR5VXlNaVV6UVNVeU1uY3RNakFsTWpJbE1rTWxNakpvSlRJeUpUTkJKVEl5YUNVeU1pVTNSQ1V5UXlVeU1uUmxlSFFsTWpJbE0wRWxNaklsUlRVbE9EY2xRamtsUlRVbE9EY2xRamdsUlRZbFFUTWxPVElsUlRjbE9VWWxRak1sUlRZbE9EZ2xPVEFsUlRVbE9UTWxPRE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nBjbUphY1VwSFoyaHJNelUxTVRnNUpUSXlKVE5CSlRkQ0pUSXlhV1FsTWpJbE0wRWxNakpwY21KYWNVcEhaMmhyTXpVMU1UZzV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bGtRWEJIZDFGS2QwRTNPVFUzTkRnbE1qSWxOMFFsTWtNbE4wSWxNakp1WVcxbEpUSXlKVE5CSlRJeUpVVTFKVGt3SlRoRUpVVTNKVUUzSlVJd0pUSXlKVEpESlRJeWRIbHdaU1V5TWlVelFTVXlNbk4wY21sdVp5VXlNaVV5UXlVeU1uWmhiSFZsSlRJeUpUTkJKVEl5SlRJeUpUSkRKVEl5WTJGMFpXZHZjbmtsTWpJbE0wRWxNakprWldaaGRXeDBKVEl5SlRKREpUSXlhV1FsTWpJbE0wRWxNakpGVjBSbWNGSkRZMmhHTlRnd05qUXl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1KdmJHUWxNaklsTTBGMGNuVmxKVEpESlRJeWMybDZaU1V5TWlVelFURTFKVGRFSlRKREpUSXlkR1Y0ZEVKc2IyTnJKVEl5SlROQkpUVkNKVGRDSlRJeWNHOXphWFJwYjI0bE1qSWxNMEVsTjBJbE1qSjRKVEl5SlROQk1UQWxNa01sTWpKNUpUSXlKVE5CTUNVeVF5VXlNbmNsTWpJbE0wRWxNakozTFRJd0pUSXlKVEpESlRJeWFDVXlNaVV6UVNVeU1tZ2xNaklsTjBRbE1rTWxNakowWlhoMEpUSXlKVE5CSlRJeUpVVTRKVUV6SlRnMUpVVTRKVUpFSlVKRUpVVTJKVGxESlVKQkpUSkdKVVU1SlRrekpVSXlKVVU0SlVKRUpVRTJ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RrRmlVM0pYYWt4bmR6ZzVPVEUxT0NVeU1pVXpRU1UzUWlVeU1tbGtKVEl5SlROQkpUSXlUa0ZpVTNKWGFreG5kemc1T1RFMU9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U1JYQlJhM3BPVlhWWk56VTBOVEF5SlRJeUpUZEVKVEpESlRkQ0pUSXlibUZ0WlNVeU1pVXpRU1V5TWlWRk5TVTVNQ1U0UkNWRk55VkJOeVZDTUNVeU1pVXlReVV5TW5SNWNHVWxNaklsTTBFbE1qSnpkSEpwYm1jbE1qSWxNa01sTWpKMllXeDFaU1V5TWlVelFTVXlNaVV5TWlVeVF5VXlNbU5oZEdWbmIzSjVKVEl5SlROQkpUSXlaR1ZtWVhWc2RDVXlNaVV5UXlVeU1tbGtKVEl5SlROQkpUSXlSa0ZPYTJ0S1RHTjJVamt3TVRrNE1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ZbTlzWkNVeU1pVXpRWFJ5ZFdVbE1rTWxNakp6YVhwbEpUSXlKVE5CTVRVbE4wUWxNa01sTWpKMFpYaDBRbXh2WTJzbE1qSWxNMEVsTlVJbE4wSWxNakp3YjNOcGRHbHZiaVV5TWlVelFTVTNRaVV5TW5nbE1qSWxNMEV4TUNVeVF5VXlNbmtsTWpJbE0wRXdKVEpESlRJeWR5VXlNaVV6UVNVeU1uY3RNakFsTWpJbE1rTWxNakpvSlRJeUpUTkJKVEl5YUNVeU1pVTNSQ1V5UXlVeU1uUmxlSFFsTWpJbE0wRWxNaklsUlRVbE9EWWxRamNsUlRZbE9UWWxPVGtsUlRRbFFrSWxPVE1sUlRRbFFqZ2xPRUVsUlRZbE9UWWxPVGt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lkRVpLYlZKblNHMVFNREEwT1RrM0pUSXlKVE5CSlRkQ0pUSXlhV1FsTWpJbE0wRWxNakpJZEVaS2JWSm5TRzFRTURBME9UazN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RkVTMXAzZVcxRVJGY3pOVEkwTmpVbE1qSWxOMFFsTWtNbE4wSWxNakp1WVcxbEpUSXlKVE5CSlRJeUpVVTFKVGt3SlRoRUpVVTNKVUUzSlVJd0pUSXlKVEpESlRJeWRIbHdaU1V5TWlVelFTVXlNbk4wY21sdVp5VXlNaVV5UXlVeU1uWmhiSFZsSlRJeUpUTkJKVEl5SlRJeUpUSkRKVEl5WTJGMFpXZHZjbmtsTWpJbE0wRWxNakprWldaaGRXeDBKVEl5SlRKREpUSXlhV1FsTWpJbE0wRWxNakpFYUhWRmJFdGlaV3AxTkRrd09ETTV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1KdmJHUWxNaklsTTBGMGNuVmxKVEpESlRJeWMybDZaU1V5TWlVelFURTFKVGRFSlRKREpUSXlkR1Y0ZEVKc2IyTnJKVEl5SlROQkpUVkNKVGRDSlRJeWNHOXphWFJwYjI0bE1qSWxNMEVsTjBJbE1qSjRKVEl5SlROQk1UQWxNa01sTWpKNUpUSXlKVE5CTUNVeVF5VXlNbmNsTWpJbE0wRWxNakozTFRJd0pUSXlKVEpESlRJeWFDVXlNaVV6UVNVeU1tZ2xNaklsTjBRbE1rTWxNakowWlhoMEpUSXlKVE5CSlRJeUpVVTNKVGxHSlVJekpVVTJKVGsySlRrNUpVVTRKVUpHSlRsQ0pVVTFKVGcxSlVFMUpVVTFKVGhGSlRsR0pVVTJKVGsySlRrNUpVVTFKVUV3SlRnMkpVVTJKVUV6SlRsQ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m5OdmJHeGhVMFZvZFRFNE1qWXpOU1V5TWlVelFTVTNRaVV5TW1sa0pUSXlKVE5CSlRJeVZuTnZiR3hoVTBWb2RURTRNall6Tl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pWWxCM1RtbHFibVJDTmpjeU9URXdKVEl5SlRkRUpUSkRKVGRDSlRJeWJtRnRaU1V5TWlVelFTVXlNaVZGTlNVNU1DVTRSQ1ZGTnlWQk55VkNNQ1V5TWlVeVF5VXlNblI1Y0dVbE1qSWxNMEVsTWpKemRISnBibWNsTWpJbE1rTWxNakoyWVd4MVpTVXlNaVV6UVNVeU1pVXlNaVV5UXlVeU1tTmhkR1ZuYjNKNUpUSXlKVE5CSlRJeVpHVm1ZWFZzZENVeU1pVXlReVV5TW1sa0pUSXlKVE5CSlRJeWEzaHllV1pVYzJGcmFqZ3lORGMyT1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mliMnhrSlRJeUpUTkJkSEoxWlNVeVF5VXlNbk5wZW1VbE1qSWxNMEV4TlNVM1JDVXlReVV5TW5SbGVIUkNiRzlqYXlVeU1pVXpRU1UxUWlVM1FpVXlNbkJ2YzJsMGFXOXVKVEl5SlROQkpUZENKVEl5ZUNVeU1pVXpRVEV3SlRKREpUSXllU1V5TWlVelFUQWxNa01sTWpKM0pUSXlKVE5CSlRJeWR5MHlNQ1V5TWlVeVF5VXlNbWdsTWpJbE0wRWxNakpvSlRJeUpUZEVKVEpESlRJeWRHVjRkQ1V5TWlVelFTVXlNaVZGTmlWQ01pVkJOU1ZGT1NVNVJDVTVNaVZGT0NWQlJTVkJNU1ZGT1NVNE55VTRSaVZGTnlWQ015VkNRaVZGTnlWQ1FpVTVS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SjNUR1JqVVhWcFIyWTBNRGN6TWpFbE1qSWxNMEVsTjBJbE1qSnBaQ1V5TWlVelFTVXlNbkozVEdSalVYVnBSMlkwTURjek1qR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QxbEViMHBEZFZWUlpqQXdOamMzTnlVeU1pVTNSQ1V5UXlVM1FpVXlNbTVoYldVbE1qSWxNMEVsTWpJbFJUVWxPVEFsT0VRbFJUY2xRVGNsUWpBbE1qSWxNa01sTWpKMGVYQmxKVEl5SlROQkpUSXljM1J5YVc1bkpUSXlKVEpESlRJeWRtRnNkV1VsTWpJbE0wRWxNaklsTWpJbE1rTWxNakpqWVhSbFoyOXllU1V5TWlVelFTVXlNbVJsWm1GMWJIUWxNaklsTWtNbE1qSnBaQ1V5TWlVelFTVXlNbWxqY1VaaWFVWmlSSEUxTmpnek5ER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WW05c1pDVXlNaVV6UVhSeWRXVWxNa01sTWpKemFYcGxKVEl5SlROQk1UVWxOMFFsTWtNbE1qSjBaWGgwUW14dlkyc2xNaklsTTBFbE5VSWxOMElsTWpKd2IzTnBkR2x2YmlVeU1pVXpRU1UzUWlVeU1uZ2xNaklsTTBFeE1DVXlReVV5TW5rbE1qSWxNMEV3SlRKREpUSXlkeVV5TWlVelFTVXlNbmN0TWpBbE1qSWxNa01sTWpKb0pUSXlKVE5CSlRJeWFDVXlNaVUzUkNVeVF5VXlNblJsZUhRbE1qSWxNMEVsTWpJbFJUY2xPVUVsUVVVbFJUVWxRamdsUVRZbFJUZ2xRa1VsT1RNbFJUa2xPREFsT0RF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sZEhWSlNHdEpUV3AxTWpBd05Ea3dKVEl5SlROQkpUZENKVEl5YVdRbE1qSWxNMEVsTWpKbGRIVkpTR3RKVFdwMU1qQXdORGt3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lo1VW14Q2NtaFBhVXcxTURrME5ETWxNaklsTjBRbE1rTWxOMElsTWpKdVlXMWxKVEl5SlROQkpUSXlKVVUxSlRrd0pUaEVKVVUzSlVFM0pVSXdKVEl5SlRKREpUSXlkSGx3WlNVeU1pVXpRU1V5TW5OMGNtbHVaeVV5TWlVeVF5VXlNblpoYkhWbEpUSXlKVE5CSlRJeUpUSXlKVEpESlRJeVkyRjBaV2R2Y25rbE1qSWxNMEVsTWpKa1pXWmhkV3gwSlRJeUpUSkRKVEl5YVdRbE1qSWxNMEVsTWpKc2ExbFJXRkp1WTB4M016WXlOVGMz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mliMnhrSlRJeUpUTkJkSEoxWlNVeVF5VXlNbk5wZW1VbE1qSWxNMEV4TlNVM1JDVXlReVV5TW5SbGVIUkNiRzlqYXlVeU1pVXpRU1UxUWlVM1FpVXlNbkJ2YzJsMGFXOXVKVEl5SlROQkpUZENKVEl5ZUNVeU1pVXpRVEV3SlRKREpUSXllU1V5TWlVelFUQWxNa01sTWpKM0pUSXlKVE5CSlRJeWR5MHlNQ1V5TWlVeVF5VXlNbWdsTWpJbE0wRWxNakpvSlRJeUpUZEVKVEpESlRJeWRHVjRkQ1V5TWlVelFTVXlNaVZGTnlVNVJpVkNSaVZGTnlWQ01pVTRPU1ZGTnlWQlFpVTRRaVZGTkNWQ1FpVTVNe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drWk1XVmR6ZG05clVUY3hPRFU0T1NVeU1pVTNSQ1V5UXlVM1FpVXlNbTVoYldVbE1qSWxNMEVsTWpJbFJUVWxPVEFsT0VRbFJUY2xRVGNsUWpBbE1qSWxNa01sTWpKMGVYQmxKVEl5SlROQkpUSXljM1J5YVc1bkpUSXlKVEpESlRJeWRtRnNkV1VsTWpJbE0wRWxNaklsTWpJbE1rTWxNakpqWVhSbFoyOXllU1V5TWlVelFTVXlNbVJsWm1GMWJIUWxNaklsTWtNbE1qSnBaQ1V5TWlVelFTVXlNbmhtWTFoa1JVZE5jR2N3TVRNeU5UT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1KdmJHUWxNaklsTTBGMGNuVmxKVEpESlRJeWMybDZaU1V5TWlVelFURTFKVGRFSlRKREpUSXlkR1Y0ZEVKc2IyTnJKVEl5SlROQkpUVkNKVGRDSlRJeWNHOXphWFJwYjI0bE1qSWxNMEVsTjBJbE1qSjRKVEl5SlROQk1UQWxNa01sTWpKNUpUSXlKVE5CTUNVeVF5VXlNbmNsTWpJbE0wRWxNakozTFRJd0pUSXlKVEpESlRJeWFDVXlNaVV6UVNVeU1tZ2xNaklsTjBRbE1rTWxNakowWlhoMEpUSXlKVE5CSlRJeUpVVTNKVGxHSlVKR0pVVTNKVUl5SlRnNUpVVTRKVUZGSlVFeEpVVTVKVGczSlRoR0pVVTNKVUl6SlVKQ0pVVTNKVUpDSlRsR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MUdhVkJFZG1OeGRWY3lOelEyTnpNbE1qSWxOMFFsTWtNbE4wSWxNakp1WVcxbEpUSXlKVE5CSlRJeUpVVTFKVGt3SlRoRUpVVTNKVUUzSlVJd0pUSXlKVEpESlRJeWRIbHdaU1V5TWlVelFTVXlNbk4wY21sdVp5VXlNaVV5UXlVeU1uWmhiSFZsSlRJeUpUTkJKVEl5SlRJeUpUSkRKVEl5WTJGMFpXZHZjbmtsTWpJbE0wRWxNakprWldaaGRXeDBKVEl5SlRKREpUSXlhV1FsTWpJbE0wRWxNako0VlVoTVRuTkZZMnhETWpZek5UQXd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1KdmJHUWxNaklsTTBGMGNuVmxKVEpESlRJeWMybDZaU1V5TWlVelFURTFKVGRFSlRKREpUSXlkR1Y0ZEVKc2IyTnJKVEl5SlROQkpUVkNKVGRDSlRJeWNHOXphWFJwYjI0bE1qSWxNMEVsTjBJbE1qSjRKVEl5SlROQk1UQWxNa01sTWpKNUpUSXlKVE5CTUNVeVF5VXlNbmNsTWpJbE0wRWxNakozTFRJd0pUSXlKVEpESlRJeWFDVXlNaVV6UVNVeU1tZ2xNaklsTjBRbE1rTWxNakowWlhoMEpUSXlKVE5CSlRJeUpVVTJKVUl5SlVFMUpVVTVKVGxFSlRreUpVVTFKVGd5SlVFNEpVVTNKVUpFSlRr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JXZHJiRU5OVDA5cGNEVTNNRFk0TUNVeU1pVTNSQ1V5UXlVM1FpVXlNbTVoYldVbE1qSWxNMEVsTWpJbFJUVWxPVEFsT0VRbFJUY2xRVGNsUWpBbE1qSWxNa01sTWpKMGVYQmxKVEl5SlROQkpUSXljM1J5YVc1bkpUSXlKVEpESlRJeWRtRnNkV1VsTWpJbE0wRWxNaklsTWpJbE1rTWxNakpqWVhSbFoyOXllU1V5TWlVelFTVXlNbVJsWm1GMWJIUWxNaklsTWtNbE1qSnBaQ1V5TWlVelFTVXlNbkZyZGtWalNHSmxhV3N6TnpnNU5qV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Up2YkdRbE1qSWxNMEYwY25WbEpUSkRKVEl5YzJsNlpTVXlNaVV6UVRFMUpUZEVKVEpESlRJeWRHVjRkRUpzYjJOckpUSXlKVE5CSlRWQ0pUZENKVEl5Y0c5emFYUnBiMjRsTWpJbE0wRWxOMElsTWpKNEpUSXlKVE5CTVRBbE1rTWxNako1SlRJeUpUTkJNQ1V5UXlVeU1uY2xNaklsTTBFbE1qSjNMVEl3SlRJeUpUSkRKVEl5YUNVeU1pVXpRU1V5TW1nbE1qSWxOMFFsTWtNbE1qSjBaWGgwSlRJeUpUTkJKVEl5SlVVMkpUbERKVGc1SlVVMkpUbERKVUpCSlVVM0pUZ3pKVUZFSlVVNEpVSkVKVUpFSlVVMEpVSkVKVGt6SlVVM0pUZ3lKVGc1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0V2JXUmhSbE4wZW5FME9USTVOVElsTWpJbE4wUWxNa01sTjBJbE1qSnVZVzFsSlRJeUpUTkJKVEl5SlVVMUpUa3dKVGhFSlVVM0pVRTNKVUl3SlRJeUpUSkRKVEl5ZEhsd1pTVXlNaVV6UVNVeU1uTjBjbWx1WnlVeU1pVXlReVV5TW5aaGJIVmxKVEl5SlROQkpUSXlKVEl5SlRKREpUSXlZMkYwWldkdmNua2xNaklsTTBFbE1qSmtaV1poZFd4MEpUSXlKVEpESlRJeWFXUWxNaklsTTBFbE1qSmxhVVpaWWtGblMzZGpNVFEwTnprM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aWIyeGtKVEl5SlROQmRISjFaU1V5UXlVeU1uTnBlbVVsTWpJbE0wRXhOU1UzUkNVeVF5VXlNblJsZUhSQ2JHOWpheVV5TWlVelFTVTFRaVUzUWlVeU1uQnZjMmwwYVc5dUpUSXlKVE5CSlRkQ0pUSXllQ1V5TWlVelFURXdKVEpESlRJeWVTVXlNaVV6UVRBbE1rTWxNakozSlRJeUpUTkJKVEl5ZHkweU1DVXlNaVV5UXlVeU1tZ2xNaklsTTBFbE1qSm9KVEl5SlRkRUpUSkRKVEl5ZEdWNGRDVXlNaVV6UVNVeU1pVkZOaVU1TUNVNE5TVkZOaVU0UWlVNFF5VkZOeVZDTXlWQ1FpVkZOeVZDUWlVNVJ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MzbHdiRWhVV0VGbFVqRTJOVFV3TUNVeU1pVTNSQ1V5UXlVM1FpVXlNbTVoYldVbE1qSWxNMEVsTWpJbFJUVWxPVEFsT0VRbFJUY2xRVGNsUWpBbE1qSWxNa01sTWpKMGVYQmxKVEl5SlROQkpUSXljM1J5YVc1bkpUSXlKVEpESlRJeWRtRnNkV1VsTWpJbE0wRWxNaklsTWpJbE1rTWxNakpqWVhSbFoyOXllU1V5TWlVelFTVXlNbVJsWm1GMWJIUWxNaklsTWtNbE1qSnBaQ1V5TWlVelFTVXlNbFJQUTNSaGVWVmhSbEV5TWpNNU9UU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mliMnhrSlRJeUpUTkJkSEoxWlNVeVF5VXlNbk5wZW1VbE1qSWxNMEV4TlNVM1JDVXlReVV5TW5SbGVIUkNiRzlqYXlVeU1pVXpRU1UxUWlVM1FpVXlNbkJ2YzJsMGFXOXVKVEl5SlROQkpUZENKVEl5ZUNVeU1pVXpRVEV3SlRKREpUSXllU1V5TWlVelFUQWxNa01sTWpKM0pUSXlKVE5CSlRJeWR5MHlNQ1V5TWlVeVF5VXlNbWdsTWpJbE0wRWxNakpvSlRJeUpUZEVKVEpESlRJeWRHVjRkQ1V5TWlVelFTVXlNaVZGTmlVNU5DVkNSU1ZGTmlVNU5pVTVPU1ZGT0NWQk15VTROU1ZGT0NWQ1JDVkJO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MVJWTjBWVlZzU1hsMU9UUTNPRFF6SlRJeUpUZEVKVEpESlRkQ0pUSXlibUZ0WlNVeU1pVXpRU1V5TWlWRk5TVTVNQ1U0UkNWRk55VkJOeVZDTUNVeU1pVXlReVV5TW5SNWNHVWxNaklsTTBFbE1qSnpkSEpwYm1jbE1qSWxNa01sTWpKMllXeDFaU1V5TWlVelFTVXlNaVV5TWlVeVF5VXlNbU5oZEdWbmIzSjVKVEl5SlROQkpUSXlaR1ZtWVhWc2RDVXlNaVV5UXlVeU1tbGtKVEl5SlROQkpUSXlibEo1Ymt0elVreHNXamsxT0RrMU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TVXlReVV5TW1KdmJHUWxNaklsTTBGMGNuVmxKVGRFSlRKREpUSXlkR1Y0ZEVKc2IyTnJKVEl5SlROQkpUVkNKVGRDSlRJeWNHOXphWFJwYjI0bE1qSWxNMEVsTjBJbE1qSjRKVEl5SlROQk1UQWxNa01sTWpKNUpUSXlKVE5CTUNVeVF5VXlNbmNsTWpJbE0wRWxNakozTFRJd0pUSXlKVEpESlRJeWFDVXlNaVV6UVNVeU1tZ2xNaklsTjBRbE1rTWxNakowWlhoMEpUSXlKVE5CSlRJeVJ6RWxSVE1sT0RBbE9ERk9KVVV6SlRnd0pUZ3hVeklsUlRNbE9EQWxPREZUTlNWRk15VTRNQ1U0TVZNM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0hKYWRVeE9SazFTYlRrNE5qZzJNeVV5TWlVM1JDVXlReVUzUWlVeU1tNWhiV1VsTWpJbE0wRWxNaklsUlRVbE9UQWxPRVFsUlRjbFFUY2xRakFsTWpJbE1rTWxNakowZVhCbEpUSXlKVE5CSlRJeWMzUnlhVzVuSlRJeUpUSkRKVEl5ZG1Gc2RXVWxNaklsTTBFbE1qSWxNaklsTWtNbE1qSmpZWFJsWjI5eWVTVXlNaVV6UVNVeU1tUmxabUYxYkhRbE1qSWxNa01sTWpKcFpDVXlNaVV6UVNVeU1uUnlWR2RDVUdwdVVXSXpORE16T1RF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VWxNa01sTWpKaWIyeGtKVEl5SlROQmRISjFaU1UzUkNVeVF5VXlNblJsZUhSQ2JHOWpheVV5TWlVelFTVTFRaVUzUWlVeU1uQnZjMmwwYVc5dUpUSXlKVE5CSlRkQ0pUSXllQ1V5TWlVelFURXdKVEpESlRJeWVTVXlNaVV6UVRBbE1rTWxNakozSlRJeUpUTkJKVEl5ZHkweU1DVXlNaVV5UXlVeU1tZ2xNaklsTTBFbE1qSm9KVEl5SlRkRUpUSkRKVEl5ZEdWNGRDVXlNaVV6UVNVeU1rY3lKVVV6SlRnd0pUZ3hSek1sUlRNbE9EQWxPREZP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VdKTmRsTlViV05DV2pRd09USTNOQ1V5TWlVM1JDVXlReVUzUWlVeU1tNWhiV1VsTWpJbE0wRWxNaklsUlRVbE9UQWxPRVFsUlRjbFFUY2xRakFsTWpJbE1rTWxNakowZVhCbEpUSXlKVE5CSlRJeWMzUnlhVzVuSlRJeUpUSkRKVEl5ZG1Gc2RXVWxNaklsTTBFbE1qSWxNaklsTWtNbE1qSmpZWFJsWjI5eWVTVXlNaVV6UVNVeU1tUmxabUYxYkhRbE1qSWxNa01sTWpKcFpDVXlNaVV6UVNVeU1rZDBhVzlrZVV0Q1dHTXdOekkxTVRB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VWxNa01sTWpKaWIyeGtKVEl5SlROQmRISjFaU1UzUkNVeVF5VXlNblJsZUhSQ2JHOWpheVV5TWlVelFTVTFRaVUzUWlVeU1uQnZjMmwwYVc5dUpUSXlKVE5CSlRkQ0pUSXllQ1V5TWlVelFURXdKVEpESlRJeWVTVXlNaVV6UVRBbE1rTWxNakozSlRJeUpUTkJKVEl5ZHkweU1DVXlNaVV5UXlVeU1tZ2xNaklsTTBFbE1qSm9KVEl5SlRkRUpUSkRKVEl5ZEdWNGRDVXlNaVV6UVNVeU1rY3pKVVV6SlRnd0pUZ3hU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iRkJaVmxOcGJteE9iekEwTlRFek1pVXlNaVUzUkNVeVF5VTNRaVV5TW01aGJXVWxNaklsTTBFbE1qSWxSVFVsT1RBbE9FUWxSVGNsUVRjbFFqQWxNaklsTWtNbE1qSjBlWEJsSlRJeUpUTkJKVEl5YzNSeWFXNW5KVEl5SlRKREpUSXlkbUZzZFdVbE1qSWxNMEVsTWpJbE1qSWxNa01sTWpKallYUmxaMjl5ZVNVeU1pVXpRU1V5TW1SbFptRjFiSFFsTWpJbE1rTWxNakpwWkNVeU1pVXpRU1V5TWxacGFtUnBTR1pDV2tjMU16RTRPVEV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VbE1rTWxNakppYjJ4a0pUSXlKVE5CZEhKMVpTVTNSQ1V5UXlVeU1uUmxlSFJDYkc5amF5VXlNaVV6UVNVMVFpVTNRaVV5TW5CdmMybDBhVzl1SlRJeUpUTkJKVGRDSlRJeWVDVXlNaVV6UVRFd0pUSkRKVEl5ZVNVeU1pVXpRVEFsTWtNbE1qSjNKVEl5SlROQkpUSXlkeTB5TUNVeU1pVXlReVV5TW1nbE1qSWxNMEVsTWpKb0pUSXlKVGRFSlRKREpUSXlkR1Y0ZENVeU1pVXpRU1V5TWtjMEpVVXpKVGd3SlRneFR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jVnBoU1c5RVprSldTREV5TkRnNU9DVXlNaVUzUkNVeVF5VTNRaVV5TW01aGJXVWxNaklsTTBFbE1qSWxSVFVsT1RBbE9FUWxSVGNsUVRjbFFqQWxNaklsTWtNbE1qSjBlWEJsSlRJeUpUTkJKVEl5YzNSeWFXNW5KVEl5SlRKREpUSXlkbUZzZFdVbE1qSWxNMEVsTWpJbE1qSWxNa01sTWpKallYUmxaMjl5ZVNVeU1pVXpRU1V5TW1SbFptRjFiSFFsTWpJbE1rTWxNakpwWkNVeU1pVXpRU1V5TW5oeGVXRm1ablZaWmxreE5EQTBOalV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FKVEpESlRJeVltOXNaQ1V5TWlVelFYUnlkV1VsTjBRbE1rTWxNakowWlhoMFFteHZZMnNsTWpJbE0wRWxOVUlsTjBJbE1qSndiM05wZEdsdmJpVXlNaVV6UVNVM1FpVXlNbmdsTWpJbE0wRXhNQ1V5UXlVeU1ua2xNaklsTTBFd0pUSkRKVEl5ZHlVeU1pVXpRU1V5TW5jdE1qQWxNaklsTWtNbE1qSm9KVEl5SlROQkpUSXlhQ1V5TWlVM1JDVXlReVV5TW5SbGVIUWxNaklsTTBFbE1qSkhOU1ZGTXlVNE1DVTRNVTR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ZHMTFXRWQ2VDBORGFUY3pNRGs0TnlVeU1pVTNSQ1V5UXlVM1FpVXlNbTVoYldVbE1qSWxNMEVsTWpJbFJUVWxPVEFsT0VRbFJUY2xRVGNsUWpBbE1qSWxNa01sTWpKMGVYQmxKVEl5SlROQkpUSXljM1J5YVc1bkpUSXlKVEpESlRJeWRtRnNkV1VsTWpJbE0wRWxNaklsTWpJbE1rTWxNakpqWVhSbFoyOXllU1V5TWlVelFTVXlNbVJsWm1GMWJIUWxNaklsTWtNbE1qSnBaQ1V5TWlVelFTVXlNbkZ0VTNodFJIcDJVRTh5TlRVM05qW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VbE1rTWxNakppYjJ4a0pUSXlKVE5CZEhKMVpTVTNSQ1V5UXlVeU1uUmxlSFJDYkc5amF5VXlNaVV6UVNVMVFpVTNRaVV5TW5CdmMybDBhVzl1SlRJeUpUTkJKVGRDSlRJeWVDVXlNaVV6UVRFd0pUSkRKVEl5ZVNVeU1pVXpRVEFsTWtNbE1qSjNKVEl5SlROQkpUSXlkeTB5TUNVeU1pVXlReVV5TW1nbE1qSWxNMEVsTWpKb0pUSXlKVGRFSlRKREpUSXlkR1Y0ZENVeU1pVXpRU1V5TWtjMUpVVXpKVGd3SlRneFR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GMWJteENVbkJVWkVzMk9ERTVNVGNsTWpJbE4wUWxNa01sTjBJbE1qSnVZVzFsSlRJeUpUTkJKVEl5SlVVMUpUa3dKVGhFSlVVM0pVRTNKVUl3SlRJeUpUSkRKVEl5ZEhsd1pTVXlNaVV6UVNVeU1uTjBjbWx1WnlVeU1pVXlReVV5TW5aaGJIVmxKVEl5SlROQkpUSXlKVEl5SlRKREpUSXlZMkYwWldkdmNua2xNaklsTTBFbE1qSmtaV1poZFd4MEpUSXlKVEpESlRJeWFXUWxNaklsTTBFbE1qSlVhVlpIVm10V1UwTkxPVGM0TkRZM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lNVeVF5VXlNbUp2YkdRbE1qSWxNMEYwY25WbEpUZEVKVEpESlRJeWRHVjRkRUpzYjJOckpUSXlKVE5CSlRWQ0pUZENKVEl5Y0c5emFYUnBiMjRsTWpJbE0wRWxOMElsTWpKNEpUSXlKVE5CTVRBbE1rTWxNako1SlRJeUpUTkJNQ1V5UXlVeU1uY2xNaklsTTBFbE1qSjNMVEl3SlRJeUpUSkRKVEl5YUNVeU1pVXpRU1V5TW1nbE1qSWxOMFFsTWtNbE1qSjBaWGgwSlRJeUpUTkJKVEl5UnpZ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NUjJ0cmJuSkRRME4zTWpnNE5ETTJKVEl5SlROQkpUZENKVEl5YVdRbE1qSWxNMEVsTWpKTVIydHJibkpEUTBOM01qZzRORE0y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WQxVG5SbVVIWjVRa3czTVRBek16RWxNaklsTjBRbE1rTWxOMElsTWpKdVlXMWxKVEl5SlROQkpUSXlKVVUxSlRrd0pUaEVKVVUzSlVFM0pVSXdKVEl5SlRKREpUSXlkSGx3WlNVeU1pVXpRU1V5TW5OMGNtbHVaeVV5TWlVeVF5VXlNblpoYkhWbEpUSXlKVE5CSlRJeUpUSXlKVEpESlRJeVkyRjBaV2R2Y25rbE1qSWxNMEVsTWpKa1pXWmhkV3gwSlRJeUpUSkRKVEl5YVdRbE1qSWxNMEVsTWpKRFYyTlVZVzlWWTNSUk16a3pOamd5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liMnhrSlRJeUpUTkJkSEoxWlNVM1JDVXlReVV5TW5SbGVIUkNiRzlqYXlVeU1pVXpRU1UxUWlVM1FpVXlNbkJ2YzJsMGFXOXVKVEl5SlROQkpUZENKVEl5ZUNVeU1pVXpRVEV3SlRKREpUSXllU1V5TWlVelFUQWxNa01sTWpKM0pUSXlKVE5CSlRJeWR5MHlNQ1V5TWlVeVF5VXlNbWdsTWpJbE0wRWxNakpvSlRJeUpUZEVKVEpESlRJeWRHVjRkQ1V5TWlVelFTVXlNa2MzSlVVekpUZ3dKVGd4VXpjbFJUTWxPREFsT0RGVE9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GbFJreG1Xa3gwVEhjNE1URTVNallsTWpJbE0wRWxOMElsTWpKcFpDVXlNaVV6UVNVeU1sRmxSa3htV2t4MFRIYzRNVEU1TWpZ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DBWNmFtUnNkMVJYYkRJek1qTTRNaVV5TWlVM1JDVXlReVUzUWlVeU1tNWhiV1VsTWpJbE0wRWxNaklsUlRVbE9UQWxPRVFsUlRjbFFUY2xRakFsTWpJbE1rTWxNakowZVhCbEpUSXlKVE5CSlRJeWMzUnlhVzVuSlRJeUpUSkRKVEl5ZG1Gc2RXVWxNaklsTTBFbE1qSWxNaklsTWtNbE1qSmpZWFJsWjI5eWVTVXlNaVV6UVNVeU1tUmxabUYxYkhRbE1qSWxNa01sTWpKcFpDVXlNaVV6UVNVeU1sVmFZM1pFU0hWM1pIYzJORGt4TmpV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liMnhrSlRJeUpUTkJkSEoxWlNVM1JDVXlReVV5TW5SbGVIUkNiRzlqYXlVeU1pVXpRU1UxUWlVM1FpVXlNbkJ2YzJsMGFXOXVKVEl5SlROQkpUZENKVEl5ZUNVeU1pVXpRVEV3SlRKREpUSXllU1V5TWlVelFUQWxNa01sTWpKM0pUSXlKVE5CSlRJeWR5MHlNQ1V5TWlVeVF5VXlNbWdsTWpJbE0wRWxNakpvSlRJeUpUZEVKVEpESlRJeWRHVjRkQ1V5TWlVelFTVXlNa2M1SlVVekpUZ3dKVGd4VG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RjSFZIUTBGc1IyOVBOalU0TlRZMUpUSXlKVGRFSlRKREpUZENKVEl5Ym1GdFpTVXlNaVV6UVNVeU1pVkZOU1U1TUNVNFJDVkZOeVZCTnlWQ01DVXlNaVV5UXlVeU1uUjVjR1VsTWpJbE0wRWxNakp6ZEhKcGJtY2xNaklsTWtNbE1qSjJZV3gxWlNVeU1pVXpRU1V5TWlVeU1pVXlReVV5TW1OaGRHVm5iM0o1SlRJeUpUTkJKVEl5WkdWbVlYVnNkQ1V5TWlVeVF5VXlNbWxrSlRJeUpUTkJKVEl5V1hKNVVVZDRRbEYwYmpNNE56Y3d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UpUSkRKVEl5WW05c1pDVXlNaVV6UVhSeWRXVWxOMFFsTWtNbE1qSjBaWGgwUW14dlkyc2xNaklsTTBFbE5VSWxOMElsTWpKd2IzTnBkR2x2YmlVeU1pVXpRU1UzUWlVeU1uZ2xNaklsTTBFeE1DVXlReVV5TW5rbE1qSWxNMEV3SlRKREpUSXlkeVV5TWlVelFTVXlNbmN0TWpBbE1qSWxNa01sTWpKb0pUSXlKVE5CSlRJeWFDVXlNaVUzUkNVeVF5VXlNblJsZUhRbE1qSWxNMEVsTWpKSE9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aUVdYTlNhbE5ZZG5VMk1UWTNNRElsTWpJbE0wRWxOMElsTWpKcFpDVXlNaVV6UVNVeU1rWlFXWE5TYWxOWWRuVTJNVFkzTURJ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zNSSmJrRjNja3hSZVRNME56RTBNaVV5TWlVM1JDVXlReVUzUWlVeU1tNWhiV1VsTWpJbE0wRWxNaklsUlRVbE9UQWxPRVFsUlRjbFFUY2xRakFsTWpJbE1rTWxNakowZVhCbEpUSXlKVE5CSlRJeWMzUnlhVzVuSlRJeUpUSkRKVEl5ZG1Gc2RXVWxNaklsTTBFbE1qSWxNaklsTWtNbE1qSmpZWFJsWjI5eWVTVXlNaVV6UVNVeU1tUmxabUYxYkhRbE1qSWxNa01sTWpKcFpDVXlNaVV6UVNVeU1tdHlVRzVpVTBwVGJWbzJOVEEwTVRR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VbE1rTWxNakppYjJ4a0pUSXlKVE5CZEhKMVpTVTNSQ1V5UXlVeU1uUmxlSFJDYkc5amF5VXlNaVV6UVNVMVFpVTNRaVV5TW5CdmMybDBhVzl1SlRJeUpUTkJKVGRDSlRJeWVDVXlNaVV6UVRFd0pUSkRKVEl5ZVNVeU1pVXpRVEFsTWtNbE1qSjNKVEl5SlROQkpUSXlkeTB5TUNVeU1pVXlReVV5TW1nbE1qSWxNMEVsTWpKb0pUSXlKVGRFSlRKREpUSXlkR1Y0ZENVeU1pVXpRU1V5TWtjNUpVVXpKVGd3SlRneFRpVkZNeVU0TUNVNE1WTXh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zVJUkhscFkwdHBWSEUwTlRRME5qY2xNaklsTjBRbE1rTWxOMElsTWpKdVlXMWxKVEl5SlROQkpUSXlKVVUxSlRrd0pUaEVKVVUzSlVFM0pVSXdKVEl5SlRKREpUSXlkSGx3WlNVeU1pVXpRU1V5TW5OMGNtbHVaeVV5TWlVeVF5VXlNblpoYkhWbEpUSXlKVE5CSlRJeUpUSXlKVEpESlRJeVkyRjBaV2R2Y25rbE1qSWxNMEVsTWpKa1pXWmhkV3gwSlRJeUpUSkRKVEl5YVdRbE1qSWxNMEVsTWpKNGNtaERTbFZaUVc1Q05EQXhNak13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FKVEpESlRJeVltOXNaQ1V5TWlVelFYUnlkV1VsTjBRbE1rTWxNakowWlhoMFFteHZZMnNsTWpJbE0wRWxOVUlsTjBJbE1qSndiM05wZEdsdmJpVXlNaVV6UVNVM1FpVXlNbmdsTWpJbE0wRXhNQ1V5UXlVeU1ua2xNaklsTTBFd0pUSkRKVEl5ZHlVeU1pVXpRU1V5TW5jdE1qQWxNaklsTWtNbE1qSm9KVEl5SlROQkpUSXlhQ1V5TWlVM1JDVXlReVV5TW5SbGVIUWxNaklsTTBFbE1qSkhPU1ZGTXlVNE1DVTRNVTR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1hOT1VGbFFja2R5YWpVMU16azRNeVV5TWlVM1JDVXlReVUzUWlVeU1tNWhiV1VsTWpJbE0wRWxNaklsUlRVbE9UQWxPRVFsUlRjbFFUY2xRakFsTWpJbE1rTWxNakowZVhCbEpUSXlKVE5CSlRJeWMzUnlhVzVuSlRJeUpUSkRKVEl5ZG1Gc2RXVWxNaklsTTBFbE1qSWxNaklsTWtNbE1qSmpZWFJsWjI5eWVTVXlNaVV6UVNVeU1tUmxabUYxYkhRbE1qSWxNa01sTWpKcFpDVXlNaVV6UVNVeU1tcEdjbHBzYlVSblpsVXlOek0xT0RV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UpUSkRKVEl5WW05c1pDVXlNaVV6UVhSeWRXVWxOMFFsTWtNbE1qSjBaWGgwUW14dlkyc2xNaklsTTBFbE5VSWxOMElsTWpKd2IzTnBkR2x2YmlVeU1pVXpRU1UzUWlVeU1uZ2xNaklsTTBFeE1DVXlReVV5TW5rbE1qSWxNMEV3SlRKREpUSXlkeVV5TWlVelFTVXlNbmN0TWpBbE1qSWxNa01sTWpKb0pUSXlKVE5CSlRJeWFDVXlNaVUzUkNVeVF5VXlNblJsZUhRbE1qSWxNMEVsTWpKSE1UQWxSVE1sT0RBbE9ERkhNVEVsUlRNbE9EQWxPREZPSlVVekpUZ3dKVGd4VXpN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NreEZka3RTVVdWeFJqRXhOVFk1TmlVeU1pVTNSQ1V5UXlVM1FpVXlNbTVoYldVbE1qSWxNMEVsTWpJbFJUVWxPVEFsT0VRbFJUY2xRVGNsUWpBbE1qSWxNa01sTWpKMGVYQmxKVEl5SlROQkpUSXljM1J5YVc1bkpUSXlKVEpESlRJeWRtRnNkV1VsTWpJbE0wRWxNaklsTWpJbE1rTWxNakpqWVhSbFoyOXllU1V5TWlVelFTVXlNbVJsWm1GMWJIUWxNaklsTWtNbE1qSnBaQ1V5TWlVelFTVXlNbFp1UzBoaVlXeE9XV0l4T0Rnd05qZ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UpUSkRKVEl5WW05c1pDVXlNaVV6UVhSeWRXVWxOMFFsTWtNbE1qSjBaWGgwUW14dlkyc2xNaklsTTBFbE5VSWxOMElsTWpKd2IzTnBkR2x2YmlVeU1pVXpRU1UzUWlVeU1uZ2xNaklsTTBFeE1DVXlReVV5TW5rbE1qSWxNMEV3SlRKREpUSXlkeVV5TWlVelFTVXlNbmN0TWpBbE1qSWxNa01sTWpKb0pUSXlKVE5CSlRJeWFDVXlNaVUzUkNVeVF5VXlNblJsZUhRbE1qSWxNMEVsTWpKSE1USWxSVE1sT0RBbE9ERk9KVVV6SlRnd0pUZ3hVek1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WlhXVlJ2WkZaMVZuYzRNVGN3T0RNbE1qSWxOMFFsTWtNbE4wSWxNakp1WVcxbEpUSXlKVE5CSlRJeUpVVTFKVGt3SlRoRUpVVTNKVUUzSlVJd0pUSXlKVEpESlRJeWRIbHdaU1V5TWlVelFTVXlNbk4wY21sdVp5VXlNaVV5UXlVeU1uWmhiSFZsSlRJeUpUTkJKVEl5SlRJeUpUSkRKVEl5WTJGMFpXZHZjbmtsTWpJbE0wRWxNakprWldaaGRXeDBKVEl5SlRKREpUSXlhV1FsTWpJbE0wRWxNakpGUWxCM1kxSm1Ta05pTmpBNE9UWTN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liMnhrSlRJeUpUTkJkSEoxWlNVM1JDVXlReVV5TW5SbGVIUkNiRzlqYXlVeU1pVXpRU1UxUWlVM1FpVXlNbkJ2YzJsMGFXOXVKVEl5SlROQkpUZENKVEl5ZUNVeU1pVXpRVEV3SlRKREpUSXllU1V5TWlVelFUQWxNa01sTWpKM0pUSXlKVE5CSlRJeWR5MHlNQ1V5TWlVeVF5VXlNbWdsTWpJbE0wRWxNakpvSlRJeUpUZEVKVEpESlRJeWRHVjRkQ1V5TWlVelFTVXlNa2N4TXlWRk15VTRNQ1U0TVU0bFJUTWxPREFsT0RGVE5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0ppUzNoelNtSnVXV000TkRZek5UQWxNaklsTjBRbE1rTWxOMElsTWpKdVlXMWxKVEl5SlROQkpUSXlKVVUxSlRrd0pUaEVKVVUzSlVFM0pVSXdKVEl5SlRKREpUSXlkSGx3WlNVeU1pVXpRU1V5TW5OMGNtbHVaeVV5TWlVeVF5VXlNblpoYkhWbEpUSXlKVE5CSlRJeUpUSXlKVEpESlRJeVkyRjBaV2R2Y25rbE1qSWxNMEVsTWpKa1pXWmhkV3gwSlRJeUpUSkRKVEl5YVdRbE1qSWxNMEVsTWpKSWMzVnVSM05RUWs1eU16a3pOak13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VWxNa01sTWpKaWIyeGtKVEl5SlROQmRISjFaU1UzUkNVeVF5VXlNblJsZUhSQ2JHOWpheVV5TWlVelFTVTFRaVUzUWlVeU1uQnZjMmwwYVc5dUpUSXlKVE5CSlRkQ0pUSXllQ1V5TWlVelFURXdKVEpESlRJeWVTVXlNaVV6UVRBbE1rTWxNakozSlRJeUpUTkJKVEl5ZHkweU1DVXlNaVV5UXlVeU1tZ2xNaklsTTBFbE1qSm9KVEl5SlRkRUpUSkRKVEl5ZEdWNGRDVXlNaVV6UVNVeU1rNG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UZSelVIWkxRMkZKVlRZeU9EZ3lOQ1V5TWlVM1JDVXlReVUzUWlVeU1tNWhiV1VsTWpJbE0wRWxNaklsUlRVbE9UQWxPRVFsUlRjbFFUY2xRakFsTWpJbE1rTWxNakowZVhCbEpUSXlKVE5CSlRJeWMzUnlhVzVuSlRJeUpUSkRKVEl5ZG1Gc2RXVWxNaklsTTBFbE1qSWxNaklsTWtNbE1qSmpZWFJsWjI5eWVTVXlNaVV6UVNVeU1tUmxabUYxYkhRbE1qSWxNa01sTWpKcFpDVXlNaVV6UVNVeU1rZHlhRnBRVjJOTWJXRXhOakUzTVR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UpUSkRKVEl5WW05c1pDVXlNaVV6UVhSeWRXVWxOMFFsTWtNbE1qSjBaWGgwUW14dlkyc2xNaklsTTBFbE5VSWxOMElsTWpKd2IzTnBkR2x2YmlVeU1pVXpRU1UzUWlVeU1uZ2xNaklsTTBFeE1DVXlReVV5TW5rbE1qSWxNMEV3SlRKREpUSXlkeVV5TWlVelFTVXlNbmN0TWpBbE1qSWxNa01sTWpKb0pUSXlKVE5CSlRJeWFDVXlNaVUzUkNVeVF5VXlNblJsZUhRbE1qSWxNMEVsTWpKSE1URWxSVE1sT0RBbE9ERk9KVVV6SlRnd0pUZ3hVek1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aEdhVlJpYkZSNWJFbzJPVGN3T1RNbE1qSWxOMFFsTWtNbE4wSWxNakp1WVcxbEpUSXlKVE5CSlRJeUpVVTFKVGt3SlRoRUpVVTNKVUUzSlVJd0pUSXlKVEpESlRJeWRIbHdaU1V5TWlVelFTVXlNbk4wY21sdVp5VXlNaVV5UXlVeU1uWmhiSFZsSlRJeUpUTkJKVEl5SlRJeUpUSkRKVEl5WTJGMFpXZHZjbmtsTWpJbE0wRWxNakprWldaaGRXeDBKVEl5SlRKREpUSXlhV1FsTWpJbE0wRWxNakp0WVhoUGFYTlZaMlJsTnpFNU56UTR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liMnhrSlRJeUpUTkJkSEoxWlNVM1JDVXlReVV5TW5SbGVIUkNiRzlqYXlVeU1pVXpRU1UxUWlVM1FpVXlNbkJ2YzJsMGFXOXVKVEl5SlROQkpUZENKVEl5ZUNVeU1pVXpRVEV3SlRKREpUSXllU1V5TWlVelFUQWxNa01sTWpKM0pUSXlKVE5CSlRJeWR5MHlNQ1V5TWlVeVF5VXlNbWdsTWpJbE0wRWxNakpvSlRJeUpUZEVKVEpESlRJeWRHVjRkQ1V5TWlVelFTVXlNbE01SlVVekpUZ3dKVGd4VXpF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Xa2xrY2tKUVYzbGtUamt5TkRnNE5pVXlNaVUzUkNVeVF5VTNRaVV5TW01aGJXVWxNaklsTTBFbE1qSWxSVFVsT1RBbE9FUWxSVGNsUVRjbFFqQWxNaklsTWtNbE1qSjBlWEJsSlRJeUpUTkJKVEl5YzNSeWFXNW5KVEl5SlRKREpUSXlkbUZzZFdVbE1qSWxNMEVsTWpJbE1qSWxNa01sTWpKallYUmxaMjl5ZVNVeU1pVXpRU1V5TW1SbFptRjFiSFFsTWpJbE1rTWxNakpwWkNVeU1pVXpRU1V5TWtSbVUwaHJiMDV2YjNZNE5qRXlOVE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liMnhrSlRJeUpUTkJkSEoxWlNVM1JDVXlReVV5TW5SbGVIUkNiRzlqYXlVeU1pVXpRU1UxUWlVM1FpVXlNbkJ2YzJsMGFXOXVKVEl5SlROQkpUZENKVEl5ZUNVeU1pVXpRVEV3SlRKREpUSXllU1V5TWlVelFUQWxNa01sTWpKM0pUSXlKVE5CSlRJeWR5MHlNQ1V5TWlVeVF5VXlNbWdsTWpJbE0wRWxNakpvSlRJeUpUZEVKVEpESlRJeWRHVjRkQ1V5TWlVelFTVXlNbE14TVNWRk15VTRNQ1U0TVZNeE1pVkZNeVU0TUNVNE1WTXhNe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UzUkNVeVF5VXlNbU52YlcxbGJuUnpKVEl5SlROQkpUVkNKVFZFSlRKREpUSXljR3gxWjJsdWN5VXlNaVV6UVNVM1FpVTNSQ1V5UXlVeU1tRnBRMjl1ZEdGcGJtVnljeVV5TWlVelFTVTNRaVUzUkNVeVF5VXlNbWx1YzJWeWRGQmhaMlZQY0hSekpUSXlKVE5CSlRkQ0pUZEVKVEpESlRJeWNHOXpkRkJoZVcxbGJuUWxNaklsTTBFbE4wSWxOMFFsTWtNbE1qSjBhR1Z0WlNVeU1pVXpRU1UzUWlVeU1uQmhaMlVsTWpJbE0wRWxOMElsTWpKaVlXTnJaM0p2ZFc1a1EyOXNiM0lsTWpJbE0wRWxNakowY21GdWMzQmhjbVZ1ZENVeU1pVTNSQ1UzUkNVM1JBPT0iLAoJIkZpbGVJZCIgOiAiYzFlODk3NWYtYTA5MS00OTc1LTg2ZGEtZWUyYmYzMTE2MTllIgp9Cg=="/>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222</Pages>
  <Words>21687</Words>
  <Characters>22533</Characters>
  <Lines>789</Lines>
  <Paragraphs>222</Paragraphs>
  <TotalTime>69</TotalTime>
  <ScaleCrop>false</ScaleCrop>
  <LinksUpToDate>false</LinksUpToDate>
  <CharactersWithSpaces>22636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2025-05-15T18:46:00Z</dcterms:created>
  <dc:creator>鈖紅肚蔸</dc:creator>
  <cp:lastModifiedBy>^_^</cp:lastModifiedBy>
  <cp:lastPrinted>2026-09-18T06:53:47Z</cp:lastPrinted>
  <dcterms:modified xsi:type="dcterms:W3CDTF">2026-09-18T10:01:35Z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71FA4949488AB927F8AB9F6A0421A954_43</vt:lpwstr>
  </property>
  <property fmtid="{D5CDD505-2E9C-101B-9397-08002B2CF9AE}" pid="4" name="KSOTemplateDocerSaveRecord">
    <vt:lpwstr>eyJoZGlkIjoiZGI1MmI4YWRlZDdmNGIxYmNlNDE4NDYwN2IzZjQzZGIiLCJ1c2VySWQiOiIzNzkyODg3MjUifQ==</vt:lpwstr>
  </property>
</Properties>
</file>